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90B" w:rsidRDefault="00D4590B" w:rsidP="00D4590B">
      <w:pPr>
        <w:spacing w:line="300" w:lineRule="exact"/>
        <w:jc w:val="both"/>
        <w:rPr>
          <w:sz w:val="32"/>
          <w:szCs w:val="32"/>
        </w:rPr>
      </w:pPr>
    </w:p>
    <w:p w:rsidR="00D4590B" w:rsidRDefault="00D4590B" w:rsidP="00D4590B">
      <w:pPr>
        <w:spacing w:line="300" w:lineRule="exact"/>
        <w:jc w:val="center"/>
        <w:rPr>
          <w:sz w:val="32"/>
          <w:szCs w:val="32"/>
        </w:rPr>
      </w:pPr>
    </w:p>
    <w:p w:rsidR="00D4590B" w:rsidRDefault="00D4590B" w:rsidP="00D4590B">
      <w:pPr>
        <w:spacing w:line="300" w:lineRule="exact"/>
        <w:jc w:val="center"/>
        <w:rPr>
          <w:sz w:val="32"/>
          <w:szCs w:val="32"/>
        </w:rPr>
      </w:pPr>
    </w:p>
    <w:p w:rsidR="00975572" w:rsidRPr="00695DEE" w:rsidRDefault="00975572" w:rsidP="00695DEE">
      <w:pPr>
        <w:pStyle w:val="1"/>
        <w:jc w:val="center"/>
        <w:rPr>
          <w:rFonts w:asciiTheme="majorBidi" w:hAnsiTheme="majorBidi"/>
          <w:color w:val="000000" w:themeColor="text1"/>
        </w:rPr>
      </w:pPr>
      <w:r w:rsidRPr="00695DEE">
        <w:rPr>
          <w:rFonts w:asciiTheme="majorBidi" w:hAnsiTheme="majorBidi"/>
          <w:color w:val="000000" w:themeColor="text1"/>
        </w:rPr>
        <w:t xml:space="preserve">The </w:t>
      </w:r>
      <w:r w:rsidR="004E7991" w:rsidRPr="00695DEE">
        <w:rPr>
          <w:rFonts w:asciiTheme="majorBidi" w:hAnsiTheme="majorBidi"/>
          <w:color w:val="000000" w:themeColor="text1"/>
        </w:rPr>
        <w:t>Commentary on</w:t>
      </w:r>
      <w:r w:rsidRPr="00695DEE">
        <w:rPr>
          <w:rFonts w:asciiTheme="majorBidi" w:hAnsiTheme="majorBidi"/>
          <w:color w:val="000000" w:themeColor="text1"/>
        </w:rPr>
        <w:t xml:space="preserve"> Proverbs in </w:t>
      </w:r>
      <w:r w:rsidR="00D4590B" w:rsidRPr="00695DEE">
        <w:rPr>
          <w:rFonts w:asciiTheme="majorBidi" w:hAnsiTheme="majorBidi"/>
          <w:color w:val="000000" w:themeColor="text1"/>
        </w:rPr>
        <w:br/>
      </w:r>
      <w:r w:rsidRPr="00695DEE">
        <w:rPr>
          <w:rFonts w:asciiTheme="majorBidi" w:hAnsiTheme="majorBidi"/>
          <w:color w:val="000000" w:themeColor="text1"/>
        </w:rPr>
        <w:t xml:space="preserve">MS Vatican </w:t>
      </w:r>
      <w:r w:rsidR="00192CDB" w:rsidRPr="00695DEE">
        <w:rPr>
          <w:rFonts w:asciiTheme="majorBidi" w:hAnsiTheme="majorBidi"/>
          <w:color w:val="000000" w:themeColor="text1"/>
        </w:rPr>
        <w:t xml:space="preserve">Ebr. </w:t>
      </w:r>
      <w:r w:rsidRPr="00695DEE">
        <w:rPr>
          <w:rFonts w:asciiTheme="majorBidi" w:hAnsiTheme="majorBidi"/>
          <w:color w:val="000000" w:themeColor="text1"/>
        </w:rPr>
        <w:t xml:space="preserve">89 and the Early </w:t>
      </w:r>
      <w:r w:rsidR="00D4590B" w:rsidRPr="00695DEE">
        <w:rPr>
          <w:rFonts w:asciiTheme="majorBidi" w:hAnsiTheme="majorBidi"/>
          <w:color w:val="000000" w:themeColor="text1"/>
        </w:rPr>
        <w:br/>
      </w:r>
      <w:r w:rsidRPr="00695DEE">
        <w:rPr>
          <w:rFonts w:asciiTheme="majorBidi" w:hAnsiTheme="majorBidi"/>
          <w:color w:val="000000" w:themeColor="text1"/>
        </w:rPr>
        <w:t>Exegesis of Radak</w:t>
      </w:r>
      <w:r w:rsidR="00D4590B" w:rsidRPr="00695DEE">
        <w:rPr>
          <w:rStyle w:val="a4"/>
          <w:rFonts w:asciiTheme="majorBidi" w:hAnsiTheme="majorBidi"/>
          <w:caps/>
          <w:color w:val="000000" w:themeColor="text1"/>
        </w:rPr>
        <w:footnoteReference w:customMarkFollows="1" w:id="1"/>
        <w:t>*</w:t>
      </w:r>
    </w:p>
    <w:p w:rsidR="00ED4723" w:rsidRPr="00D4590B" w:rsidRDefault="00ED4723" w:rsidP="00D4590B">
      <w:pPr>
        <w:spacing w:line="300" w:lineRule="exact"/>
        <w:jc w:val="center"/>
        <w:rPr>
          <w:sz w:val="26"/>
          <w:szCs w:val="26"/>
        </w:rPr>
      </w:pPr>
    </w:p>
    <w:p w:rsidR="00975572" w:rsidRPr="00D4590B" w:rsidRDefault="00975572" w:rsidP="00D4590B">
      <w:pPr>
        <w:spacing w:line="300" w:lineRule="exact"/>
        <w:jc w:val="center"/>
        <w:rPr>
          <w:caps/>
          <w:sz w:val="26"/>
          <w:szCs w:val="26"/>
        </w:rPr>
      </w:pPr>
      <w:r w:rsidRPr="00D4590B">
        <w:rPr>
          <w:caps/>
          <w:sz w:val="26"/>
          <w:szCs w:val="26"/>
        </w:rPr>
        <w:t>Yitzhak Berger</w:t>
      </w:r>
      <w:r w:rsidR="00D4590B" w:rsidRPr="00D4590B">
        <w:rPr>
          <w:rStyle w:val="a4"/>
          <w:caps/>
          <w:sz w:val="26"/>
          <w:szCs w:val="26"/>
        </w:rPr>
        <w:footnoteReference w:customMarkFollows="1" w:id="2"/>
        <w:t>**</w:t>
      </w:r>
    </w:p>
    <w:p w:rsidR="00ED4723" w:rsidRDefault="00ED4723" w:rsidP="00D4590B">
      <w:pPr>
        <w:spacing w:line="300" w:lineRule="exact"/>
        <w:jc w:val="both"/>
        <w:rPr>
          <w:sz w:val="26"/>
          <w:szCs w:val="26"/>
        </w:rPr>
      </w:pPr>
      <w:bookmarkStart w:id="0" w:name="_GoBack"/>
    </w:p>
    <w:bookmarkEnd w:id="0"/>
    <w:p w:rsidR="00D4590B" w:rsidRPr="00D4590B" w:rsidRDefault="00D4590B" w:rsidP="00D4590B">
      <w:pPr>
        <w:spacing w:line="300" w:lineRule="exact"/>
        <w:jc w:val="both"/>
        <w:rPr>
          <w:sz w:val="26"/>
          <w:szCs w:val="26"/>
        </w:rPr>
      </w:pPr>
    </w:p>
    <w:p w:rsidR="00975572" w:rsidRPr="00D4590B" w:rsidRDefault="00975572" w:rsidP="00981B41">
      <w:pPr>
        <w:spacing w:line="300" w:lineRule="exact"/>
        <w:jc w:val="both"/>
        <w:rPr>
          <w:sz w:val="26"/>
          <w:szCs w:val="26"/>
        </w:rPr>
      </w:pPr>
      <w:r w:rsidRPr="00D4590B">
        <w:rPr>
          <w:sz w:val="26"/>
          <w:szCs w:val="26"/>
        </w:rPr>
        <w:t xml:space="preserve">In the sixteenth century, R. Solomon Ibn </w:t>
      </w:r>
      <w:proofErr w:type="spellStart"/>
      <w:r w:rsidRPr="00D4590B">
        <w:rPr>
          <w:sz w:val="26"/>
          <w:szCs w:val="26"/>
        </w:rPr>
        <w:t>Melekh</w:t>
      </w:r>
      <w:proofErr w:type="spellEnd"/>
      <w:r w:rsidRPr="00D4590B">
        <w:rPr>
          <w:sz w:val="26"/>
          <w:szCs w:val="26"/>
        </w:rPr>
        <w:t xml:space="preserve">, author of </w:t>
      </w:r>
      <w:proofErr w:type="spellStart"/>
      <w:r w:rsidRPr="00D4590B">
        <w:rPr>
          <w:i/>
          <w:iCs/>
          <w:sz w:val="26"/>
          <w:szCs w:val="26"/>
        </w:rPr>
        <w:t>Mikhlal</w:t>
      </w:r>
      <w:proofErr w:type="spellEnd"/>
      <w:r w:rsidRPr="00D4590B">
        <w:rPr>
          <w:i/>
          <w:iCs/>
          <w:sz w:val="26"/>
          <w:szCs w:val="26"/>
        </w:rPr>
        <w:t xml:space="preserve"> </w:t>
      </w:r>
      <w:proofErr w:type="spellStart"/>
      <w:r w:rsidRPr="00D4590B">
        <w:rPr>
          <w:i/>
          <w:iCs/>
          <w:sz w:val="26"/>
          <w:szCs w:val="26"/>
        </w:rPr>
        <w:t>Yofi</w:t>
      </w:r>
      <w:proofErr w:type="spellEnd"/>
      <w:r w:rsidRPr="00D4590B">
        <w:rPr>
          <w:sz w:val="26"/>
          <w:szCs w:val="26"/>
        </w:rPr>
        <w:t>,</w:t>
      </w:r>
      <w:r w:rsidRPr="00D4590B">
        <w:rPr>
          <w:rStyle w:val="a4"/>
          <w:sz w:val="26"/>
          <w:szCs w:val="26"/>
        </w:rPr>
        <w:footnoteReference w:id="3"/>
      </w:r>
      <w:r w:rsidRPr="00D4590B">
        <w:rPr>
          <w:sz w:val="26"/>
          <w:szCs w:val="26"/>
        </w:rPr>
        <w:t xml:space="preserve"> refer</w:t>
      </w:r>
      <w:r w:rsidR="00192CDB" w:rsidRPr="00D4590B">
        <w:rPr>
          <w:sz w:val="26"/>
          <w:szCs w:val="26"/>
        </w:rPr>
        <w:t>red</w:t>
      </w:r>
      <w:r w:rsidRPr="00D4590B">
        <w:rPr>
          <w:sz w:val="26"/>
          <w:szCs w:val="26"/>
        </w:rPr>
        <w:t xml:space="preserve"> to several commentaries of the eminent Provençal exegete R</w:t>
      </w:r>
      <w:r w:rsidR="00981B41">
        <w:rPr>
          <w:sz w:val="26"/>
          <w:szCs w:val="26"/>
        </w:rPr>
        <w:t>.</w:t>
      </w:r>
      <w:r w:rsidRPr="00D4590B">
        <w:rPr>
          <w:sz w:val="26"/>
          <w:szCs w:val="26"/>
        </w:rPr>
        <w:t xml:space="preserve"> David </w:t>
      </w:r>
      <w:proofErr w:type="spellStart"/>
      <w:r w:rsidRPr="00D4590B">
        <w:rPr>
          <w:sz w:val="26"/>
          <w:szCs w:val="26"/>
        </w:rPr>
        <w:t>Kimh</w:t>
      </w:r>
      <w:r w:rsidRPr="00D4590B">
        <w:rPr>
          <w:sz w:val="26"/>
          <w:szCs w:val="26"/>
        </w:rPr>
        <w:t>i</w:t>
      </w:r>
      <w:proofErr w:type="spellEnd"/>
      <w:r w:rsidRPr="00D4590B">
        <w:rPr>
          <w:sz w:val="26"/>
          <w:szCs w:val="26"/>
        </w:rPr>
        <w:t xml:space="preserve"> (</w:t>
      </w:r>
      <w:proofErr w:type="spellStart"/>
      <w:r w:rsidRPr="00D4590B">
        <w:rPr>
          <w:sz w:val="26"/>
          <w:szCs w:val="26"/>
        </w:rPr>
        <w:t>Radak</w:t>
      </w:r>
      <w:proofErr w:type="spellEnd"/>
      <w:r w:rsidRPr="00D4590B">
        <w:rPr>
          <w:sz w:val="26"/>
          <w:szCs w:val="26"/>
        </w:rPr>
        <w:t>; c. 1160</w:t>
      </w:r>
      <w:r w:rsidR="00192CDB" w:rsidRPr="00D4590B">
        <w:rPr>
          <w:sz w:val="26"/>
          <w:szCs w:val="26"/>
        </w:rPr>
        <w:t>–</w:t>
      </w:r>
      <w:r w:rsidRPr="00D4590B">
        <w:rPr>
          <w:sz w:val="26"/>
          <w:szCs w:val="26"/>
        </w:rPr>
        <w:t>1235) that were unavailable to him and apparently not widely circulated.</w:t>
      </w:r>
      <w:r w:rsidR="008515BC" w:rsidRPr="00D4590B">
        <w:rPr>
          <w:sz w:val="26"/>
          <w:szCs w:val="26"/>
        </w:rPr>
        <w:t xml:space="preserve"> </w:t>
      </w:r>
      <w:r w:rsidRPr="00D4590B">
        <w:rPr>
          <w:sz w:val="26"/>
          <w:szCs w:val="26"/>
        </w:rPr>
        <w:t xml:space="preserve">Four centuries later, Umberto Cassuto identified a </w:t>
      </w:r>
      <w:r w:rsidR="001E48BC" w:rsidRPr="00D4590B">
        <w:rPr>
          <w:sz w:val="26"/>
          <w:szCs w:val="26"/>
        </w:rPr>
        <w:t>work</w:t>
      </w:r>
      <w:r w:rsidRPr="00D4590B">
        <w:rPr>
          <w:sz w:val="26"/>
          <w:szCs w:val="26"/>
        </w:rPr>
        <w:t xml:space="preserve"> </w:t>
      </w:r>
      <w:r w:rsidR="001E48BC" w:rsidRPr="00D4590B">
        <w:rPr>
          <w:sz w:val="26"/>
          <w:szCs w:val="26"/>
        </w:rPr>
        <w:t xml:space="preserve">preserved </w:t>
      </w:r>
      <w:r w:rsidRPr="00D4590B">
        <w:rPr>
          <w:sz w:val="26"/>
          <w:szCs w:val="26"/>
        </w:rPr>
        <w:t xml:space="preserve">in MS Vatican </w:t>
      </w:r>
      <w:proofErr w:type="spellStart"/>
      <w:r w:rsidRPr="00D4590B">
        <w:rPr>
          <w:sz w:val="26"/>
          <w:szCs w:val="26"/>
        </w:rPr>
        <w:t>Ebr</w:t>
      </w:r>
      <w:proofErr w:type="spellEnd"/>
      <w:r w:rsidRPr="00D4590B">
        <w:rPr>
          <w:sz w:val="26"/>
          <w:szCs w:val="26"/>
        </w:rPr>
        <w:t xml:space="preserve">. 89 as </w:t>
      </w:r>
      <w:proofErr w:type="spellStart"/>
      <w:r w:rsidRPr="00D4590B">
        <w:rPr>
          <w:sz w:val="26"/>
          <w:szCs w:val="26"/>
        </w:rPr>
        <w:t>Radak</w:t>
      </w:r>
      <w:r w:rsidR="00192CDB" w:rsidRPr="00D4590B">
        <w:rPr>
          <w:sz w:val="26"/>
          <w:szCs w:val="26"/>
        </w:rPr>
        <w:t>’s</w:t>
      </w:r>
      <w:proofErr w:type="spellEnd"/>
      <w:r w:rsidR="00192CDB" w:rsidRPr="00D4590B">
        <w:rPr>
          <w:sz w:val="26"/>
          <w:szCs w:val="26"/>
        </w:rPr>
        <w:t xml:space="preserve"> </w:t>
      </w:r>
      <w:r w:rsidR="004E7991">
        <w:rPr>
          <w:sz w:val="26"/>
          <w:szCs w:val="26"/>
        </w:rPr>
        <w:t>commentary on</w:t>
      </w:r>
      <w:r w:rsidRPr="00D4590B">
        <w:rPr>
          <w:sz w:val="26"/>
          <w:szCs w:val="26"/>
        </w:rPr>
        <w:t xml:space="preserve"> Proverbs, one of the elusive works mentioned by Ibn </w:t>
      </w:r>
      <w:proofErr w:type="spellStart"/>
      <w:r w:rsidRPr="00D4590B">
        <w:rPr>
          <w:sz w:val="26"/>
          <w:szCs w:val="26"/>
        </w:rPr>
        <w:t>Melekh</w:t>
      </w:r>
      <w:proofErr w:type="spellEnd"/>
      <w:r w:rsidRPr="00D4590B">
        <w:rPr>
          <w:sz w:val="26"/>
          <w:szCs w:val="26"/>
        </w:rPr>
        <w:t>.</w:t>
      </w:r>
      <w:r w:rsidRPr="00D4590B">
        <w:rPr>
          <w:rStyle w:val="a4"/>
          <w:sz w:val="26"/>
          <w:szCs w:val="26"/>
        </w:rPr>
        <w:footnoteReference w:id="4"/>
      </w:r>
      <w:r w:rsidR="008515BC" w:rsidRPr="00D4590B">
        <w:rPr>
          <w:sz w:val="26"/>
          <w:szCs w:val="26"/>
        </w:rPr>
        <w:t xml:space="preserve"> </w:t>
      </w:r>
      <w:r w:rsidRPr="00D4590B">
        <w:rPr>
          <w:sz w:val="26"/>
          <w:szCs w:val="26"/>
        </w:rPr>
        <w:t xml:space="preserve">In his groundbreaking monograph on </w:t>
      </w:r>
      <w:proofErr w:type="spellStart"/>
      <w:r w:rsidRPr="00D4590B">
        <w:rPr>
          <w:sz w:val="26"/>
          <w:szCs w:val="26"/>
        </w:rPr>
        <w:t>Radak</w:t>
      </w:r>
      <w:proofErr w:type="spellEnd"/>
      <w:r w:rsidRPr="00D4590B">
        <w:rPr>
          <w:sz w:val="26"/>
          <w:szCs w:val="26"/>
        </w:rPr>
        <w:t>, Frank Talmage endorsed this identification;</w:t>
      </w:r>
      <w:r w:rsidRPr="00D4590B">
        <w:rPr>
          <w:rStyle w:val="a4"/>
          <w:sz w:val="26"/>
          <w:szCs w:val="26"/>
        </w:rPr>
        <w:footnoteReference w:id="5"/>
      </w:r>
      <w:r w:rsidRPr="00D4590B">
        <w:rPr>
          <w:sz w:val="26"/>
          <w:szCs w:val="26"/>
        </w:rPr>
        <w:t xml:space="preserve"> and in a volume published posthumously, Talmage </w:t>
      </w:r>
      <w:r w:rsidRPr="00D4590B">
        <w:rPr>
          <w:sz w:val="26"/>
          <w:szCs w:val="26"/>
        </w:rPr>
        <w:lastRenderedPageBreak/>
        <w:t xml:space="preserve">reproduced this </w:t>
      </w:r>
      <w:r w:rsidR="004E7991">
        <w:rPr>
          <w:sz w:val="26"/>
          <w:szCs w:val="26"/>
        </w:rPr>
        <w:t>commentary on</w:t>
      </w:r>
      <w:r w:rsidRPr="00D4590B">
        <w:rPr>
          <w:sz w:val="26"/>
          <w:szCs w:val="26"/>
        </w:rPr>
        <w:t xml:space="preserve"> Proverbs together with those of </w:t>
      </w:r>
      <w:proofErr w:type="spellStart"/>
      <w:r w:rsidRPr="00D4590B">
        <w:rPr>
          <w:sz w:val="26"/>
          <w:szCs w:val="26"/>
        </w:rPr>
        <w:t>Radak’s</w:t>
      </w:r>
      <w:proofErr w:type="spellEnd"/>
      <w:r w:rsidRPr="00D4590B">
        <w:rPr>
          <w:sz w:val="26"/>
          <w:szCs w:val="26"/>
        </w:rPr>
        <w:t xml:space="preserve"> father and brother, R. Joseph and R. Moses </w:t>
      </w:r>
      <w:proofErr w:type="spellStart"/>
      <w:r w:rsidRPr="00D4590B">
        <w:rPr>
          <w:sz w:val="26"/>
          <w:szCs w:val="26"/>
        </w:rPr>
        <w:t>Kimh</w:t>
      </w:r>
      <w:r w:rsidRPr="00D4590B">
        <w:rPr>
          <w:sz w:val="26"/>
          <w:szCs w:val="26"/>
        </w:rPr>
        <w:t>i</w:t>
      </w:r>
      <w:proofErr w:type="spellEnd"/>
      <w:r w:rsidRPr="00D4590B">
        <w:rPr>
          <w:sz w:val="26"/>
          <w:szCs w:val="26"/>
        </w:rPr>
        <w:t>.</w:t>
      </w:r>
      <w:r w:rsidRPr="00D4590B">
        <w:rPr>
          <w:rStyle w:val="a4"/>
          <w:sz w:val="26"/>
          <w:szCs w:val="26"/>
        </w:rPr>
        <w:footnoteReference w:id="6"/>
      </w:r>
    </w:p>
    <w:p w:rsidR="00975572" w:rsidRDefault="00975572" w:rsidP="00FF0B7D">
      <w:pPr>
        <w:spacing w:line="300" w:lineRule="exact"/>
        <w:ind w:firstLine="284"/>
        <w:jc w:val="both"/>
        <w:rPr>
          <w:sz w:val="26"/>
          <w:szCs w:val="26"/>
        </w:rPr>
      </w:pPr>
      <w:r w:rsidRPr="00D4590B">
        <w:rPr>
          <w:sz w:val="26"/>
          <w:szCs w:val="26"/>
        </w:rPr>
        <w:t xml:space="preserve">Recently, Naomi Grunhaus, in the most </w:t>
      </w:r>
      <w:r w:rsidR="00194B67">
        <w:rPr>
          <w:sz w:val="26"/>
          <w:szCs w:val="26"/>
        </w:rPr>
        <w:t>sensitive</w:t>
      </w:r>
      <w:r w:rsidRPr="00D4590B">
        <w:rPr>
          <w:sz w:val="26"/>
          <w:szCs w:val="26"/>
        </w:rPr>
        <w:t xml:space="preserve"> treatment of the matter to date, has vigorously challenged the attribution of this work to </w:t>
      </w:r>
      <w:proofErr w:type="spellStart"/>
      <w:r w:rsidRPr="00D4590B">
        <w:rPr>
          <w:sz w:val="26"/>
          <w:szCs w:val="26"/>
        </w:rPr>
        <w:t>Radak</w:t>
      </w:r>
      <w:proofErr w:type="spellEnd"/>
      <w:r w:rsidRPr="00D4590B">
        <w:rPr>
          <w:sz w:val="26"/>
          <w:szCs w:val="26"/>
        </w:rPr>
        <w:t>, based on a range of arguments that primarily concern exegetical and compositional style.</w:t>
      </w:r>
      <w:r w:rsidRPr="00D4590B">
        <w:rPr>
          <w:rStyle w:val="a4"/>
          <w:sz w:val="26"/>
          <w:szCs w:val="26"/>
        </w:rPr>
        <w:footnoteReference w:id="7"/>
      </w:r>
      <w:r w:rsidR="008515BC" w:rsidRPr="00D4590B">
        <w:rPr>
          <w:sz w:val="26"/>
          <w:szCs w:val="26"/>
        </w:rPr>
        <w:t xml:space="preserve"> </w:t>
      </w:r>
      <w:r w:rsidRPr="00D4590B">
        <w:rPr>
          <w:sz w:val="26"/>
          <w:szCs w:val="26"/>
        </w:rPr>
        <w:t xml:space="preserve">In the present study, mindful of </w:t>
      </w:r>
      <w:proofErr w:type="spellStart"/>
      <w:r w:rsidRPr="00D4590B">
        <w:rPr>
          <w:sz w:val="26"/>
          <w:szCs w:val="26"/>
        </w:rPr>
        <w:t>Grunhaus’s</w:t>
      </w:r>
      <w:proofErr w:type="spellEnd"/>
      <w:r w:rsidRPr="00D4590B">
        <w:rPr>
          <w:sz w:val="26"/>
          <w:szCs w:val="26"/>
        </w:rPr>
        <w:t xml:space="preserve"> many important observations, I offer an alternative per</w:t>
      </w:r>
      <w:r w:rsidR="00E8610B" w:rsidRPr="00D4590B">
        <w:rPr>
          <w:sz w:val="26"/>
          <w:szCs w:val="26"/>
        </w:rPr>
        <w:t>spective on the commentary that</w:t>
      </w:r>
      <w:r w:rsidRPr="00D4590B">
        <w:rPr>
          <w:sz w:val="26"/>
          <w:szCs w:val="26"/>
        </w:rPr>
        <w:t xml:space="preserve"> strongly supports the position of Cassuto and Talmage affirming </w:t>
      </w:r>
      <w:proofErr w:type="spellStart"/>
      <w:r w:rsidRPr="00D4590B">
        <w:rPr>
          <w:sz w:val="26"/>
          <w:szCs w:val="26"/>
        </w:rPr>
        <w:t>Radak’s</w:t>
      </w:r>
      <w:proofErr w:type="spellEnd"/>
      <w:r w:rsidRPr="00D4590B">
        <w:rPr>
          <w:sz w:val="26"/>
          <w:szCs w:val="26"/>
        </w:rPr>
        <w:t xml:space="preserve"> authorship.</w:t>
      </w:r>
      <w:r w:rsidR="006A257A" w:rsidRPr="00D4590B">
        <w:rPr>
          <w:rStyle w:val="a4"/>
          <w:sz w:val="26"/>
          <w:szCs w:val="26"/>
        </w:rPr>
        <w:footnoteReference w:id="8"/>
      </w:r>
    </w:p>
    <w:p w:rsidR="00E663C7" w:rsidRPr="00D4590B" w:rsidRDefault="00E663C7" w:rsidP="00D4590B">
      <w:pPr>
        <w:spacing w:line="300" w:lineRule="exact"/>
        <w:jc w:val="both"/>
        <w:rPr>
          <w:sz w:val="26"/>
          <w:szCs w:val="26"/>
        </w:rPr>
      </w:pPr>
    </w:p>
    <w:p w:rsidR="00975572" w:rsidRPr="00E641C4" w:rsidRDefault="00975572" w:rsidP="00D4590B">
      <w:pPr>
        <w:spacing w:line="300" w:lineRule="exact"/>
        <w:jc w:val="both"/>
        <w:rPr>
          <w:bCs/>
          <w:sz w:val="28"/>
          <w:szCs w:val="26"/>
        </w:rPr>
      </w:pPr>
      <w:r w:rsidRPr="00E641C4">
        <w:rPr>
          <w:bCs/>
          <w:sz w:val="28"/>
          <w:szCs w:val="26"/>
        </w:rPr>
        <w:t xml:space="preserve">The Commentary as Its Author’s First </w:t>
      </w:r>
      <w:r w:rsidR="00BB2424" w:rsidRPr="00E641C4">
        <w:rPr>
          <w:bCs/>
          <w:sz w:val="28"/>
          <w:szCs w:val="26"/>
        </w:rPr>
        <w:t xml:space="preserve">Exegetical </w:t>
      </w:r>
      <w:r w:rsidRPr="00E641C4">
        <w:rPr>
          <w:bCs/>
          <w:sz w:val="28"/>
          <w:szCs w:val="26"/>
        </w:rPr>
        <w:t xml:space="preserve">Work </w:t>
      </w:r>
    </w:p>
    <w:p w:rsidR="00975572" w:rsidRDefault="00975572" w:rsidP="00D4590B">
      <w:pPr>
        <w:spacing w:line="300" w:lineRule="exact"/>
        <w:jc w:val="both"/>
        <w:rPr>
          <w:sz w:val="26"/>
          <w:szCs w:val="26"/>
        </w:rPr>
      </w:pPr>
      <w:r w:rsidRPr="00D4590B">
        <w:rPr>
          <w:sz w:val="26"/>
          <w:szCs w:val="26"/>
        </w:rPr>
        <w:t>Before evaluat</w:t>
      </w:r>
      <w:r w:rsidR="002E4D85" w:rsidRPr="00D4590B">
        <w:rPr>
          <w:sz w:val="26"/>
          <w:szCs w:val="26"/>
        </w:rPr>
        <w:t>ing</w:t>
      </w:r>
      <w:r w:rsidRPr="00D4590B">
        <w:rPr>
          <w:sz w:val="26"/>
          <w:szCs w:val="26"/>
        </w:rPr>
        <w:t xml:space="preserve"> </w:t>
      </w:r>
      <w:r w:rsidR="000130B6" w:rsidRPr="00D4590B">
        <w:rPr>
          <w:sz w:val="26"/>
          <w:szCs w:val="26"/>
        </w:rPr>
        <w:t xml:space="preserve">the </w:t>
      </w:r>
      <w:r w:rsidRPr="00D4590B">
        <w:rPr>
          <w:sz w:val="26"/>
          <w:szCs w:val="26"/>
        </w:rPr>
        <w:t xml:space="preserve">direct evidence, </w:t>
      </w:r>
      <w:r w:rsidR="000130B6" w:rsidRPr="00D4590B">
        <w:rPr>
          <w:sz w:val="26"/>
          <w:szCs w:val="26"/>
        </w:rPr>
        <w:t xml:space="preserve">we </w:t>
      </w:r>
      <w:r w:rsidR="001E48BC" w:rsidRPr="00D4590B">
        <w:rPr>
          <w:sz w:val="26"/>
          <w:szCs w:val="26"/>
        </w:rPr>
        <w:t>sha</w:t>
      </w:r>
      <w:r w:rsidR="000130B6" w:rsidRPr="00D4590B">
        <w:rPr>
          <w:sz w:val="26"/>
          <w:szCs w:val="26"/>
        </w:rPr>
        <w:t>ll</w:t>
      </w:r>
      <w:r w:rsidRPr="00D4590B">
        <w:rPr>
          <w:sz w:val="26"/>
          <w:szCs w:val="26"/>
        </w:rPr>
        <w:t xml:space="preserve"> consider the opening paragraph of the work.</w:t>
      </w:r>
      <w:r w:rsidR="008515BC" w:rsidRPr="00D4590B">
        <w:rPr>
          <w:sz w:val="26"/>
          <w:szCs w:val="26"/>
        </w:rPr>
        <w:t xml:space="preserve"> </w:t>
      </w:r>
      <w:r w:rsidRPr="00D4590B">
        <w:rPr>
          <w:sz w:val="26"/>
          <w:szCs w:val="26"/>
        </w:rPr>
        <w:t>Here, the author presents his motive for writing a commentary, along with his exegetical objective:</w:t>
      </w:r>
      <w:r w:rsidRPr="00D4590B">
        <w:rPr>
          <w:rStyle w:val="a4"/>
          <w:sz w:val="26"/>
          <w:szCs w:val="26"/>
        </w:rPr>
        <w:footnoteReference w:id="9"/>
      </w:r>
    </w:p>
    <w:p w:rsidR="00E663C7" w:rsidRPr="00D4590B" w:rsidRDefault="00E663C7" w:rsidP="00D4590B">
      <w:pPr>
        <w:spacing w:line="300" w:lineRule="exact"/>
        <w:jc w:val="both"/>
        <w:rPr>
          <w:sz w:val="26"/>
          <w:szCs w:val="26"/>
        </w:rPr>
      </w:pPr>
    </w:p>
    <w:p w:rsidR="00975572" w:rsidRDefault="00975572" w:rsidP="00E663C7">
      <w:pPr>
        <w:spacing w:line="300" w:lineRule="exact"/>
        <w:ind w:left="720"/>
        <w:jc w:val="both"/>
        <w:rPr>
          <w:sz w:val="26"/>
          <w:szCs w:val="26"/>
        </w:rPr>
      </w:pPr>
      <w:r w:rsidRPr="00D4590B">
        <w:rPr>
          <w:sz w:val="26"/>
          <w:szCs w:val="26"/>
        </w:rPr>
        <w:t xml:space="preserve">Joseph </w:t>
      </w:r>
      <w:proofErr w:type="spellStart"/>
      <w:r w:rsidRPr="00D4590B">
        <w:rPr>
          <w:sz w:val="26"/>
          <w:szCs w:val="26"/>
        </w:rPr>
        <w:t>Kimh</w:t>
      </w:r>
      <w:r w:rsidRPr="00D4590B">
        <w:rPr>
          <w:sz w:val="26"/>
          <w:szCs w:val="26"/>
        </w:rPr>
        <w:t>i</w:t>
      </w:r>
      <w:proofErr w:type="spellEnd"/>
      <w:r w:rsidRPr="00D4590B">
        <w:rPr>
          <w:sz w:val="26"/>
          <w:szCs w:val="26"/>
        </w:rPr>
        <w:t xml:space="preserve"> the Spaniard said:</w:t>
      </w:r>
      <w:r w:rsidRPr="00D4590B">
        <w:rPr>
          <w:rStyle w:val="a4"/>
          <w:sz w:val="26"/>
          <w:szCs w:val="26"/>
        </w:rPr>
        <w:footnoteReference w:id="10"/>
      </w:r>
      <w:r w:rsidRPr="00D4590B">
        <w:rPr>
          <w:sz w:val="26"/>
          <w:szCs w:val="26"/>
        </w:rPr>
        <w:t xml:space="preserve"> When I considered the commentaries on the Holy Scriptures and examined all that my predecessors produced in them, I found flowing expositions of each and every book, many of them accurate and straightforward in their approach: each [commentator] provides interpretations in keeping with how God directed him.</w:t>
      </w:r>
      <w:r w:rsidR="008515BC" w:rsidRPr="00D4590B">
        <w:rPr>
          <w:sz w:val="26"/>
          <w:szCs w:val="26"/>
        </w:rPr>
        <w:t xml:space="preserve"> </w:t>
      </w:r>
      <w:r w:rsidRPr="00D4590B">
        <w:rPr>
          <w:sz w:val="26"/>
          <w:szCs w:val="26"/>
        </w:rPr>
        <w:t xml:space="preserve">But on the book of Proverbs I found conflicting expositions reflecting the [unique] perspective of each one of the commentators—one says one thing and one says </w:t>
      </w:r>
      <w:r w:rsidRPr="00D4590B">
        <w:rPr>
          <w:sz w:val="26"/>
          <w:szCs w:val="26"/>
        </w:rPr>
        <w:lastRenderedPageBreak/>
        <w:t>another—to the point where the masses have become confounded as to the book’s meaning.</w:t>
      </w:r>
      <w:r w:rsidR="008515BC" w:rsidRPr="00D4590B">
        <w:rPr>
          <w:sz w:val="26"/>
          <w:szCs w:val="26"/>
        </w:rPr>
        <w:t xml:space="preserve"> </w:t>
      </w:r>
      <w:r w:rsidRPr="00D4590B">
        <w:rPr>
          <w:sz w:val="26"/>
          <w:szCs w:val="26"/>
        </w:rPr>
        <w:t>For some of the commentators say that Solomon likened the Torah to a good intelligent woman, and idol-worship to an evil foreign woman; and some explain that he likened physical matter to a harlot, and the intellect to a good intelligent woman.</w:t>
      </w:r>
      <w:r w:rsidRPr="00D4590B">
        <w:rPr>
          <w:rStyle w:val="a4"/>
          <w:sz w:val="26"/>
          <w:szCs w:val="26"/>
        </w:rPr>
        <w:footnoteReference w:id="11"/>
      </w:r>
      <w:r w:rsidR="008515BC" w:rsidRPr="00D4590B">
        <w:rPr>
          <w:sz w:val="26"/>
          <w:szCs w:val="26"/>
        </w:rPr>
        <w:t xml:space="preserve"> </w:t>
      </w:r>
      <w:r w:rsidRPr="00D4590B">
        <w:rPr>
          <w:sz w:val="26"/>
          <w:szCs w:val="26"/>
        </w:rPr>
        <w:t>Indeed, each of them cites proofs to support his claim, proofs that I do not mention her</w:t>
      </w:r>
      <w:r w:rsidR="00724766" w:rsidRPr="00D4590B">
        <w:rPr>
          <w:sz w:val="26"/>
          <w:szCs w:val="26"/>
        </w:rPr>
        <w:t>e since this is not my purpose</w:t>
      </w:r>
      <w:r w:rsidRPr="00D4590B">
        <w:rPr>
          <w:sz w:val="26"/>
          <w:szCs w:val="26"/>
        </w:rPr>
        <w:t>.</w:t>
      </w:r>
      <w:r w:rsidR="008515BC" w:rsidRPr="00D4590B">
        <w:rPr>
          <w:sz w:val="26"/>
          <w:szCs w:val="26"/>
        </w:rPr>
        <w:t xml:space="preserve"> </w:t>
      </w:r>
      <w:r w:rsidRPr="00D4590B">
        <w:rPr>
          <w:sz w:val="26"/>
          <w:szCs w:val="26"/>
        </w:rPr>
        <w:t>What has emerged, in any event, is that [these commentators] do not even provide explanations of the verses that accord with their meaning, and readers misunderstand them</w:t>
      </w:r>
      <w:r w:rsidRPr="00D4590B">
        <w:rPr>
          <w:rStyle w:val="a4"/>
          <w:sz w:val="26"/>
          <w:szCs w:val="26"/>
        </w:rPr>
        <w:footnoteReference w:id="12"/>
      </w:r>
      <w:r w:rsidRPr="00D4590B">
        <w:rPr>
          <w:sz w:val="26"/>
          <w:szCs w:val="26"/>
        </w:rPr>
        <w:t xml:space="preserve"> because the verses do not end up flowing coherently….</w:t>
      </w:r>
      <w:r w:rsidR="008515BC" w:rsidRPr="00D4590B">
        <w:rPr>
          <w:sz w:val="26"/>
          <w:szCs w:val="26"/>
        </w:rPr>
        <w:t xml:space="preserve"> </w:t>
      </w:r>
      <w:r w:rsidRPr="00D4590B">
        <w:rPr>
          <w:sz w:val="26"/>
          <w:szCs w:val="26"/>
        </w:rPr>
        <w:t>Having seen this, I decided to expound this book according to its straightforward meaning, so that the masses might benefit from it in line with one of the two meanings intended by Solomon when he wrote it</w:t>
      </w:r>
      <w:r w:rsidR="008515BC" w:rsidRPr="00D4590B">
        <w:rPr>
          <w:sz w:val="26"/>
          <w:szCs w:val="26"/>
        </w:rPr>
        <w:t xml:space="preserve"> </w:t>
      </w:r>
      <w:r w:rsidRPr="00D4590B">
        <w:rPr>
          <w:sz w:val="26"/>
          <w:szCs w:val="26"/>
        </w:rPr>
        <w:t>(</w:t>
      </w:r>
      <w:r w:rsidRPr="00D4590B">
        <w:rPr>
          <w:rFonts w:hint="cs"/>
          <w:sz w:val="26"/>
          <w:szCs w:val="26"/>
          <w:rtl/>
          <w:lang w:bidi="he-IL"/>
        </w:rPr>
        <w:t>כפי הכונה האחת משתי הכונות שחברו שלמה ע"ה</w:t>
      </w:r>
      <w:r w:rsidRPr="00D4590B">
        <w:rPr>
          <w:sz w:val="26"/>
          <w:szCs w:val="26"/>
          <w:lang w:bidi="he-IL"/>
        </w:rPr>
        <w:t>)</w:t>
      </w:r>
      <w:r w:rsidRPr="00D4590B">
        <w:rPr>
          <w:sz w:val="26"/>
          <w:szCs w:val="26"/>
        </w:rPr>
        <w:t>.</w:t>
      </w:r>
      <w:r w:rsidR="006A5D55" w:rsidRPr="00D4590B">
        <w:rPr>
          <w:rStyle w:val="a4"/>
          <w:sz w:val="26"/>
          <w:szCs w:val="26"/>
        </w:rPr>
        <w:footnoteReference w:id="13"/>
      </w:r>
    </w:p>
    <w:p w:rsidR="00E663C7" w:rsidRPr="00D4590B" w:rsidRDefault="00E663C7" w:rsidP="00E663C7">
      <w:pPr>
        <w:spacing w:line="300" w:lineRule="exact"/>
        <w:ind w:left="720"/>
        <w:jc w:val="both"/>
        <w:rPr>
          <w:sz w:val="26"/>
          <w:szCs w:val="26"/>
        </w:rPr>
      </w:pPr>
    </w:p>
    <w:p w:rsidR="00975572" w:rsidRPr="00D4590B" w:rsidRDefault="00975572" w:rsidP="00DD2D2F">
      <w:pPr>
        <w:spacing w:line="300" w:lineRule="exact"/>
        <w:jc w:val="both"/>
        <w:rPr>
          <w:sz w:val="26"/>
          <w:szCs w:val="26"/>
        </w:rPr>
      </w:pPr>
      <w:r w:rsidRPr="00D4590B">
        <w:rPr>
          <w:sz w:val="26"/>
          <w:szCs w:val="26"/>
        </w:rPr>
        <w:t xml:space="preserve">At the beginning of this passage, the author </w:t>
      </w:r>
      <w:r w:rsidR="00B60AE9" w:rsidRPr="00D4590B">
        <w:rPr>
          <w:sz w:val="26"/>
          <w:szCs w:val="26"/>
        </w:rPr>
        <w:t xml:space="preserve">distinguishes </w:t>
      </w:r>
      <w:r w:rsidR="0015002B" w:rsidRPr="00D4590B">
        <w:rPr>
          <w:sz w:val="26"/>
          <w:szCs w:val="26"/>
        </w:rPr>
        <w:t xml:space="preserve">between </w:t>
      </w:r>
      <w:r w:rsidR="00B60AE9" w:rsidRPr="00D4590B">
        <w:rPr>
          <w:sz w:val="26"/>
          <w:szCs w:val="26"/>
        </w:rPr>
        <w:t xml:space="preserve">Proverbs, which required a better commentary, and the </w:t>
      </w:r>
      <w:r w:rsidRPr="00D4590B">
        <w:rPr>
          <w:sz w:val="26"/>
          <w:szCs w:val="26"/>
        </w:rPr>
        <w:t xml:space="preserve">other books of the Bible, which he found </w:t>
      </w:r>
      <w:r w:rsidR="00A936C0" w:rsidRPr="00D4590B">
        <w:rPr>
          <w:sz w:val="26"/>
          <w:szCs w:val="26"/>
        </w:rPr>
        <w:t>to be adequately interpreted by his predecessors</w:t>
      </w:r>
      <w:r w:rsidR="00B60AE9" w:rsidRPr="00D4590B">
        <w:rPr>
          <w:sz w:val="26"/>
          <w:szCs w:val="26"/>
        </w:rPr>
        <w:t>.</w:t>
      </w:r>
      <w:r w:rsidRPr="00D4590B">
        <w:rPr>
          <w:sz w:val="26"/>
          <w:szCs w:val="26"/>
        </w:rPr>
        <w:t xml:space="preserve"> This </w:t>
      </w:r>
      <w:r w:rsidR="006224F6" w:rsidRPr="00D4590B">
        <w:rPr>
          <w:sz w:val="26"/>
          <w:szCs w:val="26"/>
        </w:rPr>
        <w:t xml:space="preserve">would appear to suggest </w:t>
      </w:r>
      <w:r w:rsidRPr="00D4590B">
        <w:rPr>
          <w:sz w:val="26"/>
          <w:szCs w:val="26"/>
        </w:rPr>
        <w:t xml:space="preserve">that the author had not </w:t>
      </w:r>
      <w:r w:rsidR="00B60AE9" w:rsidRPr="00D4590B">
        <w:rPr>
          <w:sz w:val="26"/>
          <w:szCs w:val="26"/>
        </w:rPr>
        <w:t xml:space="preserve">previously </w:t>
      </w:r>
      <w:r w:rsidRPr="00D4590B">
        <w:rPr>
          <w:sz w:val="26"/>
          <w:szCs w:val="26"/>
        </w:rPr>
        <w:t>composed biblical commentaries.</w:t>
      </w:r>
      <w:r w:rsidR="008515BC" w:rsidRPr="00D4590B">
        <w:rPr>
          <w:sz w:val="26"/>
          <w:szCs w:val="26"/>
        </w:rPr>
        <w:t xml:space="preserve"> </w:t>
      </w:r>
      <w:r w:rsidR="00B60AE9" w:rsidRPr="00D4590B">
        <w:rPr>
          <w:sz w:val="26"/>
          <w:szCs w:val="26"/>
        </w:rPr>
        <w:t>If</w:t>
      </w:r>
      <w:r w:rsidRPr="00D4590B">
        <w:rPr>
          <w:sz w:val="26"/>
          <w:szCs w:val="26"/>
        </w:rPr>
        <w:t xml:space="preserve"> </w:t>
      </w:r>
      <w:proofErr w:type="spellStart"/>
      <w:r w:rsidRPr="00D4590B">
        <w:rPr>
          <w:sz w:val="26"/>
          <w:szCs w:val="26"/>
        </w:rPr>
        <w:t>Radak</w:t>
      </w:r>
      <w:proofErr w:type="spellEnd"/>
      <w:r w:rsidR="00B60AE9" w:rsidRPr="00D4590B">
        <w:rPr>
          <w:sz w:val="26"/>
          <w:szCs w:val="26"/>
        </w:rPr>
        <w:t xml:space="preserve"> is the author</w:t>
      </w:r>
      <w:r w:rsidRPr="00D4590B">
        <w:rPr>
          <w:sz w:val="26"/>
          <w:szCs w:val="26"/>
        </w:rPr>
        <w:t xml:space="preserve">, </w:t>
      </w:r>
      <w:r w:rsidR="006224F6" w:rsidRPr="00D4590B">
        <w:rPr>
          <w:sz w:val="26"/>
          <w:szCs w:val="26"/>
        </w:rPr>
        <w:t xml:space="preserve">then </w:t>
      </w:r>
      <w:r w:rsidR="00B60AE9" w:rsidRPr="00D4590B">
        <w:rPr>
          <w:sz w:val="26"/>
          <w:szCs w:val="26"/>
        </w:rPr>
        <w:t>this was probably</w:t>
      </w:r>
      <w:r w:rsidRPr="00D4590B">
        <w:rPr>
          <w:sz w:val="26"/>
          <w:szCs w:val="26"/>
        </w:rPr>
        <w:t xml:space="preserve"> his first commentary</w:t>
      </w:r>
      <w:r w:rsidR="00022A25" w:rsidRPr="00D4590B">
        <w:rPr>
          <w:sz w:val="26"/>
          <w:szCs w:val="26"/>
        </w:rPr>
        <w:t>;</w:t>
      </w:r>
      <w:r w:rsidR="008515BC" w:rsidRPr="00D4590B">
        <w:rPr>
          <w:sz w:val="26"/>
          <w:szCs w:val="26"/>
        </w:rPr>
        <w:t xml:space="preserve"> </w:t>
      </w:r>
      <w:r w:rsidR="00B60AE9" w:rsidRPr="00D4590B">
        <w:rPr>
          <w:sz w:val="26"/>
          <w:szCs w:val="26"/>
        </w:rPr>
        <w:t>and</w:t>
      </w:r>
      <w:r w:rsidRPr="00D4590B">
        <w:rPr>
          <w:sz w:val="26"/>
          <w:szCs w:val="26"/>
        </w:rPr>
        <w:t xml:space="preserve"> this consideration ought to inform any evaluation </w:t>
      </w:r>
      <w:r w:rsidR="00CE3A0F" w:rsidRPr="00D4590B">
        <w:rPr>
          <w:sz w:val="26"/>
          <w:szCs w:val="26"/>
        </w:rPr>
        <w:t>of</w:t>
      </w:r>
      <w:r w:rsidRPr="00D4590B">
        <w:rPr>
          <w:sz w:val="26"/>
          <w:szCs w:val="26"/>
        </w:rPr>
        <w:t xml:space="preserve"> </w:t>
      </w:r>
      <w:proofErr w:type="spellStart"/>
      <w:r w:rsidRPr="00D4590B">
        <w:rPr>
          <w:sz w:val="26"/>
          <w:szCs w:val="26"/>
        </w:rPr>
        <w:t>Radak’s</w:t>
      </w:r>
      <w:proofErr w:type="spellEnd"/>
      <w:r w:rsidRPr="00D4590B">
        <w:rPr>
          <w:sz w:val="26"/>
          <w:szCs w:val="26"/>
        </w:rPr>
        <w:t xml:space="preserve"> authorship</w:t>
      </w:r>
      <w:r w:rsidR="00022A25" w:rsidRPr="00D4590B">
        <w:rPr>
          <w:sz w:val="26"/>
          <w:szCs w:val="26"/>
        </w:rPr>
        <w:t>:</w:t>
      </w:r>
      <w:r w:rsidR="002E4D85" w:rsidRPr="00D4590B">
        <w:rPr>
          <w:sz w:val="26"/>
          <w:szCs w:val="26"/>
        </w:rPr>
        <w:t xml:space="preserve"> </w:t>
      </w:r>
      <w:r w:rsidR="00022A25" w:rsidRPr="00D4590B">
        <w:rPr>
          <w:sz w:val="26"/>
          <w:szCs w:val="26"/>
        </w:rPr>
        <w:t>d</w:t>
      </w:r>
      <w:r w:rsidR="00CE3A0F" w:rsidRPr="00D4590B">
        <w:rPr>
          <w:sz w:val="26"/>
          <w:szCs w:val="26"/>
        </w:rPr>
        <w:t xml:space="preserve">isparities </w:t>
      </w:r>
      <w:r w:rsidRPr="00D4590B">
        <w:rPr>
          <w:sz w:val="26"/>
          <w:szCs w:val="26"/>
        </w:rPr>
        <w:t xml:space="preserve">between this work and </w:t>
      </w:r>
      <w:proofErr w:type="spellStart"/>
      <w:r w:rsidRPr="00D4590B">
        <w:rPr>
          <w:sz w:val="26"/>
          <w:szCs w:val="26"/>
        </w:rPr>
        <w:t>Radak’s</w:t>
      </w:r>
      <w:proofErr w:type="spellEnd"/>
      <w:r w:rsidRPr="00D4590B">
        <w:rPr>
          <w:sz w:val="26"/>
          <w:szCs w:val="26"/>
        </w:rPr>
        <w:t xml:space="preserve"> commentaries </w:t>
      </w:r>
      <w:r w:rsidR="00CE3A0F" w:rsidRPr="00D4590B">
        <w:rPr>
          <w:sz w:val="26"/>
          <w:szCs w:val="26"/>
        </w:rPr>
        <w:t xml:space="preserve">on </w:t>
      </w:r>
      <w:r w:rsidRPr="00D4590B">
        <w:rPr>
          <w:sz w:val="26"/>
          <w:szCs w:val="26"/>
        </w:rPr>
        <w:t>other biblical books might</w:t>
      </w:r>
      <w:r w:rsidR="008515BC" w:rsidRPr="00D4590B">
        <w:rPr>
          <w:sz w:val="26"/>
          <w:szCs w:val="26"/>
        </w:rPr>
        <w:t xml:space="preserve"> </w:t>
      </w:r>
      <w:r w:rsidRPr="00D4590B">
        <w:rPr>
          <w:sz w:val="26"/>
          <w:szCs w:val="26"/>
        </w:rPr>
        <w:t xml:space="preserve">reflect his development and maturation as an exegete, rather than point to </w:t>
      </w:r>
      <w:r w:rsidR="00CE3A0F" w:rsidRPr="00D4590B">
        <w:rPr>
          <w:sz w:val="26"/>
          <w:szCs w:val="26"/>
        </w:rPr>
        <w:t xml:space="preserve">there being a </w:t>
      </w:r>
      <w:r w:rsidRPr="00D4590B">
        <w:rPr>
          <w:sz w:val="26"/>
          <w:szCs w:val="26"/>
        </w:rPr>
        <w:t>different author.</w:t>
      </w:r>
    </w:p>
    <w:p w:rsidR="00975572" w:rsidRDefault="00975572" w:rsidP="00FF0B7D">
      <w:pPr>
        <w:spacing w:line="300" w:lineRule="exact"/>
        <w:ind w:firstLine="284"/>
        <w:jc w:val="both"/>
        <w:rPr>
          <w:sz w:val="26"/>
          <w:szCs w:val="26"/>
        </w:rPr>
      </w:pPr>
      <w:r w:rsidRPr="00D4590B">
        <w:rPr>
          <w:sz w:val="26"/>
          <w:szCs w:val="26"/>
        </w:rPr>
        <w:t xml:space="preserve">While Grunhaus does not address the seeming </w:t>
      </w:r>
      <w:r w:rsidRPr="00D4590B">
        <w:rPr>
          <w:i/>
          <w:iCs/>
          <w:sz w:val="26"/>
          <w:szCs w:val="26"/>
        </w:rPr>
        <w:t>likelihood</w:t>
      </w:r>
      <w:r w:rsidRPr="00D4590B">
        <w:rPr>
          <w:sz w:val="26"/>
          <w:szCs w:val="26"/>
        </w:rPr>
        <w:t xml:space="preserve"> </w:t>
      </w:r>
      <w:r w:rsidR="001F1E14">
        <w:rPr>
          <w:sz w:val="26"/>
          <w:szCs w:val="26"/>
        </w:rPr>
        <w:t>that</w:t>
      </w:r>
      <w:r w:rsidR="00CE3A0F" w:rsidRPr="00D4590B">
        <w:rPr>
          <w:sz w:val="26"/>
          <w:szCs w:val="26"/>
        </w:rPr>
        <w:t xml:space="preserve"> this </w:t>
      </w:r>
      <w:r w:rsidR="001F1E14">
        <w:rPr>
          <w:sz w:val="26"/>
          <w:szCs w:val="26"/>
        </w:rPr>
        <w:t>is</w:t>
      </w:r>
      <w:r w:rsidR="00CE3A0F" w:rsidRPr="00D4590B">
        <w:rPr>
          <w:sz w:val="26"/>
          <w:szCs w:val="26"/>
        </w:rPr>
        <w:t xml:space="preserve"> the</w:t>
      </w:r>
      <w:r w:rsidRPr="00D4590B">
        <w:rPr>
          <w:sz w:val="26"/>
          <w:szCs w:val="26"/>
        </w:rPr>
        <w:t xml:space="preserve"> author’s first commentary, s</w:t>
      </w:r>
      <w:r w:rsidR="00556A17" w:rsidRPr="00D4590B">
        <w:rPr>
          <w:sz w:val="26"/>
          <w:szCs w:val="26"/>
        </w:rPr>
        <w:t xml:space="preserve">he does </w:t>
      </w:r>
      <w:r w:rsidR="00CE3A0F" w:rsidRPr="00D4590B">
        <w:rPr>
          <w:sz w:val="26"/>
          <w:szCs w:val="26"/>
        </w:rPr>
        <w:t xml:space="preserve">relate </w:t>
      </w:r>
      <w:r w:rsidR="00556A17" w:rsidRPr="00D4590B">
        <w:rPr>
          <w:sz w:val="26"/>
          <w:szCs w:val="26"/>
        </w:rPr>
        <w:t>to the argument</w:t>
      </w:r>
      <w:r w:rsidRPr="00D4590B">
        <w:rPr>
          <w:sz w:val="26"/>
          <w:szCs w:val="26"/>
        </w:rPr>
        <w:t xml:space="preserve"> that if </w:t>
      </w:r>
      <w:proofErr w:type="spellStart"/>
      <w:r w:rsidRPr="00D4590B">
        <w:rPr>
          <w:sz w:val="26"/>
          <w:szCs w:val="26"/>
        </w:rPr>
        <w:t>Radak</w:t>
      </w:r>
      <w:proofErr w:type="spellEnd"/>
      <w:r w:rsidRPr="00D4590B">
        <w:rPr>
          <w:sz w:val="26"/>
          <w:szCs w:val="26"/>
        </w:rPr>
        <w:t xml:space="preserve"> </w:t>
      </w:r>
      <w:r w:rsidRPr="00D4590B">
        <w:rPr>
          <w:sz w:val="26"/>
          <w:szCs w:val="26"/>
        </w:rPr>
        <w:lastRenderedPageBreak/>
        <w:t>composed the work relatively early, this could account for its distinctive characteristics:</w:t>
      </w:r>
    </w:p>
    <w:p w:rsidR="00E663C7" w:rsidRPr="00D4590B" w:rsidRDefault="00E663C7" w:rsidP="00D4590B">
      <w:pPr>
        <w:spacing w:line="300" w:lineRule="exact"/>
        <w:jc w:val="both"/>
        <w:rPr>
          <w:sz w:val="26"/>
          <w:szCs w:val="26"/>
        </w:rPr>
      </w:pPr>
    </w:p>
    <w:p w:rsidR="00975572" w:rsidRDefault="00975572" w:rsidP="00E663C7">
      <w:pPr>
        <w:spacing w:line="300" w:lineRule="exact"/>
        <w:ind w:left="720"/>
        <w:jc w:val="both"/>
        <w:rPr>
          <w:sz w:val="26"/>
          <w:szCs w:val="26"/>
        </w:rPr>
      </w:pPr>
      <w:r w:rsidRPr="00D4590B">
        <w:rPr>
          <w:sz w:val="26"/>
          <w:szCs w:val="26"/>
        </w:rPr>
        <w:t xml:space="preserve">If </w:t>
      </w:r>
      <w:proofErr w:type="spellStart"/>
      <w:r w:rsidRPr="00D4590B">
        <w:rPr>
          <w:sz w:val="26"/>
          <w:szCs w:val="26"/>
        </w:rPr>
        <w:t>Radak</w:t>
      </w:r>
      <w:proofErr w:type="spellEnd"/>
      <w:r w:rsidRPr="00D4590B">
        <w:rPr>
          <w:sz w:val="26"/>
          <w:szCs w:val="26"/>
        </w:rPr>
        <w:t xml:space="preserve"> had in fact written </w:t>
      </w:r>
      <w:r w:rsidRPr="00D4590B">
        <w:rPr>
          <w:i/>
          <w:iCs/>
          <w:sz w:val="26"/>
          <w:szCs w:val="26"/>
        </w:rPr>
        <w:t>the commentary</w:t>
      </w:r>
      <w:r w:rsidRPr="00D4590B">
        <w:rPr>
          <w:sz w:val="26"/>
          <w:szCs w:val="26"/>
        </w:rPr>
        <w:t>, he would have had to have written it after the grammatical works because of the mention of [</w:t>
      </w:r>
      <w:proofErr w:type="spellStart"/>
      <w:r w:rsidRPr="00D4590B">
        <w:rPr>
          <w:sz w:val="26"/>
          <w:szCs w:val="26"/>
        </w:rPr>
        <w:t>Radak’s</w:t>
      </w:r>
      <w:proofErr w:type="spellEnd"/>
      <w:r w:rsidRPr="00D4590B">
        <w:rPr>
          <w:sz w:val="26"/>
          <w:szCs w:val="26"/>
        </w:rPr>
        <w:t xml:space="preserve"> </w:t>
      </w:r>
      <w:proofErr w:type="spellStart"/>
      <w:r w:rsidRPr="00D4590B">
        <w:rPr>
          <w:i/>
          <w:iCs/>
          <w:sz w:val="26"/>
          <w:szCs w:val="26"/>
        </w:rPr>
        <w:t>Mikhlol</w:t>
      </w:r>
      <w:proofErr w:type="spellEnd"/>
      <w:r w:rsidRPr="00D4590B">
        <w:rPr>
          <w:sz w:val="26"/>
          <w:szCs w:val="26"/>
        </w:rPr>
        <w:t>] in the comment on Prov. 5:22.</w:t>
      </w:r>
      <w:r w:rsidRPr="00D4590B">
        <w:rPr>
          <w:rStyle w:val="a4"/>
          <w:sz w:val="26"/>
          <w:szCs w:val="26"/>
        </w:rPr>
        <w:footnoteReference w:id="14"/>
      </w:r>
      <w:r w:rsidR="008515BC" w:rsidRPr="00D4590B">
        <w:rPr>
          <w:sz w:val="26"/>
          <w:szCs w:val="26"/>
        </w:rPr>
        <w:t xml:space="preserve"> </w:t>
      </w:r>
      <w:r w:rsidRPr="00D4590B">
        <w:rPr>
          <w:sz w:val="26"/>
          <w:szCs w:val="26"/>
        </w:rPr>
        <w:t xml:space="preserve">On the other hand, the commentary’s primitive, rudimentary nature relative to </w:t>
      </w:r>
      <w:proofErr w:type="spellStart"/>
      <w:r w:rsidRPr="00D4590B">
        <w:rPr>
          <w:sz w:val="26"/>
          <w:szCs w:val="26"/>
        </w:rPr>
        <w:t>Radak’s</w:t>
      </w:r>
      <w:proofErr w:type="spellEnd"/>
      <w:r w:rsidRPr="00D4590B">
        <w:rPr>
          <w:sz w:val="26"/>
          <w:szCs w:val="26"/>
        </w:rPr>
        <w:t xml:space="preserve"> works and lack of reference to those works implies that if he had written it at all, he would have to have done it </w:t>
      </w:r>
      <w:r w:rsidRPr="00D4590B">
        <w:rPr>
          <w:i/>
          <w:iCs/>
          <w:sz w:val="26"/>
          <w:szCs w:val="26"/>
        </w:rPr>
        <w:t>before</w:t>
      </w:r>
      <w:r w:rsidRPr="00D4590B">
        <w:rPr>
          <w:sz w:val="26"/>
          <w:szCs w:val="26"/>
        </w:rPr>
        <w:t xml:space="preserve"> the grammatical works, which leaves the example of the comment on Prov. 5:22 without explanation.</w:t>
      </w:r>
      <w:r w:rsidRPr="00D4590B">
        <w:rPr>
          <w:rStyle w:val="a4"/>
          <w:sz w:val="26"/>
          <w:szCs w:val="26"/>
        </w:rPr>
        <w:footnoteReference w:id="15"/>
      </w:r>
      <w:r w:rsidR="008515BC" w:rsidRPr="00D4590B">
        <w:rPr>
          <w:sz w:val="26"/>
          <w:szCs w:val="26"/>
        </w:rPr>
        <w:t xml:space="preserve"> </w:t>
      </w:r>
      <w:r w:rsidRPr="00D4590B">
        <w:rPr>
          <w:sz w:val="26"/>
          <w:szCs w:val="26"/>
        </w:rPr>
        <w:t xml:space="preserve">On balance, then, the most logical conclusion is that </w:t>
      </w:r>
      <w:proofErr w:type="spellStart"/>
      <w:r w:rsidRPr="00D4590B">
        <w:rPr>
          <w:sz w:val="26"/>
          <w:szCs w:val="26"/>
        </w:rPr>
        <w:t>Radak</w:t>
      </w:r>
      <w:proofErr w:type="spellEnd"/>
      <w:r w:rsidRPr="00D4590B">
        <w:rPr>
          <w:sz w:val="26"/>
          <w:szCs w:val="26"/>
        </w:rPr>
        <w:t xml:space="preserve"> did not write </w:t>
      </w:r>
      <w:r w:rsidRPr="00D4590B">
        <w:rPr>
          <w:i/>
          <w:iCs/>
          <w:sz w:val="26"/>
          <w:szCs w:val="26"/>
        </w:rPr>
        <w:t>the commentary</w:t>
      </w:r>
      <w:r w:rsidRPr="00D4590B">
        <w:rPr>
          <w:sz w:val="26"/>
          <w:szCs w:val="26"/>
        </w:rPr>
        <w:t xml:space="preserve"> [italics in the original</w:t>
      </w:r>
      <w:r w:rsidR="00CE3A0F" w:rsidRPr="00D4590B">
        <w:rPr>
          <w:sz w:val="26"/>
          <w:szCs w:val="26"/>
        </w:rPr>
        <w:t>].</w:t>
      </w:r>
      <w:r w:rsidRPr="00D4590B">
        <w:rPr>
          <w:rStyle w:val="a4"/>
          <w:sz w:val="26"/>
          <w:szCs w:val="26"/>
        </w:rPr>
        <w:footnoteReference w:id="16"/>
      </w:r>
    </w:p>
    <w:p w:rsidR="00E663C7" w:rsidRPr="00D4590B" w:rsidRDefault="00E663C7" w:rsidP="00E663C7">
      <w:pPr>
        <w:spacing w:line="300" w:lineRule="exact"/>
        <w:ind w:left="720"/>
        <w:jc w:val="both"/>
        <w:rPr>
          <w:sz w:val="26"/>
          <w:szCs w:val="26"/>
        </w:rPr>
      </w:pPr>
    </w:p>
    <w:p w:rsidR="00975572" w:rsidRPr="00D4590B" w:rsidRDefault="00975572" w:rsidP="00D4590B">
      <w:pPr>
        <w:spacing w:line="300" w:lineRule="exact"/>
        <w:jc w:val="both"/>
        <w:rPr>
          <w:sz w:val="26"/>
          <w:szCs w:val="26"/>
        </w:rPr>
      </w:pPr>
      <w:r w:rsidRPr="00D4590B">
        <w:rPr>
          <w:sz w:val="26"/>
          <w:szCs w:val="26"/>
        </w:rPr>
        <w:t xml:space="preserve">It is generally agreed that </w:t>
      </w:r>
      <w:proofErr w:type="spellStart"/>
      <w:r w:rsidRPr="00D4590B">
        <w:rPr>
          <w:sz w:val="26"/>
          <w:szCs w:val="26"/>
        </w:rPr>
        <w:t>Radak</w:t>
      </w:r>
      <w:proofErr w:type="spellEnd"/>
      <w:r w:rsidRPr="00D4590B">
        <w:rPr>
          <w:sz w:val="26"/>
          <w:szCs w:val="26"/>
        </w:rPr>
        <w:t xml:space="preserve"> composed his biblical commentaries after </w:t>
      </w:r>
      <w:proofErr w:type="spellStart"/>
      <w:r w:rsidRPr="00D4590B">
        <w:rPr>
          <w:i/>
          <w:iCs/>
          <w:sz w:val="26"/>
          <w:szCs w:val="26"/>
        </w:rPr>
        <w:t>Mikhlol</w:t>
      </w:r>
      <w:proofErr w:type="spellEnd"/>
      <w:r w:rsidRPr="00D4590B">
        <w:rPr>
          <w:sz w:val="26"/>
          <w:szCs w:val="26"/>
        </w:rPr>
        <w:t>,</w:t>
      </w:r>
      <w:r w:rsidRPr="00D4590B">
        <w:rPr>
          <w:rStyle w:val="a4"/>
          <w:sz w:val="26"/>
          <w:szCs w:val="26"/>
        </w:rPr>
        <w:footnoteReference w:id="17"/>
      </w:r>
      <w:r w:rsidRPr="00D4590B">
        <w:rPr>
          <w:sz w:val="26"/>
          <w:szCs w:val="26"/>
        </w:rPr>
        <w:t xml:space="preserve"> and this reference to the grammatical work indeed </w:t>
      </w:r>
      <w:r w:rsidR="00CE3A0F" w:rsidRPr="00D4590B">
        <w:rPr>
          <w:sz w:val="26"/>
          <w:szCs w:val="26"/>
        </w:rPr>
        <w:t xml:space="preserve">implies </w:t>
      </w:r>
      <w:r w:rsidRPr="00D4590B">
        <w:rPr>
          <w:sz w:val="26"/>
          <w:szCs w:val="26"/>
        </w:rPr>
        <w:t>that the Prov</w:t>
      </w:r>
      <w:r w:rsidR="00CC657A" w:rsidRPr="00D4590B">
        <w:rPr>
          <w:sz w:val="26"/>
          <w:szCs w:val="26"/>
        </w:rPr>
        <w:t xml:space="preserve">erbs commentary, if </w:t>
      </w:r>
      <w:r w:rsidR="00CE3A0F" w:rsidRPr="00D4590B">
        <w:rPr>
          <w:sz w:val="26"/>
          <w:szCs w:val="26"/>
        </w:rPr>
        <w:t xml:space="preserve">indeed authored by </w:t>
      </w:r>
      <w:proofErr w:type="spellStart"/>
      <w:r w:rsidR="00CC657A" w:rsidRPr="00D4590B">
        <w:rPr>
          <w:sz w:val="26"/>
          <w:szCs w:val="26"/>
        </w:rPr>
        <w:t>Radak</w:t>
      </w:r>
      <w:proofErr w:type="spellEnd"/>
      <w:r w:rsidRPr="00D4590B">
        <w:rPr>
          <w:sz w:val="26"/>
          <w:szCs w:val="26"/>
        </w:rPr>
        <w:t>, would be no exception.</w:t>
      </w:r>
    </w:p>
    <w:p w:rsidR="00975572" w:rsidRPr="00D4590B" w:rsidRDefault="00CE3A0F" w:rsidP="00DD2D2F">
      <w:pPr>
        <w:spacing w:line="300" w:lineRule="exact"/>
        <w:ind w:firstLine="284"/>
        <w:jc w:val="both"/>
        <w:rPr>
          <w:sz w:val="26"/>
          <w:szCs w:val="26"/>
        </w:rPr>
      </w:pPr>
      <w:r w:rsidRPr="00D4590B">
        <w:rPr>
          <w:sz w:val="26"/>
          <w:szCs w:val="26"/>
        </w:rPr>
        <w:t>It</w:t>
      </w:r>
      <w:r w:rsidR="00975572" w:rsidRPr="00D4590B">
        <w:rPr>
          <w:sz w:val="26"/>
          <w:szCs w:val="26"/>
        </w:rPr>
        <w:t xml:space="preserve"> is </w:t>
      </w:r>
      <w:r w:rsidRPr="00D4590B">
        <w:rPr>
          <w:sz w:val="26"/>
          <w:szCs w:val="26"/>
        </w:rPr>
        <w:t xml:space="preserve">difficult, however, </w:t>
      </w:r>
      <w:r w:rsidR="00975572" w:rsidRPr="00D4590B">
        <w:rPr>
          <w:sz w:val="26"/>
          <w:szCs w:val="26"/>
        </w:rPr>
        <w:t xml:space="preserve">to accept the parallel claim that in light of the commentary’s relatively “primitive and rudimentary nature,” it would have </w:t>
      </w:r>
      <w:r w:rsidR="001E53D5" w:rsidRPr="00D4590B">
        <w:rPr>
          <w:sz w:val="26"/>
          <w:szCs w:val="26"/>
        </w:rPr>
        <w:t xml:space="preserve">had to </w:t>
      </w:r>
      <w:r w:rsidR="00975572" w:rsidRPr="00D4590B">
        <w:rPr>
          <w:sz w:val="26"/>
          <w:szCs w:val="26"/>
        </w:rPr>
        <w:t>predate the phil</w:t>
      </w:r>
      <w:r w:rsidR="00B5338A" w:rsidRPr="00D4590B">
        <w:rPr>
          <w:sz w:val="26"/>
          <w:szCs w:val="26"/>
        </w:rPr>
        <w:t xml:space="preserve">ological works </w:t>
      </w:r>
      <w:r w:rsidR="001E53D5" w:rsidRPr="00D4590B">
        <w:rPr>
          <w:sz w:val="26"/>
          <w:szCs w:val="26"/>
        </w:rPr>
        <w:t xml:space="preserve">if </w:t>
      </w:r>
      <w:proofErr w:type="spellStart"/>
      <w:r w:rsidR="00B5338A" w:rsidRPr="00D4590B">
        <w:rPr>
          <w:sz w:val="26"/>
          <w:szCs w:val="26"/>
        </w:rPr>
        <w:t>Radak</w:t>
      </w:r>
      <w:proofErr w:type="spellEnd"/>
      <w:r w:rsidR="00B5338A" w:rsidRPr="00D4590B">
        <w:rPr>
          <w:sz w:val="26"/>
          <w:szCs w:val="26"/>
        </w:rPr>
        <w:t xml:space="preserve"> </w:t>
      </w:r>
      <w:r w:rsidR="001E53D5" w:rsidRPr="00D4590B">
        <w:rPr>
          <w:sz w:val="26"/>
          <w:szCs w:val="26"/>
        </w:rPr>
        <w:t xml:space="preserve">were </w:t>
      </w:r>
      <w:r w:rsidR="00975572" w:rsidRPr="00D4590B">
        <w:rPr>
          <w:sz w:val="26"/>
          <w:szCs w:val="26"/>
        </w:rPr>
        <w:t>it</w:t>
      </w:r>
      <w:r w:rsidR="00B5338A" w:rsidRPr="00D4590B">
        <w:rPr>
          <w:sz w:val="26"/>
          <w:szCs w:val="26"/>
        </w:rPr>
        <w:t>s author</w:t>
      </w:r>
      <w:r w:rsidR="00975572" w:rsidRPr="00D4590B">
        <w:rPr>
          <w:sz w:val="26"/>
          <w:szCs w:val="26"/>
        </w:rPr>
        <w:t>.</w:t>
      </w:r>
      <w:r w:rsidR="008515BC" w:rsidRPr="00D4590B">
        <w:rPr>
          <w:sz w:val="26"/>
          <w:szCs w:val="26"/>
        </w:rPr>
        <w:t xml:space="preserve"> </w:t>
      </w:r>
      <w:r w:rsidR="001E53D5" w:rsidRPr="00D4590B">
        <w:rPr>
          <w:sz w:val="26"/>
          <w:szCs w:val="26"/>
        </w:rPr>
        <w:t>Even if</w:t>
      </w:r>
      <w:r w:rsidR="00975572" w:rsidRPr="00D4590B">
        <w:rPr>
          <w:sz w:val="26"/>
          <w:szCs w:val="26"/>
        </w:rPr>
        <w:t xml:space="preserve"> </w:t>
      </w:r>
      <w:proofErr w:type="spellStart"/>
      <w:r w:rsidR="00975572" w:rsidRPr="00D4590B">
        <w:rPr>
          <w:sz w:val="26"/>
          <w:szCs w:val="26"/>
        </w:rPr>
        <w:t>Radak’s</w:t>
      </w:r>
      <w:proofErr w:type="spellEnd"/>
      <w:r w:rsidR="00975572" w:rsidRPr="00D4590B">
        <w:rPr>
          <w:sz w:val="26"/>
          <w:szCs w:val="26"/>
        </w:rPr>
        <w:t xml:space="preserve"> </w:t>
      </w:r>
      <w:proofErr w:type="spellStart"/>
      <w:r w:rsidR="00975572" w:rsidRPr="00D4590B">
        <w:rPr>
          <w:i/>
          <w:iCs/>
          <w:sz w:val="26"/>
          <w:szCs w:val="26"/>
        </w:rPr>
        <w:t>Mikhlol</w:t>
      </w:r>
      <w:proofErr w:type="spellEnd"/>
      <w:r w:rsidR="00975572" w:rsidRPr="00D4590B">
        <w:rPr>
          <w:sz w:val="26"/>
          <w:szCs w:val="26"/>
        </w:rPr>
        <w:t xml:space="preserve"> and</w:t>
      </w:r>
      <w:r w:rsidR="00975572" w:rsidRPr="00D4590B">
        <w:rPr>
          <w:i/>
          <w:iCs/>
          <w:sz w:val="26"/>
          <w:szCs w:val="26"/>
        </w:rPr>
        <w:t xml:space="preserve"> </w:t>
      </w:r>
      <w:proofErr w:type="spellStart"/>
      <w:r w:rsidR="001E48BC" w:rsidRPr="00D4590B">
        <w:rPr>
          <w:i/>
          <w:iCs/>
          <w:sz w:val="26"/>
          <w:szCs w:val="26"/>
        </w:rPr>
        <w:t>Sefer</w:t>
      </w:r>
      <w:proofErr w:type="spellEnd"/>
      <w:r w:rsidR="001E48BC" w:rsidRPr="00D4590B">
        <w:rPr>
          <w:i/>
          <w:iCs/>
          <w:sz w:val="26"/>
          <w:szCs w:val="26"/>
        </w:rPr>
        <w:t xml:space="preserve"> ha-</w:t>
      </w:r>
      <w:r w:rsidR="00975572" w:rsidRPr="00D4590B">
        <w:rPr>
          <w:i/>
          <w:iCs/>
          <w:sz w:val="26"/>
          <w:szCs w:val="26"/>
        </w:rPr>
        <w:t>Shorashim</w:t>
      </w:r>
      <w:r w:rsidR="00975572" w:rsidRPr="00D4590B">
        <w:rPr>
          <w:sz w:val="26"/>
          <w:szCs w:val="26"/>
        </w:rPr>
        <w:t xml:space="preserve"> </w:t>
      </w:r>
      <w:r w:rsidR="001E53D5" w:rsidRPr="00D4590B">
        <w:rPr>
          <w:sz w:val="26"/>
          <w:szCs w:val="26"/>
        </w:rPr>
        <w:t xml:space="preserve">are seen to </w:t>
      </w:r>
      <w:r w:rsidR="00975572" w:rsidRPr="00D4590B">
        <w:rPr>
          <w:sz w:val="26"/>
          <w:szCs w:val="26"/>
        </w:rPr>
        <w:t>exhibit greater breadth and expansiveness,</w:t>
      </w:r>
      <w:r w:rsidR="00975572" w:rsidRPr="00D4590B">
        <w:rPr>
          <w:rStyle w:val="a4"/>
          <w:sz w:val="26"/>
          <w:szCs w:val="26"/>
        </w:rPr>
        <w:footnoteReference w:id="18"/>
      </w:r>
      <w:r w:rsidR="00975572" w:rsidRPr="00D4590B">
        <w:rPr>
          <w:sz w:val="26"/>
          <w:szCs w:val="26"/>
        </w:rPr>
        <w:t xml:space="preserve"> th</w:t>
      </w:r>
      <w:r w:rsidR="002F24E4" w:rsidRPr="00D4590B">
        <w:rPr>
          <w:sz w:val="26"/>
          <w:szCs w:val="26"/>
        </w:rPr>
        <w:t>e</w:t>
      </w:r>
      <w:r w:rsidR="00975572" w:rsidRPr="00D4590B">
        <w:rPr>
          <w:sz w:val="26"/>
          <w:szCs w:val="26"/>
        </w:rPr>
        <w:t xml:space="preserve"> </w:t>
      </w:r>
      <w:r w:rsidR="002F24E4" w:rsidRPr="00D4590B">
        <w:rPr>
          <w:sz w:val="26"/>
          <w:szCs w:val="26"/>
        </w:rPr>
        <w:t xml:space="preserve">argument </w:t>
      </w:r>
      <w:r w:rsidR="00975572" w:rsidRPr="00D4590B">
        <w:rPr>
          <w:sz w:val="26"/>
          <w:szCs w:val="26"/>
        </w:rPr>
        <w:t xml:space="preserve">would have to be </w:t>
      </w:r>
      <w:r w:rsidR="002F24E4" w:rsidRPr="00D4590B">
        <w:rPr>
          <w:sz w:val="26"/>
          <w:szCs w:val="26"/>
        </w:rPr>
        <w:t>ma</w:t>
      </w:r>
      <w:r w:rsidR="00975572" w:rsidRPr="00D4590B">
        <w:rPr>
          <w:sz w:val="26"/>
          <w:szCs w:val="26"/>
        </w:rPr>
        <w:t>d</w:t>
      </w:r>
      <w:r w:rsidR="002F24E4" w:rsidRPr="00D4590B">
        <w:rPr>
          <w:sz w:val="26"/>
          <w:szCs w:val="26"/>
        </w:rPr>
        <w:t>e</w:t>
      </w:r>
      <w:r w:rsidR="00975572" w:rsidRPr="00D4590B">
        <w:rPr>
          <w:sz w:val="26"/>
          <w:szCs w:val="26"/>
        </w:rPr>
        <w:t xml:space="preserve"> carefully taking into account the basic difference between a lexicon or </w:t>
      </w:r>
      <w:r w:rsidR="00975572" w:rsidRPr="00D4590B">
        <w:rPr>
          <w:sz w:val="26"/>
          <w:szCs w:val="26"/>
        </w:rPr>
        <w:lastRenderedPageBreak/>
        <w:t>grammatical treatise and a commentary.</w:t>
      </w:r>
      <w:r w:rsidR="008515BC" w:rsidRPr="00D4590B">
        <w:rPr>
          <w:sz w:val="26"/>
          <w:szCs w:val="26"/>
        </w:rPr>
        <w:t xml:space="preserve"> </w:t>
      </w:r>
      <w:r w:rsidR="00975572" w:rsidRPr="00D4590B">
        <w:rPr>
          <w:sz w:val="26"/>
          <w:szCs w:val="26"/>
        </w:rPr>
        <w:t xml:space="preserve">It is quite doubtful that </w:t>
      </w:r>
      <w:r w:rsidR="002F24E4" w:rsidRPr="00D4590B">
        <w:rPr>
          <w:sz w:val="26"/>
          <w:szCs w:val="26"/>
        </w:rPr>
        <w:t>this could be done persuasively</w:t>
      </w:r>
      <w:r w:rsidR="00975572" w:rsidRPr="00D4590B">
        <w:rPr>
          <w:sz w:val="26"/>
          <w:szCs w:val="26"/>
        </w:rPr>
        <w:t>.</w:t>
      </w:r>
      <w:r w:rsidR="008515BC" w:rsidRPr="00D4590B">
        <w:rPr>
          <w:sz w:val="26"/>
          <w:szCs w:val="26"/>
        </w:rPr>
        <w:t xml:space="preserve"> </w:t>
      </w:r>
      <w:r w:rsidR="00975572" w:rsidRPr="00D4590B">
        <w:rPr>
          <w:sz w:val="26"/>
          <w:szCs w:val="26"/>
        </w:rPr>
        <w:t xml:space="preserve">Furthermore, as we shall see, there is growing evidence that </w:t>
      </w:r>
      <w:proofErr w:type="spellStart"/>
      <w:r w:rsidR="00975572" w:rsidRPr="00D4590B">
        <w:rPr>
          <w:sz w:val="26"/>
          <w:szCs w:val="26"/>
        </w:rPr>
        <w:t>Radak</w:t>
      </w:r>
      <w:proofErr w:type="spellEnd"/>
      <w:r w:rsidR="00975572" w:rsidRPr="00D4590B">
        <w:rPr>
          <w:sz w:val="26"/>
          <w:szCs w:val="26"/>
        </w:rPr>
        <w:t xml:space="preserve"> did not hesitate to add material to works that he had already completed—including </w:t>
      </w:r>
      <w:r w:rsidR="00975572" w:rsidRPr="00D4590B">
        <w:rPr>
          <w:i/>
          <w:iCs/>
          <w:sz w:val="26"/>
          <w:szCs w:val="26"/>
        </w:rPr>
        <w:t>Shorashim</w:t>
      </w:r>
      <w:r w:rsidR="00975572" w:rsidRPr="00D4590B">
        <w:rPr>
          <w:sz w:val="26"/>
          <w:szCs w:val="26"/>
        </w:rPr>
        <w:t xml:space="preserve">—to the point where the final </w:t>
      </w:r>
      <w:r w:rsidR="001E53D5" w:rsidRPr="00D4590B">
        <w:rPr>
          <w:sz w:val="26"/>
          <w:szCs w:val="26"/>
        </w:rPr>
        <w:t xml:space="preserve">version </w:t>
      </w:r>
      <w:r w:rsidR="00975572" w:rsidRPr="00D4590B">
        <w:rPr>
          <w:sz w:val="26"/>
          <w:szCs w:val="26"/>
        </w:rPr>
        <w:t>might look rather different from the original.</w:t>
      </w:r>
      <w:r w:rsidR="00975572" w:rsidRPr="00D4590B">
        <w:rPr>
          <w:rStyle w:val="a4"/>
          <w:sz w:val="26"/>
          <w:szCs w:val="26"/>
        </w:rPr>
        <w:footnoteReference w:id="19"/>
      </w:r>
      <w:r w:rsidR="008515BC" w:rsidRPr="00D4590B">
        <w:rPr>
          <w:sz w:val="26"/>
          <w:szCs w:val="26"/>
        </w:rPr>
        <w:t xml:space="preserve"> </w:t>
      </w:r>
      <w:r w:rsidR="00975572" w:rsidRPr="00D4590B">
        <w:rPr>
          <w:sz w:val="26"/>
          <w:szCs w:val="26"/>
        </w:rPr>
        <w:t xml:space="preserve">Accordingly, based on evidence currently available, we cannot confidently determine the compositional history of </w:t>
      </w:r>
      <w:r w:rsidR="00975572" w:rsidRPr="00D4590B">
        <w:rPr>
          <w:i/>
          <w:iCs/>
          <w:sz w:val="26"/>
          <w:szCs w:val="26"/>
        </w:rPr>
        <w:t>Shorashim</w:t>
      </w:r>
      <w:r w:rsidR="00975572" w:rsidRPr="00D4590B">
        <w:rPr>
          <w:sz w:val="26"/>
          <w:szCs w:val="26"/>
        </w:rPr>
        <w:t xml:space="preserve">—particularly in the case of many of its more expansive entries—or, for that matter, of </w:t>
      </w:r>
      <w:proofErr w:type="spellStart"/>
      <w:r w:rsidR="00975572" w:rsidRPr="00D4590B">
        <w:rPr>
          <w:i/>
          <w:iCs/>
          <w:sz w:val="26"/>
          <w:szCs w:val="26"/>
        </w:rPr>
        <w:t>Mikhlol</w:t>
      </w:r>
      <w:proofErr w:type="spellEnd"/>
      <w:r w:rsidR="00975572" w:rsidRPr="00D4590B">
        <w:rPr>
          <w:sz w:val="26"/>
          <w:szCs w:val="26"/>
        </w:rPr>
        <w:t>, which was originally part of the same work.</w:t>
      </w:r>
      <w:r w:rsidR="008515BC" w:rsidRPr="00D4590B">
        <w:rPr>
          <w:sz w:val="26"/>
          <w:szCs w:val="26"/>
        </w:rPr>
        <w:t xml:space="preserve"> </w:t>
      </w:r>
      <w:r w:rsidR="001E53D5" w:rsidRPr="00D4590B">
        <w:rPr>
          <w:sz w:val="26"/>
          <w:szCs w:val="26"/>
        </w:rPr>
        <w:t>Moreover</w:t>
      </w:r>
      <w:r w:rsidR="00975572" w:rsidRPr="00D4590B">
        <w:rPr>
          <w:sz w:val="26"/>
          <w:szCs w:val="26"/>
        </w:rPr>
        <w:t xml:space="preserve">, it cannot be ruled out that the reference to </w:t>
      </w:r>
      <w:proofErr w:type="spellStart"/>
      <w:r w:rsidR="00975572" w:rsidRPr="00D4590B">
        <w:rPr>
          <w:i/>
          <w:iCs/>
          <w:sz w:val="26"/>
          <w:szCs w:val="26"/>
        </w:rPr>
        <w:t>Mikhlol</w:t>
      </w:r>
      <w:proofErr w:type="spellEnd"/>
      <w:r w:rsidR="00975572" w:rsidRPr="00D4590B">
        <w:rPr>
          <w:sz w:val="26"/>
          <w:szCs w:val="26"/>
        </w:rPr>
        <w:t xml:space="preserve"> in the Proverbs commentary is itself a later insertion, which would reopen the possibility that </w:t>
      </w:r>
      <w:proofErr w:type="spellStart"/>
      <w:r w:rsidR="00975572" w:rsidRPr="00D4590B">
        <w:rPr>
          <w:sz w:val="26"/>
          <w:szCs w:val="26"/>
        </w:rPr>
        <w:t>Radak</w:t>
      </w:r>
      <w:proofErr w:type="spellEnd"/>
      <w:r w:rsidR="00975572" w:rsidRPr="00D4590B">
        <w:rPr>
          <w:sz w:val="26"/>
          <w:szCs w:val="26"/>
        </w:rPr>
        <w:t xml:space="preserve"> composed the core of the commentary before producing </w:t>
      </w:r>
      <w:proofErr w:type="spellStart"/>
      <w:r w:rsidR="00975572" w:rsidRPr="00D4590B">
        <w:rPr>
          <w:i/>
          <w:iCs/>
          <w:sz w:val="26"/>
          <w:szCs w:val="26"/>
        </w:rPr>
        <w:t>Mikhlol</w:t>
      </w:r>
      <w:proofErr w:type="spellEnd"/>
      <w:r w:rsidR="00975572" w:rsidRPr="00D4590B">
        <w:rPr>
          <w:sz w:val="26"/>
          <w:szCs w:val="26"/>
        </w:rPr>
        <w:t>.</w:t>
      </w:r>
      <w:r w:rsidR="00975572" w:rsidRPr="00D4590B">
        <w:rPr>
          <w:rStyle w:val="a4"/>
          <w:sz w:val="26"/>
          <w:szCs w:val="26"/>
        </w:rPr>
        <w:footnoteReference w:id="20"/>
      </w:r>
    </w:p>
    <w:p w:rsidR="00975572" w:rsidRPr="00D4590B" w:rsidRDefault="006D491E" w:rsidP="00FF0B7D">
      <w:pPr>
        <w:spacing w:line="300" w:lineRule="exact"/>
        <w:ind w:firstLine="284"/>
        <w:jc w:val="both"/>
        <w:rPr>
          <w:sz w:val="26"/>
          <w:szCs w:val="26"/>
        </w:rPr>
      </w:pPr>
      <w:r w:rsidRPr="00D4590B">
        <w:rPr>
          <w:sz w:val="26"/>
          <w:szCs w:val="26"/>
        </w:rPr>
        <w:lastRenderedPageBreak/>
        <w:t>In</w:t>
      </w:r>
      <w:r w:rsidR="00975572" w:rsidRPr="00D4590B">
        <w:rPr>
          <w:sz w:val="26"/>
          <w:szCs w:val="26"/>
        </w:rPr>
        <w:t xml:space="preserve"> my </w:t>
      </w:r>
      <w:r w:rsidRPr="00D4590B">
        <w:rPr>
          <w:sz w:val="26"/>
          <w:szCs w:val="26"/>
        </w:rPr>
        <w:t>opinion,</w:t>
      </w:r>
      <w:r w:rsidR="00975572" w:rsidRPr="00D4590B">
        <w:rPr>
          <w:sz w:val="26"/>
          <w:szCs w:val="26"/>
        </w:rPr>
        <w:t xml:space="preserve"> </w:t>
      </w:r>
      <w:proofErr w:type="spellStart"/>
      <w:r w:rsidR="00975572" w:rsidRPr="00D4590B">
        <w:rPr>
          <w:sz w:val="26"/>
          <w:szCs w:val="26"/>
        </w:rPr>
        <w:t>Radak</w:t>
      </w:r>
      <w:proofErr w:type="spellEnd"/>
      <w:r w:rsidR="00975572" w:rsidRPr="00D4590B">
        <w:rPr>
          <w:sz w:val="26"/>
          <w:szCs w:val="26"/>
        </w:rPr>
        <w:t xml:space="preserve"> did write the </w:t>
      </w:r>
      <w:r w:rsidR="004E7991">
        <w:rPr>
          <w:sz w:val="26"/>
          <w:szCs w:val="26"/>
        </w:rPr>
        <w:t>commentary on</w:t>
      </w:r>
      <w:r w:rsidR="00975572" w:rsidRPr="00D4590B">
        <w:rPr>
          <w:sz w:val="26"/>
          <w:szCs w:val="26"/>
        </w:rPr>
        <w:t xml:space="preserve"> Proverbs, and it </w:t>
      </w:r>
      <w:r w:rsidR="00386DD1" w:rsidRPr="00D4590B">
        <w:rPr>
          <w:sz w:val="26"/>
          <w:szCs w:val="26"/>
        </w:rPr>
        <w:t xml:space="preserve">was </w:t>
      </w:r>
      <w:r w:rsidR="00975572" w:rsidRPr="00D4590B">
        <w:rPr>
          <w:sz w:val="26"/>
          <w:szCs w:val="26"/>
        </w:rPr>
        <w:t xml:space="preserve">his first </w:t>
      </w:r>
      <w:r w:rsidR="00307BEC" w:rsidRPr="00D4590B">
        <w:rPr>
          <w:sz w:val="26"/>
          <w:szCs w:val="26"/>
        </w:rPr>
        <w:t>exegetic</w:t>
      </w:r>
      <w:r w:rsidR="002E27C3" w:rsidRPr="00D4590B">
        <w:rPr>
          <w:sz w:val="26"/>
          <w:szCs w:val="26"/>
        </w:rPr>
        <w:t>al</w:t>
      </w:r>
      <w:r w:rsidR="00307BEC" w:rsidRPr="00D4590B">
        <w:rPr>
          <w:sz w:val="26"/>
          <w:szCs w:val="26"/>
        </w:rPr>
        <w:t xml:space="preserve"> </w:t>
      </w:r>
      <w:r w:rsidR="00975572" w:rsidRPr="00D4590B">
        <w:rPr>
          <w:sz w:val="26"/>
          <w:szCs w:val="26"/>
        </w:rPr>
        <w:t>work.</w:t>
      </w:r>
      <w:r w:rsidR="008515BC" w:rsidRPr="00D4590B">
        <w:rPr>
          <w:sz w:val="26"/>
          <w:szCs w:val="26"/>
        </w:rPr>
        <w:t xml:space="preserve"> </w:t>
      </w:r>
      <w:r w:rsidR="00975572" w:rsidRPr="00D4590B">
        <w:rPr>
          <w:sz w:val="26"/>
          <w:szCs w:val="26"/>
        </w:rPr>
        <w:t>The commentary’s early composition</w:t>
      </w:r>
      <w:r w:rsidR="00307BEC" w:rsidRPr="00D4590B">
        <w:rPr>
          <w:sz w:val="26"/>
          <w:szCs w:val="26"/>
        </w:rPr>
        <w:t xml:space="preserve"> </w:t>
      </w:r>
      <w:r w:rsidR="00975572" w:rsidRPr="00D4590B">
        <w:rPr>
          <w:sz w:val="26"/>
          <w:szCs w:val="26"/>
        </w:rPr>
        <w:t>indeed account</w:t>
      </w:r>
      <w:r w:rsidR="002E27C3" w:rsidRPr="00D4590B">
        <w:rPr>
          <w:sz w:val="26"/>
          <w:szCs w:val="26"/>
        </w:rPr>
        <w:t>s</w:t>
      </w:r>
      <w:r w:rsidR="00975572" w:rsidRPr="00D4590B">
        <w:rPr>
          <w:sz w:val="26"/>
          <w:szCs w:val="26"/>
        </w:rPr>
        <w:t xml:space="preserve"> for its distinctiveness</w:t>
      </w:r>
      <w:r w:rsidR="002E27C3" w:rsidRPr="00D4590B">
        <w:rPr>
          <w:sz w:val="26"/>
          <w:szCs w:val="26"/>
        </w:rPr>
        <w:t>:</w:t>
      </w:r>
      <w:r w:rsidR="008515BC" w:rsidRPr="00D4590B">
        <w:rPr>
          <w:sz w:val="26"/>
          <w:szCs w:val="26"/>
        </w:rPr>
        <w:t xml:space="preserve"> </w:t>
      </w:r>
      <w:r w:rsidR="002E27C3" w:rsidRPr="00D4590B">
        <w:rPr>
          <w:sz w:val="26"/>
          <w:szCs w:val="26"/>
        </w:rPr>
        <w:t>as will be seen, many of t</w:t>
      </w:r>
      <w:r w:rsidR="00975572" w:rsidRPr="00D4590B">
        <w:rPr>
          <w:sz w:val="26"/>
          <w:szCs w:val="26"/>
        </w:rPr>
        <w:t>he work’s excep</w:t>
      </w:r>
      <w:r w:rsidR="005D1325" w:rsidRPr="00D4590B">
        <w:rPr>
          <w:sz w:val="26"/>
          <w:szCs w:val="26"/>
        </w:rPr>
        <w:t>tional features reflect an</w:t>
      </w:r>
      <w:r w:rsidR="00975572" w:rsidRPr="00D4590B">
        <w:rPr>
          <w:sz w:val="26"/>
          <w:szCs w:val="26"/>
        </w:rPr>
        <w:t xml:space="preserve"> earlier style</w:t>
      </w:r>
      <w:r w:rsidR="00227A51" w:rsidRPr="00D4590B">
        <w:rPr>
          <w:sz w:val="26"/>
          <w:szCs w:val="26"/>
        </w:rPr>
        <w:t xml:space="preserve"> found</w:t>
      </w:r>
      <w:r w:rsidR="00386DD1" w:rsidRPr="00D4590B" w:rsidDel="00227A51">
        <w:rPr>
          <w:sz w:val="26"/>
          <w:szCs w:val="26"/>
        </w:rPr>
        <w:t xml:space="preserve"> </w:t>
      </w:r>
      <w:r w:rsidR="00975572" w:rsidRPr="00D4590B">
        <w:rPr>
          <w:sz w:val="26"/>
          <w:szCs w:val="26"/>
        </w:rPr>
        <w:t xml:space="preserve">in </w:t>
      </w:r>
      <w:proofErr w:type="spellStart"/>
      <w:r w:rsidR="00975572" w:rsidRPr="00D4590B">
        <w:rPr>
          <w:sz w:val="26"/>
          <w:szCs w:val="26"/>
        </w:rPr>
        <w:t>Radak’s</w:t>
      </w:r>
      <w:proofErr w:type="spellEnd"/>
      <w:r w:rsidR="00975572" w:rsidRPr="00D4590B">
        <w:rPr>
          <w:sz w:val="26"/>
          <w:szCs w:val="26"/>
        </w:rPr>
        <w:t xml:space="preserve"> </w:t>
      </w:r>
      <w:r w:rsidR="004E7991">
        <w:rPr>
          <w:sz w:val="26"/>
          <w:szCs w:val="26"/>
        </w:rPr>
        <w:t>commentary on</w:t>
      </w:r>
      <w:r w:rsidR="00975572" w:rsidRPr="00D4590B">
        <w:rPr>
          <w:sz w:val="26"/>
          <w:szCs w:val="26"/>
        </w:rPr>
        <w:t xml:space="preserve"> Chronicles, which is widely assumed to have preceded </w:t>
      </w:r>
      <w:r w:rsidR="00386DD1" w:rsidRPr="00D4590B">
        <w:rPr>
          <w:sz w:val="26"/>
          <w:szCs w:val="26"/>
        </w:rPr>
        <w:t xml:space="preserve">his </w:t>
      </w:r>
      <w:r w:rsidR="00975572" w:rsidRPr="00D4590B">
        <w:rPr>
          <w:sz w:val="26"/>
          <w:szCs w:val="26"/>
        </w:rPr>
        <w:t>other</w:t>
      </w:r>
      <w:r w:rsidR="00386DD1" w:rsidRPr="00D4590B">
        <w:rPr>
          <w:sz w:val="26"/>
          <w:szCs w:val="26"/>
        </w:rPr>
        <w:t xml:space="preserve"> commentaries</w:t>
      </w:r>
      <w:r w:rsidR="00975572" w:rsidRPr="00D4590B">
        <w:rPr>
          <w:sz w:val="26"/>
          <w:szCs w:val="26"/>
        </w:rPr>
        <w:t>.</w:t>
      </w:r>
      <w:r w:rsidR="00975572" w:rsidRPr="00D4590B">
        <w:rPr>
          <w:rStyle w:val="a4"/>
          <w:sz w:val="26"/>
          <w:szCs w:val="26"/>
        </w:rPr>
        <w:footnoteReference w:id="21"/>
      </w:r>
      <w:r w:rsidR="008515BC" w:rsidRPr="00D4590B">
        <w:rPr>
          <w:sz w:val="26"/>
          <w:szCs w:val="26"/>
        </w:rPr>
        <w:t xml:space="preserve"> </w:t>
      </w:r>
      <w:r w:rsidR="00975572" w:rsidRPr="00D4590B">
        <w:rPr>
          <w:sz w:val="26"/>
          <w:szCs w:val="26"/>
        </w:rPr>
        <w:t>This is especially true regard</w:t>
      </w:r>
      <w:r w:rsidR="00386DD1" w:rsidRPr="00D4590B">
        <w:rPr>
          <w:sz w:val="26"/>
          <w:szCs w:val="26"/>
        </w:rPr>
        <w:t>ing</w:t>
      </w:r>
      <w:r w:rsidR="00975572" w:rsidRPr="00D4590B">
        <w:rPr>
          <w:sz w:val="26"/>
          <w:szCs w:val="26"/>
        </w:rPr>
        <w:t xml:space="preserve"> the earlier versions of the Chronicles commentary attested in </w:t>
      </w:r>
      <w:smartTag w:uri="urn:schemas-microsoft-com:office:smarttags" w:element="stockticker">
        <w:r w:rsidR="00975572" w:rsidRPr="00D4590B">
          <w:rPr>
            <w:sz w:val="26"/>
            <w:szCs w:val="26"/>
          </w:rPr>
          <w:t>MSS</w:t>
        </w:r>
      </w:smartTag>
      <w:r w:rsidR="00975572" w:rsidRPr="00D4590B">
        <w:rPr>
          <w:sz w:val="26"/>
          <w:szCs w:val="26"/>
        </w:rPr>
        <w:t xml:space="preserve"> Paris 198 and </w:t>
      </w:r>
      <w:smartTag w:uri="urn:schemas-microsoft-com:office:smarttags" w:element="City">
        <w:smartTag w:uri="urn:schemas-microsoft-com:office:smarttags" w:element="place">
          <w:r w:rsidR="00975572" w:rsidRPr="00D4590B">
            <w:rPr>
              <w:sz w:val="26"/>
              <w:szCs w:val="26"/>
            </w:rPr>
            <w:t>Munich</w:t>
          </w:r>
        </w:smartTag>
      </w:smartTag>
      <w:r w:rsidR="00975572" w:rsidRPr="00D4590B">
        <w:rPr>
          <w:sz w:val="26"/>
          <w:szCs w:val="26"/>
        </w:rPr>
        <w:t xml:space="preserve"> 363, which I have discussed elsewhere in detail.</w:t>
      </w:r>
      <w:r w:rsidR="00975572" w:rsidRPr="00D4590B">
        <w:rPr>
          <w:rStyle w:val="a4"/>
          <w:sz w:val="26"/>
          <w:szCs w:val="26"/>
        </w:rPr>
        <w:footnoteReference w:id="22"/>
      </w:r>
      <w:r w:rsidR="008515BC" w:rsidRPr="00D4590B">
        <w:rPr>
          <w:sz w:val="26"/>
          <w:szCs w:val="26"/>
        </w:rPr>
        <w:t xml:space="preserve"> </w:t>
      </w:r>
      <w:r w:rsidR="00B715C3" w:rsidRPr="00D4590B">
        <w:rPr>
          <w:sz w:val="26"/>
          <w:szCs w:val="26"/>
        </w:rPr>
        <w:t xml:space="preserve">We shall see that </w:t>
      </w:r>
      <w:r w:rsidR="00307BEC" w:rsidRPr="00D4590B">
        <w:rPr>
          <w:sz w:val="26"/>
          <w:szCs w:val="26"/>
        </w:rPr>
        <w:t xml:space="preserve">a </w:t>
      </w:r>
      <w:r w:rsidR="00B715C3" w:rsidRPr="00D4590B">
        <w:rPr>
          <w:sz w:val="26"/>
          <w:szCs w:val="26"/>
        </w:rPr>
        <w:t>c</w:t>
      </w:r>
      <w:r w:rsidR="00975572" w:rsidRPr="00D4590B">
        <w:rPr>
          <w:sz w:val="26"/>
          <w:szCs w:val="26"/>
        </w:rPr>
        <w:t xml:space="preserve">omparison </w:t>
      </w:r>
      <w:r w:rsidR="00386DD1" w:rsidRPr="00D4590B">
        <w:rPr>
          <w:sz w:val="26"/>
          <w:szCs w:val="26"/>
        </w:rPr>
        <w:t xml:space="preserve">of </w:t>
      </w:r>
      <w:r w:rsidR="00975572" w:rsidRPr="00D4590B">
        <w:rPr>
          <w:sz w:val="26"/>
          <w:szCs w:val="26"/>
        </w:rPr>
        <w:t xml:space="preserve">the Proverbs commentary and </w:t>
      </w:r>
      <w:proofErr w:type="spellStart"/>
      <w:r w:rsidR="00975572" w:rsidRPr="00D4590B">
        <w:rPr>
          <w:sz w:val="26"/>
          <w:szCs w:val="26"/>
        </w:rPr>
        <w:t>Radak</w:t>
      </w:r>
      <w:r w:rsidR="00386DD1" w:rsidRPr="00D4590B">
        <w:rPr>
          <w:sz w:val="26"/>
          <w:szCs w:val="26"/>
        </w:rPr>
        <w:t>’s</w:t>
      </w:r>
      <w:proofErr w:type="spellEnd"/>
      <w:r w:rsidR="00386DD1" w:rsidRPr="00D4590B">
        <w:rPr>
          <w:sz w:val="26"/>
          <w:szCs w:val="26"/>
        </w:rPr>
        <w:t xml:space="preserve"> commentary</w:t>
      </w:r>
      <w:r w:rsidR="00975572" w:rsidRPr="00D4590B">
        <w:rPr>
          <w:sz w:val="26"/>
          <w:szCs w:val="26"/>
        </w:rPr>
        <w:t xml:space="preserve"> on Chronicles not only neutralizes the force of numerous arguments against the attribution, but actually yields positive evidence in favor of </w:t>
      </w:r>
      <w:proofErr w:type="spellStart"/>
      <w:r w:rsidR="00975572" w:rsidRPr="00D4590B">
        <w:rPr>
          <w:sz w:val="26"/>
          <w:szCs w:val="26"/>
        </w:rPr>
        <w:t>Radak’s</w:t>
      </w:r>
      <w:proofErr w:type="spellEnd"/>
      <w:r w:rsidR="00975572" w:rsidRPr="00D4590B">
        <w:rPr>
          <w:sz w:val="26"/>
          <w:szCs w:val="26"/>
        </w:rPr>
        <w:t xml:space="preserve"> authorship.</w:t>
      </w:r>
    </w:p>
    <w:p w:rsidR="00975572" w:rsidRDefault="00975572" w:rsidP="00FF0B7D">
      <w:pPr>
        <w:spacing w:line="300" w:lineRule="exact"/>
        <w:ind w:firstLine="284"/>
        <w:jc w:val="both"/>
        <w:rPr>
          <w:sz w:val="26"/>
          <w:szCs w:val="26"/>
        </w:rPr>
      </w:pPr>
      <w:proofErr w:type="spellStart"/>
      <w:r w:rsidRPr="00D4590B">
        <w:rPr>
          <w:sz w:val="26"/>
          <w:szCs w:val="26"/>
        </w:rPr>
        <w:t>Radak’s</w:t>
      </w:r>
      <w:proofErr w:type="spellEnd"/>
      <w:r w:rsidRPr="00D4590B">
        <w:rPr>
          <w:sz w:val="26"/>
          <w:szCs w:val="26"/>
        </w:rPr>
        <w:t xml:space="preserve"> remarks toward the end of his introduction to the Chronicles commentary</w:t>
      </w:r>
      <w:r w:rsidR="00B715C3" w:rsidRPr="00D4590B">
        <w:rPr>
          <w:sz w:val="26"/>
          <w:szCs w:val="26"/>
        </w:rPr>
        <w:t xml:space="preserve"> are instructive</w:t>
      </w:r>
      <w:r w:rsidRPr="00D4590B">
        <w:rPr>
          <w:sz w:val="26"/>
          <w:szCs w:val="26"/>
        </w:rPr>
        <w:t>:</w:t>
      </w:r>
    </w:p>
    <w:p w:rsidR="00E663C7" w:rsidRPr="00D4590B" w:rsidRDefault="00E663C7" w:rsidP="00D4590B">
      <w:pPr>
        <w:spacing w:line="300" w:lineRule="exact"/>
        <w:ind w:firstLine="360"/>
        <w:jc w:val="both"/>
        <w:rPr>
          <w:sz w:val="26"/>
          <w:szCs w:val="26"/>
        </w:rPr>
      </w:pPr>
    </w:p>
    <w:p w:rsidR="00975572" w:rsidRDefault="00975572" w:rsidP="00E663C7">
      <w:pPr>
        <w:spacing w:line="300" w:lineRule="exact"/>
        <w:ind w:left="720"/>
        <w:jc w:val="both"/>
        <w:rPr>
          <w:sz w:val="26"/>
          <w:szCs w:val="26"/>
        </w:rPr>
      </w:pPr>
      <w:r w:rsidRPr="00D4590B">
        <w:rPr>
          <w:sz w:val="26"/>
          <w:szCs w:val="26"/>
        </w:rPr>
        <w:t>This book contains very obscure matters, and matters contradicting those in Samuel and Kings.</w:t>
      </w:r>
      <w:r w:rsidR="008515BC" w:rsidRPr="00D4590B">
        <w:rPr>
          <w:sz w:val="26"/>
          <w:szCs w:val="26"/>
        </w:rPr>
        <w:t xml:space="preserve"> </w:t>
      </w:r>
      <w:r w:rsidRPr="00D4590B">
        <w:rPr>
          <w:sz w:val="26"/>
          <w:szCs w:val="26"/>
        </w:rPr>
        <w:t>And since this book is a</w:t>
      </w:r>
      <w:r w:rsidR="00EF70C0" w:rsidRPr="00D4590B">
        <w:rPr>
          <w:sz w:val="26"/>
          <w:szCs w:val="26"/>
        </w:rPr>
        <w:t>n</w:t>
      </w:r>
      <w:r w:rsidRPr="00D4590B">
        <w:rPr>
          <w:sz w:val="26"/>
          <w:szCs w:val="26"/>
        </w:rPr>
        <w:t xml:space="preserve"> historical account, people have not regularly studied it, nor have I seen any of the early commentators attempt to elucidate it.</w:t>
      </w:r>
      <w:r w:rsidR="008515BC" w:rsidRPr="00D4590B">
        <w:rPr>
          <w:sz w:val="26"/>
          <w:szCs w:val="26"/>
        </w:rPr>
        <w:t xml:space="preserve"> </w:t>
      </w:r>
      <w:r w:rsidRPr="00D4590B">
        <w:rPr>
          <w:sz w:val="26"/>
          <w:szCs w:val="26"/>
        </w:rPr>
        <w:t xml:space="preserve">I did, however, find some commentaries on this book here in </w:t>
      </w:r>
      <w:smartTag w:uri="urn:schemas-microsoft-com:office:smarttags" w:element="City">
        <w:smartTag w:uri="urn:schemas-microsoft-com:office:smarttags" w:element="place">
          <w:r w:rsidRPr="00D4590B">
            <w:rPr>
              <w:sz w:val="26"/>
              <w:szCs w:val="26"/>
            </w:rPr>
            <w:t>Narbonne</w:t>
          </w:r>
        </w:smartTag>
      </w:smartTag>
      <w:r w:rsidRPr="00D4590B">
        <w:rPr>
          <w:sz w:val="26"/>
          <w:szCs w:val="26"/>
        </w:rPr>
        <w:t xml:space="preserve"> (I do not know the names of their authors); but I saw that they mostly follow a </w:t>
      </w:r>
      <w:proofErr w:type="spellStart"/>
      <w:r w:rsidRPr="00D4590B">
        <w:rPr>
          <w:sz w:val="26"/>
          <w:szCs w:val="26"/>
        </w:rPr>
        <w:t>midrashic</w:t>
      </w:r>
      <w:proofErr w:type="spellEnd"/>
      <w:r w:rsidRPr="00D4590B">
        <w:rPr>
          <w:sz w:val="26"/>
          <w:szCs w:val="26"/>
        </w:rPr>
        <w:t xml:space="preserve"> approach.</w:t>
      </w:r>
      <w:r w:rsidR="008515BC" w:rsidRPr="00D4590B">
        <w:rPr>
          <w:sz w:val="26"/>
          <w:szCs w:val="26"/>
        </w:rPr>
        <w:t xml:space="preserve"> </w:t>
      </w:r>
      <w:r w:rsidRPr="00D4590B">
        <w:rPr>
          <w:sz w:val="26"/>
          <w:szCs w:val="26"/>
        </w:rPr>
        <w:t xml:space="preserve">So when a certain scholar from </w:t>
      </w:r>
      <w:smartTag w:uri="urn:schemas-microsoft-com:office:smarttags" w:element="City">
        <w:smartTag w:uri="urn:schemas-microsoft-com:office:smarttags" w:element="place">
          <w:r w:rsidRPr="00D4590B">
            <w:rPr>
              <w:sz w:val="26"/>
              <w:szCs w:val="26"/>
            </w:rPr>
            <w:t>Gerona</w:t>
          </w:r>
        </w:smartTag>
      </w:smartTag>
      <w:r w:rsidRPr="00D4590B">
        <w:rPr>
          <w:sz w:val="26"/>
          <w:szCs w:val="26"/>
        </w:rPr>
        <w:t>, a student of my master, my father, of blessed memory, asked me to write a commentary on it, I saw fit to grant his request.</w:t>
      </w:r>
    </w:p>
    <w:p w:rsidR="00E663C7" w:rsidRPr="00D4590B" w:rsidRDefault="00E663C7" w:rsidP="00E663C7">
      <w:pPr>
        <w:spacing w:line="300" w:lineRule="exact"/>
        <w:ind w:left="720"/>
        <w:jc w:val="both"/>
        <w:rPr>
          <w:sz w:val="26"/>
          <w:szCs w:val="26"/>
        </w:rPr>
      </w:pPr>
    </w:p>
    <w:p w:rsidR="00975572" w:rsidRPr="00D4590B" w:rsidRDefault="00975572" w:rsidP="00D4590B">
      <w:pPr>
        <w:tabs>
          <w:tab w:val="left" w:pos="8640"/>
        </w:tabs>
        <w:spacing w:line="300" w:lineRule="exact"/>
        <w:jc w:val="both"/>
        <w:rPr>
          <w:sz w:val="26"/>
          <w:szCs w:val="26"/>
        </w:rPr>
      </w:pPr>
      <w:r w:rsidRPr="00D4590B">
        <w:rPr>
          <w:sz w:val="26"/>
          <w:szCs w:val="26"/>
        </w:rPr>
        <w:lastRenderedPageBreak/>
        <w:t xml:space="preserve">This explanation of the need for a new </w:t>
      </w:r>
      <w:r w:rsidR="004E7991">
        <w:rPr>
          <w:sz w:val="26"/>
          <w:szCs w:val="26"/>
        </w:rPr>
        <w:t>commentary on</w:t>
      </w:r>
      <w:r w:rsidRPr="00D4590B">
        <w:rPr>
          <w:sz w:val="26"/>
          <w:szCs w:val="26"/>
        </w:rPr>
        <w:t xml:space="preserve"> Chronicles, as Grunhaus acknowledges,</w:t>
      </w:r>
      <w:r w:rsidRPr="00D4590B">
        <w:rPr>
          <w:rStyle w:val="a4"/>
          <w:sz w:val="26"/>
          <w:szCs w:val="26"/>
        </w:rPr>
        <w:footnoteReference w:id="23"/>
      </w:r>
      <w:r w:rsidRPr="00D4590B">
        <w:rPr>
          <w:sz w:val="26"/>
          <w:szCs w:val="26"/>
        </w:rPr>
        <w:t xml:space="preserve"> is not unlike the one provided in connection w</w:t>
      </w:r>
      <w:r w:rsidR="00B47FDC" w:rsidRPr="00D4590B">
        <w:rPr>
          <w:sz w:val="26"/>
          <w:szCs w:val="26"/>
        </w:rPr>
        <w:t>ith Proverbs: the book presents</w:t>
      </w:r>
      <w:r w:rsidR="002C2A96" w:rsidRPr="00D4590B">
        <w:rPr>
          <w:sz w:val="26"/>
          <w:szCs w:val="26"/>
        </w:rPr>
        <w:t xml:space="preserve"> </w:t>
      </w:r>
      <w:r w:rsidRPr="00D4590B">
        <w:rPr>
          <w:sz w:val="26"/>
          <w:szCs w:val="26"/>
        </w:rPr>
        <w:t xml:space="preserve">difficulties, people </w:t>
      </w:r>
      <w:r w:rsidR="00307BEC" w:rsidRPr="00D4590B">
        <w:rPr>
          <w:sz w:val="26"/>
          <w:szCs w:val="26"/>
        </w:rPr>
        <w:t xml:space="preserve">do </w:t>
      </w:r>
      <w:r w:rsidRPr="00D4590B">
        <w:rPr>
          <w:sz w:val="26"/>
          <w:szCs w:val="26"/>
        </w:rPr>
        <w:t xml:space="preserve">not </w:t>
      </w:r>
      <w:r w:rsidR="00307BEC" w:rsidRPr="00D4590B">
        <w:rPr>
          <w:sz w:val="26"/>
          <w:szCs w:val="26"/>
        </w:rPr>
        <w:t xml:space="preserve">appreciate </w:t>
      </w:r>
      <w:r w:rsidRPr="00D4590B">
        <w:rPr>
          <w:sz w:val="26"/>
          <w:szCs w:val="26"/>
        </w:rPr>
        <w:t>it</w:t>
      </w:r>
      <w:r w:rsidR="00AE675E" w:rsidRPr="00D4590B">
        <w:rPr>
          <w:sz w:val="26"/>
          <w:szCs w:val="26"/>
        </w:rPr>
        <w:t xml:space="preserve"> properly</w:t>
      </w:r>
      <w:r w:rsidRPr="00D4590B">
        <w:rPr>
          <w:sz w:val="26"/>
          <w:szCs w:val="26"/>
        </w:rPr>
        <w:t>, and prior treatments do not offer straightforward enough interpretation.</w:t>
      </w:r>
      <w:r w:rsidR="008515BC" w:rsidRPr="00D4590B">
        <w:rPr>
          <w:sz w:val="26"/>
          <w:szCs w:val="26"/>
        </w:rPr>
        <w:t xml:space="preserve"> </w:t>
      </w:r>
      <w:r w:rsidRPr="00D4590B">
        <w:rPr>
          <w:sz w:val="26"/>
          <w:szCs w:val="26"/>
        </w:rPr>
        <w:t xml:space="preserve">This similarity </w:t>
      </w:r>
      <w:r w:rsidR="00B715C3" w:rsidRPr="00D4590B">
        <w:rPr>
          <w:sz w:val="26"/>
          <w:szCs w:val="26"/>
        </w:rPr>
        <w:t>is</w:t>
      </w:r>
      <w:r w:rsidRPr="00D4590B">
        <w:rPr>
          <w:sz w:val="26"/>
          <w:szCs w:val="26"/>
        </w:rPr>
        <w:t xml:space="preserve"> especially consistent with our claim that </w:t>
      </w:r>
      <w:proofErr w:type="spellStart"/>
      <w:r w:rsidRPr="00D4590B">
        <w:rPr>
          <w:sz w:val="26"/>
          <w:szCs w:val="26"/>
        </w:rPr>
        <w:t>Radak</w:t>
      </w:r>
      <w:proofErr w:type="spellEnd"/>
      <w:r w:rsidRPr="00D4590B">
        <w:rPr>
          <w:sz w:val="26"/>
          <w:szCs w:val="26"/>
        </w:rPr>
        <w:t xml:space="preserve"> authored the commentary </w:t>
      </w:r>
      <w:r w:rsidR="00B715C3" w:rsidRPr="00D4590B">
        <w:rPr>
          <w:sz w:val="26"/>
          <w:szCs w:val="26"/>
        </w:rPr>
        <w:t xml:space="preserve">on </w:t>
      </w:r>
      <w:r w:rsidRPr="00D4590B">
        <w:rPr>
          <w:sz w:val="26"/>
          <w:szCs w:val="26"/>
        </w:rPr>
        <w:t>Proverbs, and that it is comparable to the Chronicles commentary</w:t>
      </w:r>
      <w:r w:rsidR="00307BEC" w:rsidRPr="00D4590B">
        <w:rPr>
          <w:sz w:val="26"/>
          <w:szCs w:val="26"/>
        </w:rPr>
        <w:t xml:space="preserve"> in important respects.</w:t>
      </w:r>
    </w:p>
    <w:p w:rsidR="00975572" w:rsidRPr="00D4590B" w:rsidRDefault="00975572" w:rsidP="00FF0B7D">
      <w:pPr>
        <w:spacing w:line="300" w:lineRule="exact"/>
        <w:ind w:firstLine="284"/>
        <w:jc w:val="both"/>
        <w:rPr>
          <w:sz w:val="26"/>
          <w:szCs w:val="26"/>
        </w:rPr>
      </w:pPr>
      <w:r w:rsidRPr="00D4590B">
        <w:rPr>
          <w:sz w:val="26"/>
          <w:szCs w:val="26"/>
        </w:rPr>
        <w:t xml:space="preserve">What, then, are the core arguments for ascribing the Proverbs commentary to </w:t>
      </w:r>
      <w:proofErr w:type="spellStart"/>
      <w:r w:rsidRPr="00D4590B">
        <w:rPr>
          <w:sz w:val="26"/>
          <w:szCs w:val="26"/>
        </w:rPr>
        <w:t>Radak</w:t>
      </w:r>
      <w:proofErr w:type="spellEnd"/>
      <w:r w:rsidRPr="00D4590B">
        <w:rPr>
          <w:sz w:val="26"/>
          <w:szCs w:val="26"/>
        </w:rPr>
        <w:t>?</w:t>
      </w:r>
      <w:r w:rsidR="008515BC" w:rsidRPr="00D4590B">
        <w:rPr>
          <w:sz w:val="26"/>
          <w:szCs w:val="26"/>
        </w:rPr>
        <w:t xml:space="preserve"> </w:t>
      </w:r>
      <w:r w:rsidRPr="00D4590B">
        <w:rPr>
          <w:sz w:val="26"/>
          <w:szCs w:val="26"/>
        </w:rPr>
        <w:t xml:space="preserve">I </w:t>
      </w:r>
      <w:r w:rsidR="00AE675E" w:rsidRPr="00D4590B">
        <w:rPr>
          <w:sz w:val="26"/>
          <w:szCs w:val="26"/>
        </w:rPr>
        <w:t>sha</w:t>
      </w:r>
      <w:r w:rsidR="00B715C3" w:rsidRPr="00D4590B">
        <w:rPr>
          <w:sz w:val="26"/>
          <w:szCs w:val="26"/>
        </w:rPr>
        <w:t xml:space="preserve">ll now </w:t>
      </w:r>
      <w:r w:rsidRPr="00D4590B">
        <w:rPr>
          <w:sz w:val="26"/>
          <w:szCs w:val="26"/>
        </w:rPr>
        <w:t>present these arguments, and discuss their merits and the efforts made to challenge them.</w:t>
      </w:r>
    </w:p>
    <w:p w:rsidR="00E663C7" w:rsidRPr="00E641C4" w:rsidRDefault="00E663C7" w:rsidP="00D4590B">
      <w:pPr>
        <w:spacing w:line="300" w:lineRule="exact"/>
        <w:jc w:val="both"/>
        <w:rPr>
          <w:bCs/>
          <w:sz w:val="28"/>
          <w:szCs w:val="26"/>
        </w:rPr>
      </w:pPr>
    </w:p>
    <w:p w:rsidR="00975572" w:rsidRPr="00D4590B" w:rsidRDefault="00975572" w:rsidP="00D4590B">
      <w:pPr>
        <w:spacing w:line="300" w:lineRule="exact"/>
        <w:jc w:val="both"/>
        <w:rPr>
          <w:sz w:val="26"/>
          <w:szCs w:val="26"/>
        </w:rPr>
      </w:pPr>
      <w:r w:rsidRPr="00E641C4">
        <w:rPr>
          <w:bCs/>
          <w:sz w:val="28"/>
          <w:szCs w:val="26"/>
        </w:rPr>
        <w:t xml:space="preserve">Evidence in Support of </w:t>
      </w:r>
      <w:proofErr w:type="spellStart"/>
      <w:r w:rsidRPr="00E641C4">
        <w:rPr>
          <w:bCs/>
          <w:sz w:val="28"/>
          <w:szCs w:val="26"/>
        </w:rPr>
        <w:t>Radak’s</w:t>
      </w:r>
      <w:proofErr w:type="spellEnd"/>
      <w:r w:rsidRPr="00E641C4">
        <w:rPr>
          <w:bCs/>
          <w:sz w:val="28"/>
          <w:szCs w:val="26"/>
        </w:rPr>
        <w:t xml:space="preserve"> Authorship</w:t>
      </w:r>
    </w:p>
    <w:p w:rsidR="00975572" w:rsidRPr="00D4590B" w:rsidRDefault="00975572" w:rsidP="00D4590B">
      <w:pPr>
        <w:spacing w:line="300" w:lineRule="exact"/>
        <w:jc w:val="both"/>
        <w:rPr>
          <w:i/>
          <w:iCs/>
          <w:sz w:val="26"/>
          <w:szCs w:val="26"/>
        </w:rPr>
      </w:pPr>
      <w:r w:rsidRPr="00D4590B">
        <w:rPr>
          <w:i/>
          <w:iCs/>
          <w:sz w:val="26"/>
          <w:szCs w:val="26"/>
        </w:rPr>
        <w:t xml:space="preserve">Direct Attributions to </w:t>
      </w:r>
      <w:proofErr w:type="spellStart"/>
      <w:r w:rsidRPr="00D4590B">
        <w:rPr>
          <w:i/>
          <w:iCs/>
          <w:sz w:val="26"/>
          <w:szCs w:val="26"/>
        </w:rPr>
        <w:t>Radak</w:t>
      </w:r>
      <w:proofErr w:type="spellEnd"/>
    </w:p>
    <w:p w:rsidR="00975572" w:rsidRPr="00D4590B" w:rsidRDefault="0034056B" w:rsidP="00D4590B">
      <w:pPr>
        <w:spacing w:line="300" w:lineRule="exact"/>
        <w:jc w:val="both"/>
        <w:rPr>
          <w:sz w:val="26"/>
          <w:szCs w:val="26"/>
          <w:lang w:bidi="he-IL"/>
        </w:rPr>
      </w:pPr>
      <w:r w:rsidRPr="00D4590B">
        <w:rPr>
          <w:sz w:val="26"/>
          <w:szCs w:val="26"/>
        </w:rPr>
        <w:t>Cassuto observes</w:t>
      </w:r>
      <w:r w:rsidR="00975572" w:rsidRPr="00D4590B">
        <w:rPr>
          <w:sz w:val="26"/>
          <w:szCs w:val="26"/>
        </w:rPr>
        <w:t xml:space="preserve"> that at the end of the commentary, on folio 62b, the manuscript contains a marginal comment stating </w:t>
      </w:r>
      <w:r w:rsidR="00975572" w:rsidRPr="00D4590B">
        <w:rPr>
          <w:rFonts w:hint="cs"/>
          <w:sz w:val="26"/>
          <w:szCs w:val="26"/>
          <w:rtl/>
          <w:lang w:bidi="he-IL"/>
        </w:rPr>
        <w:t>עד כאן פירוש ר' יוסף קמחי</w:t>
      </w:r>
      <w:r w:rsidR="00975572" w:rsidRPr="00D4590B">
        <w:rPr>
          <w:sz w:val="26"/>
          <w:szCs w:val="26"/>
          <w:lang w:bidi="he-IL"/>
        </w:rPr>
        <w:t xml:space="preserve">—“until here is the commentary of R. Joseph </w:t>
      </w:r>
      <w:proofErr w:type="spellStart"/>
      <w:r w:rsidR="00E846CB" w:rsidRPr="00D4590B">
        <w:rPr>
          <w:sz w:val="26"/>
          <w:szCs w:val="26"/>
        </w:rPr>
        <w:t>Kimh</w:t>
      </w:r>
      <w:r w:rsidR="00E846CB" w:rsidRPr="00D4590B">
        <w:rPr>
          <w:sz w:val="26"/>
          <w:szCs w:val="26"/>
        </w:rPr>
        <w:t>i</w:t>
      </w:r>
      <w:proofErr w:type="spellEnd"/>
      <w:r w:rsidR="00E846CB" w:rsidRPr="00D4590B">
        <w:rPr>
          <w:sz w:val="26"/>
          <w:szCs w:val="26"/>
          <w:lang w:bidi="he-IL"/>
        </w:rPr>
        <w:t>”—</w:t>
      </w:r>
      <w:r w:rsidR="00975572" w:rsidRPr="00D4590B">
        <w:rPr>
          <w:sz w:val="26"/>
          <w:szCs w:val="26"/>
          <w:lang w:bidi="he-IL"/>
        </w:rPr>
        <w:t>with the name “Joseph” changed to “David” by a later hand.</w:t>
      </w:r>
      <w:r w:rsidR="00975572" w:rsidRPr="00D4590B">
        <w:rPr>
          <w:rStyle w:val="a4"/>
          <w:sz w:val="26"/>
          <w:szCs w:val="26"/>
          <w:lang w:bidi="he-IL"/>
        </w:rPr>
        <w:footnoteReference w:id="24"/>
      </w:r>
      <w:r w:rsidR="008515BC" w:rsidRPr="00D4590B">
        <w:rPr>
          <w:sz w:val="26"/>
          <w:szCs w:val="26"/>
          <w:lang w:bidi="he-IL"/>
        </w:rPr>
        <w:t xml:space="preserve"> </w:t>
      </w:r>
      <w:r w:rsidR="00141BF3" w:rsidRPr="00D4590B">
        <w:rPr>
          <w:sz w:val="26"/>
          <w:szCs w:val="26"/>
          <w:lang w:bidi="he-IL"/>
        </w:rPr>
        <w:t xml:space="preserve">This reference to </w:t>
      </w:r>
      <w:r w:rsidR="00624A6B" w:rsidRPr="00D4590B">
        <w:rPr>
          <w:sz w:val="26"/>
          <w:szCs w:val="26"/>
          <w:lang w:bidi="he-IL"/>
        </w:rPr>
        <w:t xml:space="preserve">R. </w:t>
      </w:r>
      <w:r w:rsidR="00141BF3" w:rsidRPr="00D4590B">
        <w:rPr>
          <w:sz w:val="26"/>
          <w:szCs w:val="26"/>
          <w:lang w:bidi="he-IL"/>
        </w:rPr>
        <w:t>Joseph</w:t>
      </w:r>
      <w:r w:rsidR="00624A6B" w:rsidRPr="00D4590B">
        <w:rPr>
          <w:sz w:val="26"/>
          <w:szCs w:val="26"/>
          <w:lang w:bidi="he-IL"/>
        </w:rPr>
        <w:t xml:space="preserve"> almost certainly reflects the influence of the commentary’s opening phrase, </w:t>
      </w:r>
      <w:r w:rsidR="00624A6B" w:rsidRPr="00D4590B">
        <w:rPr>
          <w:rFonts w:hint="cs"/>
          <w:sz w:val="26"/>
          <w:szCs w:val="26"/>
          <w:rtl/>
          <w:lang w:bidi="he-IL"/>
        </w:rPr>
        <w:t>אמר יוסף קמחי הספרדי</w:t>
      </w:r>
      <w:r w:rsidR="00624A6B" w:rsidRPr="00D4590B">
        <w:rPr>
          <w:sz w:val="26"/>
          <w:szCs w:val="26"/>
          <w:lang w:bidi="he-IL"/>
        </w:rPr>
        <w:t xml:space="preserve">—“Joseph </w:t>
      </w:r>
      <w:proofErr w:type="spellStart"/>
      <w:r w:rsidR="00624A6B" w:rsidRPr="00D4590B">
        <w:rPr>
          <w:sz w:val="26"/>
          <w:szCs w:val="26"/>
          <w:lang w:bidi="he-IL"/>
        </w:rPr>
        <w:t>Kimh</w:t>
      </w:r>
      <w:r w:rsidR="00624A6B" w:rsidRPr="00D4590B">
        <w:rPr>
          <w:sz w:val="26"/>
          <w:szCs w:val="26"/>
          <w:lang w:bidi="he-IL"/>
        </w:rPr>
        <w:t>i</w:t>
      </w:r>
      <w:proofErr w:type="spellEnd"/>
      <w:r w:rsidR="00624A6B" w:rsidRPr="00D4590B">
        <w:rPr>
          <w:sz w:val="26"/>
          <w:szCs w:val="26"/>
          <w:lang w:bidi="he-IL"/>
        </w:rPr>
        <w:t xml:space="preserve"> the Spaniard said.”</w:t>
      </w:r>
      <w:r w:rsidR="00DC2416" w:rsidRPr="00D4590B">
        <w:rPr>
          <w:rStyle w:val="a4"/>
          <w:sz w:val="26"/>
          <w:szCs w:val="26"/>
          <w:lang w:bidi="he-IL"/>
        </w:rPr>
        <w:footnoteReference w:id="25"/>
      </w:r>
      <w:r w:rsidR="008515BC" w:rsidRPr="00D4590B">
        <w:rPr>
          <w:sz w:val="26"/>
          <w:szCs w:val="26"/>
          <w:lang w:bidi="he-IL"/>
        </w:rPr>
        <w:t xml:space="preserve"> </w:t>
      </w:r>
      <w:r w:rsidR="00624A6B" w:rsidRPr="00D4590B">
        <w:rPr>
          <w:sz w:val="26"/>
          <w:szCs w:val="26"/>
        </w:rPr>
        <w:t xml:space="preserve">The </w:t>
      </w:r>
      <w:r w:rsidR="006D1EE8" w:rsidRPr="00D4590B">
        <w:rPr>
          <w:sz w:val="26"/>
          <w:szCs w:val="26"/>
        </w:rPr>
        <w:t>commentary</w:t>
      </w:r>
      <w:r w:rsidR="00611A46" w:rsidRPr="00D4590B">
        <w:rPr>
          <w:sz w:val="26"/>
          <w:szCs w:val="26"/>
        </w:rPr>
        <w:t xml:space="preserve"> in the</w:t>
      </w:r>
      <w:r w:rsidR="006D1EE8" w:rsidRPr="00D4590B">
        <w:rPr>
          <w:sz w:val="26"/>
          <w:szCs w:val="26"/>
        </w:rPr>
        <w:t xml:space="preserve"> manuscript</w:t>
      </w:r>
      <w:r w:rsidR="00624A6B" w:rsidRPr="00D4590B">
        <w:rPr>
          <w:sz w:val="26"/>
          <w:szCs w:val="26"/>
        </w:rPr>
        <w:t xml:space="preserve">, however, </w:t>
      </w:r>
      <w:r w:rsidR="006D1EE8" w:rsidRPr="00D4590B">
        <w:rPr>
          <w:sz w:val="26"/>
          <w:szCs w:val="26"/>
        </w:rPr>
        <w:t>is</w:t>
      </w:r>
      <w:r w:rsidR="00AE675E" w:rsidRPr="00D4590B">
        <w:rPr>
          <w:sz w:val="26"/>
          <w:szCs w:val="26"/>
        </w:rPr>
        <w:t xml:space="preserve"> not the same as</w:t>
      </w:r>
      <w:r w:rsidR="00624A6B" w:rsidRPr="00D4590B">
        <w:rPr>
          <w:sz w:val="26"/>
          <w:szCs w:val="26"/>
        </w:rPr>
        <w:t xml:space="preserve"> the </w:t>
      </w:r>
      <w:r w:rsidR="00611A46" w:rsidRPr="00D4590B">
        <w:rPr>
          <w:sz w:val="26"/>
          <w:szCs w:val="26"/>
        </w:rPr>
        <w:t xml:space="preserve">well-attested </w:t>
      </w:r>
      <w:r w:rsidR="00624A6B" w:rsidRPr="00D4590B">
        <w:rPr>
          <w:sz w:val="26"/>
          <w:szCs w:val="26"/>
        </w:rPr>
        <w:t>Proverbs commentary of th</w:t>
      </w:r>
      <w:r w:rsidR="006D1EE8" w:rsidRPr="00D4590B">
        <w:rPr>
          <w:sz w:val="26"/>
          <w:szCs w:val="26"/>
        </w:rPr>
        <w:t>is</w:t>
      </w:r>
      <w:r w:rsidR="00624A6B" w:rsidRPr="00D4590B">
        <w:rPr>
          <w:sz w:val="26"/>
          <w:szCs w:val="26"/>
        </w:rPr>
        <w:t xml:space="preserve"> elder </w:t>
      </w:r>
      <w:proofErr w:type="spellStart"/>
      <w:r w:rsidR="00624A6B" w:rsidRPr="00D4590B">
        <w:rPr>
          <w:sz w:val="26"/>
          <w:szCs w:val="26"/>
        </w:rPr>
        <w:t>Kimh</w:t>
      </w:r>
      <w:r w:rsidR="00624A6B" w:rsidRPr="00D4590B">
        <w:rPr>
          <w:sz w:val="26"/>
          <w:szCs w:val="26"/>
        </w:rPr>
        <w:t></w:t>
      </w:r>
      <w:r w:rsidR="006D1EE8" w:rsidRPr="00D4590B">
        <w:rPr>
          <w:sz w:val="26"/>
          <w:szCs w:val="26"/>
        </w:rPr>
        <w:t>i</w:t>
      </w:r>
      <w:proofErr w:type="spellEnd"/>
      <w:r w:rsidR="00611A46" w:rsidRPr="00D4590B">
        <w:rPr>
          <w:sz w:val="26"/>
          <w:szCs w:val="26"/>
        </w:rPr>
        <w:t>.</w:t>
      </w:r>
      <w:r w:rsidR="00624A6B" w:rsidRPr="00D4590B">
        <w:rPr>
          <w:rStyle w:val="a4"/>
          <w:sz w:val="26"/>
          <w:szCs w:val="26"/>
        </w:rPr>
        <w:footnoteReference w:id="26"/>
      </w:r>
      <w:r w:rsidR="00194B67">
        <w:rPr>
          <w:sz w:val="26"/>
          <w:szCs w:val="26"/>
        </w:rPr>
        <w:t xml:space="preserve"> </w:t>
      </w:r>
      <w:r w:rsidR="006D1EE8" w:rsidRPr="00D4590B">
        <w:rPr>
          <w:sz w:val="26"/>
          <w:szCs w:val="26"/>
        </w:rPr>
        <w:t>It remains, therefore,</w:t>
      </w:r>
      <w:r w:rsidR="00194B67">
        <w:rPr>
          <w:sz w:val="26"/>
          <w:szCs w:val="26"/>
        </w:rPr>
        <w:t xml:space="preserve"> </w:t>
      </w:r>
      <w:r w:rsidR="00141BF3" w:rsidRPr="00D4590B">
        <w:rPr>
          <w:sz w:val="26"/>
          <w:szCs w:val="26"/>
        </w:rPr>
        <w:t xml:space="preserve">that the only </w:t>
      </w:r>
      <w:r w:rsidR="006D1EE8" w:rsidRPr="00D4590B">
        <w:rPr>
          <w:sz w:val="26"/>
          <w:szCs w:val="26"/>
        </w:rPr>
        <w:t xml:space="preserve">plausible </w:t>
      </w:r>
      <w:r w:rsidR="00EC7C04" w:rsidRPr="00D4590B">
        <w:rPr>
          <w:sz w:val="26"/>
          <w:szCs w:val="26"/>
        </w:rPr>
        <w:t>attribution in t</w:t>
      </w:r>
      <w:r w:rsidR="00492F0E" w:rsidRPr="00D4590B">
        <w:rPr>
          <w:sz w:val="26"/>
          <w:szCs w:val="26"/>
        </w:rPr>
        <w:t xml:space="preserve">he manuscript itself is to R. David </w:t>
      </w:r>
      <w:proofErr w:type="spellStart"/>
      <w:r w:rsidR="00492F0E" w:rsidRPr="00D4590B">
        <w:rPr>
          <w:sz w:val="26"/>
          <w:szCs w:val="26"/>
        </w:rPr>
        <w:t>Kimh</w:t>
      </w:r>
      <w:r w:rsidR="00492F0E" w:rsidRPr="00D4590B">
        <w:rPr>
          <w:sz w:val="26"/>
          <w:szCs w:val="26"/>
        </w:rPr>
        <w:t>i</w:t>
      </w:r>
      <w:proofErr w:type="spellEnd"/>
      <w:r w:rsidR="00EC7C04" w:rsidRPr="00D4590B">
        <w:rPr>
          <w:sz w:val="26"/>
          <w:szCs w:val="26"/>
        </w:rPr>
        <w:t>.</w:t>
      </w:r>
    </w:p>
    <w:p w:rsidR="00975572" w:rsidRPr="00D4590B" w:rsidRDefault="0017352C" w:rsidP="00FF0B7D">
      <w:pPr>
        <w:spacing w:line="300" w:lineRule="exact"/>
        <w:ind w:firstLine="284"/>
        <w:jc w:val="both"/>
        <w:rPr>
          <w:sz w:val="26"/>
          <w:szCs w:val="26"/>
          <w:lang w:bidi="he-IL"/>
        </w:rPr>
      </w:pPr>
      <w:r w:rsidRPr="00D4590B">
        <w:rPr>
          <w:sz w:val="26"/>
          <w:szCs w:val="26"/>
        </w:rPr>
        <w:lastRenderedPageBreak/>
        <w:t xml:space="preserve">Yet for the purpose of our argument, </w:t>
      </w:r>
      <w:r w:rsidR="00F63218" w:rsidRPr="00D4590B">
        <w:rPr>
          <w:sz w:val="26"/>
          <w:szCs w:val="26"/>
        </w:rPr>
        <w:t>the</w:t>
      </w:r>
      <w:r w:rsidR="00946C1E" w:rsidRPr="00D4590B">
        <w:rPr>
          <w:sz w:val="26"/>
          <w:szCs w:val="26"/>
        </w:rPr>
        <w:t xml:space="preserve"> </w:t>
      </w:r>
      <w:r w:rsidR="00E846CB" w:rsidRPr="00D4590B">
        <w:rPr>
          <w:sz w:val="26"/>
          <w:szCs w:val="26"/>
        </w:rPr>
        <w:t xml:space="preserve">opening reference to R. Joseph </w:t>
      </w:r>
      <w:proofErr w:type="spellStart"/>
      <w:r w:rsidR="00E846CB" w:rsidRPr="00D4590B">
        <w:rPr>
          <w:sz w:val="26"/>
          <w:szCs w:val="26"/>
        </w:rPr>
        <w:t>Kimh</w:t>
      </w:r>
      <w:r w:rsidR="00E846CB" w:rsidRPr="00D4590B">
        <w:rPr>
          <w:sz w:val="26"/>
          <w:szCs w:val="26"/>
        </w:rPr>
        <w:t>i</w:t>
      </w:r>
      <w:proofErr w:type="spellEnd"/>
      <w:r w:rsidR="00E846CB" w:rsidRPr="00D4590B">
        <w:rPr>
          <w:sz w:val="26"/>
          <w:szCs w:val="26"/>
        </w:rPr>
        <w:t xml:space="preserve"> </w:t>
      </w:r>
      <w:r w:rsidR="00307BEC" w:rsidRPr="00D4590B">
        <w:rPr>
          <w:sz w:val="26"/>
          <w:szCs w:val="26"/>
        </w:rPr>
        <w:t>is</w:t>
      </w:r>
      <w:r w:rsidRPr="00D4590B">
        <w:rPr>
          <w:sz w:val="26"/>
          <w:szCs w:val="26"/>
        </w:rPr>
        <w:t xml:space="preserve"> actually even </w:t>
      </w:r>
      <w:r w:rsidR="00BC1B51" w:rsidRPr="00D4590B">
        <w:rPr>
          <w:sz w:val="26"/>
          <w:szCs w:val="26"/>
        </w:rPr>
        <w:t>more instructive</w:t>
      </w:r>
      <w:r w:rsidR="00F803C1" w:rsidRPr="00D4590B">
        <w:rPr>
          <w:sz w:val="26"/>
          <w:szCs w:val="26"/>
        </w:rPr>
        <w:t xml:space="preserve"> than the</w:t>
      </w:r>
      <w:r w:rsidR="00EC7C04" w:rsidRPr="00D4590B">
        <w:rPr>
          <w:sz w:val="26"/>
          <w:szCs w:val="26"/>
        </w:rPr>
        <w:t xml:space="preserve"> </w:t>
      </w:r>
      <w:r w:rsidR="00E846CB" w:rsidRPr="00D4590B">
        <w:rPr>
          <w:sz w:val="26"/>
          <w:szCs w:val="26"/>
        </w:rPr>
        <w:t xml:space="preserve">later marginal </w:t>
      </w:r>
      <w:r w:rsidR="00EC7C04" w:rsidRPr="00D4590B">
        <w:rPr>
          <w:sz w:val="26"/>
          <w:szCs w:val="26"/>
        </w:rPr>
        <w:t>reference</w:t>
      </w:r>
      <w:r w:rsidR="00E846CB" w:rsidRPr="00D4590B">
        <w:rPr>
          <w:sz w:val="26"/>
          <w:szCs w:val="26"/>
        </w:rPr>
        <w:t xml:space="preserve"> to </w:t>
      </w:r>
      <w:proofErr w:type="spellStart"/>
      <w:r w:rsidR="00E846CB" w:rsidRPr="00D4590B">
        <w:rPr>
          <w:sz w:val="26"/>
          <w:szCs w:val="26"/>
        </w:rPr>
        <w:t>Radak</w:t>
      </w:r>
      <w:proofErr w:type="spellEnd"/>
      <w:r w:rsidR="00975572" w:rsidRPr="00D4590B">
        <w:rPr>
          <w:sz w:val="26"/>
          <w:szCs w:val="26"/>
        </w:rPr>
        <w:t>.</w:t>
      </w:r>
      <w:r w:rsidR="008515BC" w:rsidRPr="00D4590B">
        <w:rPr>
          <w:sz w:val="26"/>
          <w:szCs w:val="26"/>
        </w:rPr>
        <w:t xml:space="preserve"> </w:t>
      </w:r>
      <w:r w:rsidR="00975572" w:rsidRPr="00D4590B">
        <w:rPr>
          <w:sz w:val="26"/>
          <w:szCs w:val="26"/>
        </w:rPr>
        <w:t xml:space="preserve">The assumption of Talmage (and presumably of Cassuto) is that the phrase originally read </w:t>
      </w:r>
      <w:r w:rsidR="00975572" w:rsidRPr="00D4590B">
        <w:rPr>
          <w:rFonts w:hint="cs"/>
          <w:sz w:val="26"/>
          <w:szCs w:val="26"/>
          <w:rtl/>
          <w:lang w:bidi="he-IL"/>
        </w:rPr>
        <w:t>אמר דוד בן יוסף קמחי הספרדי</w:t>
      </w:r>
      <w:r w:rsidR="00975572" w:rsidRPr="00D4590B">
        <w:rPr>
          <w:sz w:val="26"/>
          <w:szCs w:val="26"/>
          <w:lang w:bidi="he-IL"/>
        </w:rPr>
        <w:t xml:space="preserve">—“David son of Joseph </w:t>
      </w:r>
      <w:proofErr w:type="spellStart"/>
      <w:r w:rsidR="00975572" w:rsidRPr="00D4590B">
        <w:rPr>
          <w:sz w:val="26"/>
          <w:szCs w:val="26"/>
          <w:lang w:bidi="he-IL"/>
        </w:rPr>
        <w:t>Kimh</w:t>
      </w:r>
      <w:r w:rsidR="00975572" w:rsidRPr="00D4590B">
        <w:rPr>
          <w:sz w:val="26"/>
          <w:szCs w:val="26"/>
          <w:lang w:bidi="he-IL"/>
        </w:rPr>
        <w:t>i</w:t>
      </w:r>
      <w:proofErr w:type="spellEnd"/>
      <w:r w:rsidR="00975572" w:rsidRPr="00D4590B">
        <w:rPr>
          <w:sz w:val="26"/>
          <w:szCs w:val="26"/>
          <w:lang w:bidi="he-IL"/>
        </w:rPr>
        <w:t xml:space="preserve"> the Spaniard </w:t>
      </w:r>
      <w:r w:rsidR="007D16E0" w:rsidRPr="00D4590B">
        <w:rPr>
          <w:sz w:val="26"/>
          <w:szCs w:val="26"/>
          <w:lang w:bidi="he-IL"/>
        </w:rPr>
        <w:t xml:space="preserve">said,” the standard </w:t>
      </w:r>
      <w:r w:rsidR="001E3BBD" w:rsidRPr="00D4590B">
        <w:rPr>
          <w:sz w:val="26"/>
          <w:szCs w:val="26"/>
          <w:lang w:bidi="he-IL"/>
        </w:rPr>
        <w:t>formula by</w:t>
      </w:r>
      <w:r w:rsidR="00975572" w:rsidRPr="00D4590B">
        <w:rPr>
          <w:sz w:val="26"/>
          <w:szCs w:val="26"/>
          <w:lang w:bidi="he-IL"/>
        </w:rPr>
        <w:t xml:space="preserve"> which </w:t>
      </w:r>
      <w:proofErr w:type="spellStart"/>
      <w:r w:rsidR="00975572" w:rsidRPr="00D4590B">
        <w:rPr>
          <w:sz w:val="26"/>
          <w:szCs w:val="26"/>
          <w:lang w:bidi="he-IL"/>
        </w:rPr>
        <w:t>Radak</w:t>
      </w:r>
      <w:proofErr w:type="spellEnd"/>
      <w:r w:rsidR="00975572" w:rsidRPr="00D4590B">
        <w:rPr>
          <w:sz w:val="26"/>
          <w:szCs w:val="26"/>
          <w:lang w:bidi="he-IL"/>
        </w:rPr>
        <w:t xml:space="preserve"> begins his </w:t>
      </w:r>
      <w:r w:rsidR="00CC528A" w:rsidRPr="00D4590B">
        <w:rPr>
          <w:sz w:val="26"/>
          <w:szCs w:val="26"/>
          <w:lang w:bidi="he-IL"/>
        </w:rPr>
        <w:t xml:space="preserve">biblical </w:t>
      </w:r>
      <w:r w:rsidR="00975572" w:rsidRPr="00D4590B">
        <w:rPr>
          <w:sz w:val="26"/>
          <w:szCs w:val="26"/>
          <w:lang w:bidi="he-IL"/>
        </w:rPr>
        <w:t xml:space="preserve">commentaries, and that the words </w:t>
      </w:r>
      <w:r w:rsidR="00975572" w:rsidRPr="00D4590B">
        <w:rPr>
          <w:rFonts w:hint="cs"/>
          <w:sz w:val="26"/>
          <w:szCs w:val="26"/>
          <w:rtl/>
          <w:lang w:bidi="he-IL"/>
        </w:rPr>
        <w:t>דוד בן</w:t>
      </w:r>
      <w:r w:rsidR="00975572" w:rsidRPr="00D4590B">
        <w:rPr>
          <w:sz w:val="26"/>
          <w:szCs w:val="26"/>
          <w:lang w:bidi="he-IL"/>
        </w:rPr>
        <w:t xml:space="preserve"> were erroneously omitted at some point in </w:t>
      </w:r>
      <w:r w:rsidR="00562FD4" w:rsidRPr="00D4590B">
        <w:rPr>
          <w:sz w:val="26"/>
          <w:szCs w:val="26"/>
          <w:lang w:bidi="he-IL"/>
        </w:rPr>
        <w:t xml:space="preserve">the </w:t>
      </w:r>
      <w:r w:rsidR="00975572" w:rsidRPr="00D4590B">
        <w:rPr>
          <w:sz w:val="26"/>
          <w:szCs w:val="26"/>
          <w:lang w:bidi="he-IL"/>
        </w:rPr>
        <w:t>transmission</w:t>
      </w:r>
      <w:r w:rsidR="00562FD4" w:rsidRPr="00D4590B">
        <w:rPr>
          <w:sz w:val="26"/>
          <w:szCs w:val="26"/>
          <w:lang w:bidi="he-IL"/>
        </w:rPr>
        <w:t xml:space="preserve"> of the text</w:t>
      </w:r>
      <w:r w:rsidR="00975572" w:rsidRPr="00D4590B">
        <w:rPr>
          <w:sz w:val="26"/>
          <w:szCs w:val="26"/>
          <w:lang w:bidi="he-IL"/>
        </w:rPr>
        <w:t>.</w:t>
      </w:r>
      <w:r w:rsidR="00975572" w:rsidRPr="00D4590B">
        <w:rPr>
          <w:rStyle w:val="a4"/>
          <w:sz w:val="26"/>
          <w:szCs w:val="26"/>
          <w:lang w:bidi="he-IL"/>
        </w:rPr>
        <w:footnoteReference w:id="27"/>
      </w:r>
      <w:r w:rsidR="008515BC" w:rsidRPr="00D4590B">
        <w:rPr>
          <w:sz w:val="26"/>
          <w:szCs w:val="26"/>
          <w:lang w:bidi="he-IL"/>
        </w:rPr>
        <w:t xml:space="preserve"> </w:t>
      </w:r>
      <w:r w:rsidR="007A524E" w:rsidRPr="00D4590B">
        <w:rPr>
          <w:sz w:val="26"/>
          <w:szCs w:val="26"/>
          <w:lang w:bidi="he-IL"/>
        </w:rPr>
        <w:t>As</w:t>
      </w:r>
      <w:r w:rsidR="0098427A" w:rsidRPr="00D4590B">
        <w:rPr>
          <w:sz w:val="26"/>
          <w:szCs w:val="26"/>
          <w:lang w:bidi="he-IL"/>
        </w:rPr>
        <w:t xml:space="preserve"> R. Joseph </w:t>
      </w:r>
      <w:r w:rsidR="007A524E" w:rsidRPr="00D4590B">
        <w:rPr>
          <w:sz w:val="26"/>
          <w:szCs w:val="26"/>
          <w:lang w:bidi="he-IL"/>
        </w:rPr>
        <w:t>was</w:t>
      </w:r>
      <w:r w:rsidR="00A93C82" w:rsidRPr="00D4590B">
        <w:rPr>
          <w:sz w:val="26"/>
          <w:szCs w:val="26"/>
          <w:lang w:bidi="he-IL"/>
        </w:rPr>
        <w:t xml:space="preserve"> </w:t>
      </w:r>
      <w:r w:rsidR="0098427A" w:rsidRPr="00D4590B">
        <w:rPr>
          <w:sz w:val="26"/>
          <w:szCs w:val="26"/>
          <w:lang w:bidi="he-IL"/>
        </w:rPr>
        <w:t>more commonly</w:t>
      </w:r>
      <w:r w:rsidR="00DA7F74" w:rsidRPr="00D4590B">
        <w:rPr>
          <w:sz w:val="26"/>
          <w:szCs w:val="26"/>
          <w:lang w:bidi="he-IL"/>
        </w:rPr>
        <w:t xml:space="preserve"> associated with an exposition of</w:t>
      </w:r>
      <w:r w:rsidR="00993321" w:rsidRPr="00D4590B">
        <w:rPr>
          <w:sz w:val="26"/>
          <w:szCs w:val="26"/>
          <w:lang w:bidi="he-IL"/>
        </w:rPr>
        <w:t xml:space="preserve"> Proverbs (</w:t>
      </w:r>
      <w:r w:rsidR="0098427A" w:rsidRPr="00D4590B">
        <w:rPr>
          <w:sz w:val="26"/>
          <w:szCs w:val="26"/>
          <w:lang w:bidi="he-IL"/>
        </w:rPr>
        <w:t>witness</w:t>
      </w:r>
      <w:r w:rsidR="00975572" w:rsidRPr="00D4590B">
        <w:rPr>
          <w:sz w:val="26"/>
          <w:szCs w:val="26"/>
          <w:lang w:bidi="he-IL"/>
        </w:rPr>
        <w:t xml:space="preserve"> the many surviving manuscripts that attest to </w:t>
      </w:r>
      <w:r w:rsidR="00DA7F74" w:rsidRPr="00D4590B">
        <w:rPr>
          <w:sz w:val="26"/>
          <w:szCs w:val="26"/>
          <w:lang w:bidi="he-IL"/>
        </w:rPr>
        <w:t>his commentary</w:t>
      </w:r>
      <w:r w:rsidR="00975572" w:rsidRPr="00D4590B">
        <w:rPr>
          <w:rStyle w:val="a4"/>
          <w:sz w:val="26"/>
          <w:szCs w:val="26"/>
          <w:lang w:bidi="he-IL"/>
        </w:rPr>
        <w:footnoteReference w:id="28"/>
      </w:r>
      <w:r w:rsidR="00993321" w:rsidRPr="00D4590B">
        <w:rPr>
          <w:sz w:val="26"/>
          <w:szCs w:val="26"/>
          <w:lang w:bidi="he-IL"/>
        </w:rPr>
        <w:t xml:space="preserve">), </w:t>
      </w:r>
      <w:r w:rsidR="001E3BBD" w:rsidRPr="00D4590B">
        <w:rPr>
          <w:sz w:val="26"/>
          <w:szCs w:val="26"/>
          <w:lang w:bidi="he-IL"/>
        </w:rPr>
        <w:t xml:space="preserve">it </w:t>
      </w:r>
      <w:r w:rsidR="007A524E" w:rsidRPr="00D4590B">
        <w:rPr>
          <w:sz w:val="26"/>
          <w:szCs w:val="26"/>
          <w:lang w:bidi="he-IL"/>
        </w:rPr>
        <w:t>is</w:t>
      </w:r>
      <w:r w:rsidR="00A93C82" w:rsidRPr="00D4590B">
        <w:rPr>
          <w:sz w:val="26"/>
          <w:szCs w:val="26"/>
          <w:lang w:bidi="he-IL"/>
        </w:rPr>
        <w:t xml:space="preserve"> </w:t>
      </w:r>
      <w:r w:rsidR="001E3BBD" w:rsidRPr="00D4590B">
        <w:rPr>
          <w:sz w:val="26"/>
          <w:szCs w:val="26"/>
          <w:lang w:bidi="he-IL"/>
        </w:rPr>
        <w:t>indeed</w:t>
      </w:r>
      <w:r w:rsidR="00A93C82" w:rsidRPr="00D4590B">
        <w:rPr>
          <w:sz w:val="26"/>
          <w:szCs w:val="26"/>
          <w:lang w:bidi="he-IL"/>
        </w:rPr>
        <w:t xml:space="preserve"> </w:t>
      </w:r>
      <w:r w:rsidR="00975572" w:rsidRPr="00D4590B">
        <w:rPr>
          <w:sz w:val="26"/>
          <w:szCs w:val="26"/>
          <w:lang w:bidi="he-IL"/>
        </w:rPr>
        <w:t>conceivable that a s</w:t>
      </w:r>
      <w:r w:rsidR="007D16E0" w:rsidRPr="00D4590B">
        <w:rPr>
          <w:sz w:val="26"/>
          <w:szCs w:val="26"/>
          <w:lang w:bidi="he-IL"/>
        </w:rPr>
        <w:t xml:space="preserve">cribe thought </w:t>
      </w:r>
      <w:r w:rsidR="00975572" w:rsidRPr="00D4590B">
        <w:rPr>
          <w:sz w:val="26"/>
          <w:szCs w:val="26"/>
          <w:lang w:bidi="he-IL"/>
        </w:rPr>
        <w:t>he was copying</w:t>
      </w:r>
      <w:r w:rsidR="007D16E0" w:rsidRPr="00D4590B">
        <w:rPr>
          <w:sz w:val="26"/>
          <w:szCs w:val="26"/>
          <w:lang w:bidi="he-IL"/>
        </w:rPr>
        <w:t xml:space="preserve"> R. Joseph’s work</w:t>
      </w:r>
      <w:r w:rsidR="00975572" w:rsidRPr="00D4590B">
        <w:rPr>
          <w:sz w:val="26"/>
          <w:szCs w:val="26"/>
          <w:lang w:bidi="he-IL"/>
        </w:rPr>
        <w:t xml:space="preserve">, and </w:t>
      </w:r>
      <w:r w:rsidR="0098427A" w:rsidRPr="00D4590B">
        <w:rPr>
          <w:sz w:val="26"/>
          <w:szCs w:val="26"/>
          <w:lang w:bidi="he-IL"/>
        </w:rPr>
        <w:t>t</w:t>
      </w:r>
      <w:r w:rsidR="0098145D" w:rsidRPr="00D4590B">
        <w:rPr>
          <w:sz w:val="26"/>
          <w:szCs w:val="26"/>
          <w:lang w:bidi="he-IL"/>
        </w:rPr>
        <w:t>his</w:t>
      </w:r>
      <w:r w:rsidR="00975572" w:rsidRPr="00D4590B">
        <w:rPr>
          <w:sz w:val="26"/>
          <w:szCs w:val="26"/>
          <w:lang w:bidi="he-IL"/>
        </w:rPr>
        <w:t xml:space="preserve"> </w:t>
      </w:r>
      <w:r w:rsidR="0098427A" w:rsidRPr="00D4590B">
        <w:rPr>
          <w:sz w:val="26"/>
          <w:szCs w:val="26"/>
          <w:lang w:bidi="he-IL"/>
        </w:rPr>
        <w:t>m</w:t>
      </w:r>
      <w:r w:rsidR="002E2F7E" w:rsidRPr="00D4590B">
        <w:rPr>
          <w:sz w:val="26"/>
          <w:szCs w:val="26"/>
          <w:lang w:bidi="he-IL"/>
        </w:rPr>
        <w:t xml:space="preserve">isconception </w:t>
      </w:r>
      <w:r w:rsidR="00562FD4" w:rsidRPr="00D4590B">
        <w:rPr>
          <w:sz w:val="26"/>
          <w:szCs w:val="26"/>
          <w:lang w:bidi="he-IL"/>
        </w:rPr>
        <w:t>c</w:t>
      </w:r>
      <w:r w:rsidR="00A93C82" w:rsidRPr="00D4590B">
        <w:rPr>
          <w:sz w:val="26"/>
          <w:szCs w:val="26"/>
          <w:lang w:bidi="he-IL"/>
        </w:rPr>
        <w:t xml:space="preserve">ould </w:t>
      </w:r>
      <w:r w:rsidR="00562FD4" w:rsidRPr="00D4590B">
        <w:rPr>
          <w:sz w:val="26"/>
          <w:szCs w:val="26"/>
          <w:lang w:bidi="he-IL"/>
        </w:rPr>
        <w:t xml:space="preserve">well </w:t>
      </w:r>
      <w:r w:rsidR="00A93C82" w:rsidRPr="00D4590B">
        <w:rPr>
          <w:sz w:val="26"/>
          <w:szCs w:val="26"/>
          <w:lang w:bidi="he-IL"/>
        </w:rPr>
        <w:t xml:space="preserve">have </w:t>
      </w:r>
      <w:r w:rsidR="002E2F7E" w:rsidRPr="00D4590B">
        <w:rPr>
          <w:sz w:val="26"/>
          <w:szCs w:val="26"/>
          <w:lang w:bidi="he-IL"/>
        </w:rPr>
        <w:t>contributed to an</w:t>
      </w:r>
      <w:r w:rsidR="00975572" w:rsidRPr="00D4590B">
        <w:rPr>
          <w:sz w:val="26"/>
          <w:szCs w:val="26"/>
          <w:lang w:bidi="he-IL"/>
        </w:rPr>
        <w:t xml:space="preserve"> error in transcription</w:t>
      </w:r>
      <w:r w:rsidR="005C4240" w:rsidRPr="00D4590B">
        <w:rPr>
          <w:sz w:val="26"/>
          <w:szCs w:val="26"/>
          <w:lang w:bidi="he-IL"/>
        </w:rPr>
        <w:t>.</w:t>
      </w:r>
      <w:r w:rsidR="008515BC" w:rsidRPr="00D4590B">
        <w:rPr>
          <w:sz w:val="26"/>
          <w:szCs w:val="26"/>
          <w:lang w:bidi="he-IL"/>
        </w:rPr>
        <w:t xml:space="preserve"> </w:t>
      </w:r>
      <w:r w:rsidR="005C4240" w:rsidRPr="00D4590B">
        <w:rPr>
          <w:sz w:val="26"/>
          <w:szCs w:val="26"/>
          <w:lang w:bidi="he-IL"/>
        </w:rPr>
        <w:t xml:space="preserve">On the other hand, it </w:t>
      </w:r>
      <w:r w:rsidR="001E3BBD" w:rsidRPr="00D4590B">
        <w:rPr>
          <w:sz w:val="26"/>
          <w:szCs w:val="26"/>
          <w:lang w:bidi="he-IL"/>
        </w:rPr>
        <w:t>strains credibility</w:t>
      </w:r>
      <w:r w:rsidR="00975572" w:rsidRPr="00D4590B">
        <w:rPr>
          <w:sz w:val="26"/>
          <w:szCs w:val="26"/>
          <w:lang w:bidi="he-IL"/>
        </w:rPr>
        <w:t xml:space="preserve"> that the commentary contained no opening formula alluding to a </w:t>
      </w:r>
      <w:proofErr w:type="spellStart"/>
      <w:r w:rsidR="00975572" w:rsidRPr="00D4590B">
        <w:rPr>
          <w:sz w:val="26"/>
          <w:szCs w:val="26"/>
          <w:lang w:bidi="he-IL"/>
        </w:rPr>
        <w:t>Kimh</w:t>
      </w:r>
      <w:r w:rsidR="00975572" w:rsidRPr="00D4590B">
        <w:rPr>
          <w:sz w:val="26"/>
          <w:szCs w:val="26"/>
          <w:lang w:bidi="he-IL"/>
        </w:rPr>
        <w:t>i</w:t>
      </w:r>
      <w:proofErr w:type="spellEnd"/>
      <w:r w:rsidR="00975572" w:rsidRPr="00D4590B">
        <w:rPr>
          <w:sz w:val="26"/>
          <w:szCs w:val="26"/>
          <w:lang w:bidi="he-IL"/>
        </w:rPr>
        <w:t xml:space="preserve">, and that a scribal emendation is responsible for the insertion of the full </w:t>
      </w:r>
      <w:proofErr w:type="spellStart"/>
      <w:r w:rsidR="00975572" w:rsidRPr="00D4590B">
        <w:rPr>
          <w:sz w:val="26"/>
          <w:szCs w:val="26"/>
          <w:lang w:bidi="he-IL"/>
        </w:rPr>
        <w:t>Kimh</w:t>
      </w:r>
      <w:r w:rsidR="00975572" w:rsidRPr="00D4590B">
        <w:rPr>
          <w:sz w:val="26"/>
          <w:szCs w:val="26"/>
          <w:lang w:bidi="he-IL"/>
        </w:rPr>
        <w:t>ian</w:t>
      </w:r>
      <w:proofErr w:type="spellEnd"/>
      <w:r w:rsidR="00975572" w:rsidRPr="00D4590B">
        <w:rPr>
          <w:sz w:val="26"/>
          <w:szCs w:val="26"/>
          <w:lang w:bidi="he-IL"/>
        </w:rPr>
        <w:t xml:space="preserve"> </w:t>
      </w:r>
      <w:r w:rsidR="00975572" w:rsidRPr="00D4590B">
        <w:rPr>
          <w:i/>
          <w:iCs/>
          <w:sz w:val="26"/>
          <w:szCs w:val="26"/>
          <w:lang w:bidi="he-IL"/>
        </w:rPr>
        <w:t>self</w:t>
      </w:r>
      <w:r w:rsidR="00975572" w:rsidRPr="00D4590B">
        <w:rPr>
          <w:sz w:val="26"/>
          <w:szCs w:val="26"/>
          <w:lang w:bidi="he-IL"/>
        </w:rPr>
        <w:t>-reference</w:t>
      </w:r>
      <w:r w:rsidR="006C3C8E" w:rsidRPr="00D4590B">
        <w:rPr>
          <w:sz w:val="26"/>
          <w:szCs w:val="26"/>
          <w:lang w:bidi="he-IL"/>
        </w:rPr>
        <w:t xml:space="preserve"> at the opening of the commentary</w:t>
      </w:r>
      <w:r w:rsidR="00975572" w:rsidRPr="00D4590B">
        <w:rPr>
          <w:sz w:val="26"/>
          <w:szCs w:val="26"/>
          <w:lang w:bidi="he-IL"/>
        </w:rPr>
        <w:t>.</w:t>
      </w:r>
      <w:r w:rsidR="008515BC" w:rsidRPr="00D4590B">
        <w:rPr>
          <w:sz w:val="26"/>
          <w:szCs w:val="26"/>
          <w:lang w:bidi="he-IL"/>
        </w:rPr>
        <w:t xml:space="preserve"> </w:t>
      </w:r>
      <w:r w:rsidR="00975572" w:rsidRPr="00D4590B">
        <w:rPr>
          <w:sz w:val="26"/>
          <w:szCs w:val="26"/>
          <w:lang w:bidi="he-IL"/>
        </w:rPr>
        <w:t xml:space="preserve">In all probability, this consideration </w:t>
      </w:r>
      <w:r w:rsidR="00D06E03" w:rsidRPr="00D4590B">
        <w:rPr>
          <w:sz w:val="26"/>
          <w:szCs w:val="26"/>
          <w:lang w:bidi="he-IL"/>
        </w:rPr>
        <w:t xml:space="preserve">weighed </w:t>
      </w:r>
      <w:r w:rsidR="00975572" w:rsidRPr="00D4590B">
        <w:rPr>
          <w:sz w:val="26"/>
          <w:szCs w:val="26"/>
          <w:lang w:bidi="he-IL"/>
        </w:rPr>
        <w:t xml:space="preserve">seriously </w:t>
      </w:r>
      <w:r w:rsidR="00D06E03" w:rsidRPr="00D4590B">
        <w:rPr>
          <w:sz w:val="26"/>
          <w:szCs w:val="26"/>
          <w:lang w:bidi="he-IL"/>
        </w:rPr>
        <w:t xml:space="preserve">in </w:t>
      </w:r>
      <w:r w:rsidR="00A93C82" w:rsidRPr="00D4590B">
        <w:rPr>
          <w:sz w:val="26"/>
          <w:szCs w:val="26"/>
          <w:lang w:bidi="he-IL"/>
        </w:rPr>
        <w:t xml:space="preserve">Cassuto’s and Talmage’s </w:t>
      </w:r>
      <w:r w:rsidR="00975572" w:rsidRPr="00D4590B">
        <w:rPr>
          <w:sz w:val="26"/>
          <w:szCs w:val="26"/>
          <w:lang w:bidi="he-IL"/>
        </w:rPr>
        <w:t xml:space="preserve">inclination </w:t>
      </w:r>
      <w:r w:rsidR="008515BC" w:rsidRPr="00D4590B">
        <w:rPr>
          <w:sz w:val="26"/>
          <w:szCs w:val="26"/>
          <w:lang w:bidi="he-IL"/>
        </w:rPr>
        <w:t xml:space="preserve">to </w:t>
      </w:r>
      <w:r w:rsidR="00975572" w:rsidRPr="00D4590B">
        <w:rPr>
          <w:sz w:val="26"/>
          <w:szCs w:val="26"/>
          <w:lang w:bidi="he-IL"/>
        </w:rPr>
        <w:t xml:space="preserve">favor </w:t>
      </w:r>
      <w:proofErr w:type="spellStart"/>
      <w:r w:rsidR="00975572" w:rsidRPr="00D4590B">
        <w:rPr>
          <w:sz w:val="26"/>
          <w:szCs w:val="26"/>
          <w:lang w:bidi="he-IL"/>
        </w:rPr>
        <w:t>Radak’s</w:t>
      </w:r>
      <w:proofErr w:type="spellEnd"/>
      <w:r w:rsidR="00975572" w:rsidRPr="00D4590B">
        <w:rPr>
          <w:sz w:val="26"/>
          <w:szCs w:val="26"/>
          <w:lang w:bidi="he-IL"/>
        </w:rPr>
        <w:t xml:space="preserve"> authorship.</w:t>
      </w:r>
      <w:r w:rsidR="00A10A38" w:rsidRPr="00D4590B">
        <w:rPr>
          <w:rStyle w:val="a4"/>
          <w:sz w:val="26"/>
          <w:szCs w:val="26"/>
          <w:lang w:bidi="he-IL"/>
        </w:rPr>
        <w:footnoteReference w:id="29"/>
      </w:r>
    </w:p>
    <w:p w:rsidR="00975572" w:rsidRPr="00D4590B" w:rsidRDefault="008515BC" w:rsidP="004E7991">
      <w:pPr>
        <w:spacing w:line="300" w:lineRule="exact"/>
        <w:ind w:firstLine="284"/>
        <w:jc w:val="both"/>
        <w:rPr>
          <w:sz w:val="26"/>
          <w:szCs w:val="26"/>
          <w:lang w:bidi="he-IL"/>
        </w:rPr>
      </w:pPr>
      <w:r w:rsidRPr="00D4590B">
        <w:rPr>
          <w:sz w:val="26"/>
          <w:szCs w:val="26"/>
          <w:lang w:bidi="he-IL"/>
        </w:rPr>
        <w:lastRenderedPageBreak/>
        <w:t>S</w:t>
      </w:r>
      <w:r w:rsidR="00975572" w:rsidRPr="00D4590B">
        <w:rPr>
          <w:sz w:val="26"/>
          <w:szCs w:val="26"/>
          <w:lang w:bidi="he-IL"/>
        </w:rPr>
        <w:t xml:space="preserve">trikingly, </w:t>
      </w:r>
      <w:proofErr w:type="spellStart"/>
      <w:r w:rsidR="00975572" w:rsidRPr="00D4590B">
        <w:rPr>
          <w:sz w:val="26"/>
          <w:szCs w:val="26"/>
          <w:lang w:bidi="he-IL"/>
        </w:rPr>
        <w:t>Grunhaus</w:t>
      </w:r>
      <w:proofErr w:type="spellEnd"/>
      <w:r w:rsidR="00975572" w:rsidRPr="00D4590B">
        <w:rPr>
          <w:sz w:val="26"/>
          <w:szCs w:val="26"/>
          <w:lang w:bidi="he-IL"/>
        </w:rPr>
        <w:t xml:space="preserve"> acknowledges this phrase only in a footnote, where her comment only confirms our point: “The manuscript asserts on its front cover that it contains Joseph Kimhi’s </w:t>
      </w:r>
      <w:r w:rsidR="004E7991">
        <w:rPr>
          <w:sz w:val="26"/>
          <w:szCs w:val="26"/>
          <w:lang w:bidi="he-IL"/>
        </w:rPr>
        <w:t>commentary on</w:t>
      </w:r>
      <w:r w:rsidR="00975572" w:rsidRPr="00D4590B">
        <w:rPr>
          <w:sz w:val="26"/>
          <w:szCs w:val="26"/>
          <w:lang w:bidi="he-IL"/>
        </w:rPr>
        <w:t xml:space="preserve"> Proverbs, and the commentary begins </w:t>
      </w:r>
      <w:r w:rsidR="00975572" w:rsidRPr="00D4590B">
        <w:rPr>
          <w:rFonts w:hint="cs"/>
          <w:sz w:val="26"/>
          <w:szCs w:val="26"/>
          <w:rtl/>
          <w:lang w:bidi="he-IL"/>
        </w:rPr>
        <w:t>אמר יוסף קמחי הספרדי</w:t>
      </w:r>
      <w:r w:rsidR="00975572" w:rsidRPr="00D4590B">
        <w:rPr>
          <w:sz w:val="26"/>
          <w:szCs w:val="26"/>
          <w:lang w:bidi="he-IL"/>
        </w:rPr>
        <w:t xml:space="preserve">, ‘Joseph Kimhi the </w:t>
      </w:r>
      <w:proofErr w:type="spellStart"/>
      <w:r w:rsidR="00975572" w:rsidRPr="00D4590B">
        <w:rPr>
          <w:sz w:val="26"/>
          <w:szCs w:val="26"/>
          <w:lang w:bidi="he-IL"/>
        </w:rPr>
        <w:t>Sefardi</w:t>
      </w:r>
      <w:proofErr w:type="spellEnd"/>
      <w:r w:rsidR="00975572" w:rsidRPr="00D4590B">
        <w:rPr>
          <w:sz w:val="26"/>
          <w:szCs w:val="26"/>
          <w:lang w:bidi="he-IL"/>
        </w:rPr>
        <w:t xml:space="preserve"> said</w:t>
      </w:r>
      <w:r w:rsidRPr="00D4590B">
        <w:rPr>
          <w:sz w:val="26"/>
          <w:szCs w:val="26"/>
          <w:lang w:bidi="he-IL"/>
        </w:rPr>
        <w:t>.</w:t>
      </w:r>
      <w:r w:rsidR="00975572" w:rsidRPr="00D4590B">
        <w:rPr>
          <w:sz w:val="26"/>
          <w:szCs w:val="26"/>
          <w:lang w:bidi="he-IL"/>
        </w:rPr>
        <w:t>’</w:t>
      </w:r>
      <w:r w:rsidRPr="00D4590B">
        <w:rPr>
          <w:sz w:val="26"/>
          <w:szCs w:val="26"/>
          <w:lang w:bidi="he-IL"/>
        </w:rPr>
        <w:t xml:space="preserve"> </w:t>
      </w:r>
      <w:r w:rsidR="00975572" w:rsidRPr="00D4590B">
        <w:rPr>
          <w:sz w:val="26"/>
          <w:szCs w:val="26"/>
          <w:lang w:bidi="he-IL"/>
        </w:rPr>
        <w:t>Apparently there was some confusion</w:t>
      </w:r>
      <w:r w:rsidR="00975572" w:rsidRPr="00D4590B">
        <w:rPr>
          <w:i/>
          <w:iCs/>
          <w:sz w:val="26"/>
          <w:szCs w:val="26"/>
          <w:lang w:bidi="he-IL"/>
        </w:rPr>
        <w:t xml:space="preserve"> between the various Kimhi commentaries </w:t>
      </w:r>
      <w:r w:rsidR="00975572" w:rsidRPr="00D4590B">
        <w:rPr>
          <w:sz w:val="26"/>
          <w:szCs w:val="26"/>
          <w:lang w:bidi="he-IL"/>
        </w:rPr>
        <w:t>even in the medieval period [italics added].”</w:t>
      </w:r>
      <w:r w:rsidR="00975572" w:rsidRPr="00D4590B">
        <w:rPr>
          <w:rStyle w:val="a4"/>
          <w:sz w:val="26"/>
          <w:szCs w:val="26"/>
          <w:lang w:bidi="he-IL"/>
        </w:rPr>
        <w:footnoteReference w:id="30"/>
      </w:r>
      <w:r w:rsidRPr="00D4590B">
        <w:rPr>
          <w:sz w:val="26"/>
          <w:szCs w:val="26"/>
          <w:lang w:bidi="he-IL"/>
        </w:rPr>
        <w:t xml:space="preserve"> </w:t>
      </w:r>
      <w:r w:rsidR="00975572" w:rsidRPr="00D4590B">
        <w:rPr>
          <w:sz w:val="26"/>
          <w:szCs w:val="26"/>
          <w:lang w:bidi="he-IL"/>
        </w:rPr>
        <w:t xml:space="preserve">Such confusion, of course, might indeed account for the mistaken attribution of </w:t>
      </w:r>
      <w:proofErr w:type="spellStart"/>
      <w:r w:rsidR="00975572" w:rsidRPr="00D4590B">
        <w:rPr>
          <w:sz w:val="26"/>
          <w:szCs w:val="26"/>
          <w:lang w:bidi="he-IL"/>
        </w:rPr>
        <w:t>Radak’s</w:t>
      </w:r>
      <w:proofErr w:type="spellEnd"/>
      <w:r w:rsidR="00975572" w:rsidRPr="00D4590B">
        <w:rPr>
          <w:sz w:val="26"/>
          <w:szCs w:val="26"/>
          <w:lang w:bidi="he-IL"/>
        </w:rPr>
        <w:t xml:space="preserve"> commentary to his father (and help explain the omission of</w:t>
      </w:r>
      <w:r w:rsidR="004E7991">
        <w:rPr>
          <w:sz w:val="26"/>
          <w:szCs w:val="26"/>
          <w:lang w:bidi="he-IL"/>
        </w:rPr>
        <w:br/>
      </w:r>
      <w:r w:rsidR="00975572" w:rsidRPr="00855020">
        <w:rPr>
          <w:rFonts w:hint="cs"/>
          <w:sz w:val="26"/>
          <w:szCs w:val="26"/>
          <w:rtl/>
          <w:lang w:bidi="he-IL"/>
        </w:rPr>
        <w:t>דוד בן</w:t>
      </w:r>
      <w:r w:rsidR="00975572" w:rsidRPr="00D4590B">
        <w:rPr>
          <w:sz w:val="26"/>
          <w:szCs w:val="26"/>
          <w:lang w:bidi="he-IL"/>
        </w:rPr>
        <w:t xml:space="preserve">), just as certain comments in R. Joseph’s work, cited subsequently in the footnote, were misattributed to </w:t>
      </w:r>
      <w:proofErr w:type="spellStart"/>
      <w:r w:rsidR="00975572" w:rsidRPr="00D4590B">
        <w:rPr>
          <w:sz w:val="26"/>
          <w:szCs w:val="26"/>
          <w:lang w:bidi="he-IL"/>
        </w:rPr>
        <w:t>Radak</w:t>
      </w:r>
      <w:proofErr w:type="spellEnd"/>
      <w:r w:rsidR="00975572" w:rsidRPr="00D4590B">
        <w:rPr>
          <w:sz w:val="26"/>
          <w:szCs w:val="26"/>
          <w:lang w:bidi="he-IL"/>
        </w:rPr>
        <w:t>.</w:t>
      </w:r>
      <w:r w:rsidRPr="00D4590B">
        <w:rPr>
          <w:sz w:val="26"/>
          <w:szCs w:val="26"/>
          <w:lang w:bidi="he-IL"/>
        </w:rPr>
        <w:t xml:space="preserve"> </w:t>
      </w:r>
      <w:r w:rsidR="00975572" w:rsidRPr="00D4590B">
        <w:rPr>
          <w:sz w:val="26"/>
          <w:szCs w:val="26"/>
          <w:lang w:bidi="he-IL"/>
        </w:rPr>
        <w:t>But it emphatically would not explain how</w:t>
      </w:r>
      <w:r w:rsidR="00EE0CD0" w:rsidRPr="00D4590B">
        <w:rPr>
          <w:sz w:val="26"/>
          <w:szCs w:val="26"/>
          <w:lang w:bidi="he-IL"/>
        </w:rPr>
        <w:t xml:space="preserve"> </w:t>
      </w:r>
      <w:r w:rsidRPr="00D4590B">
        <w:rPr>
          <w:sz w:val="26"/>
          <w:szCs w:val="26"/>
          <w:lang w:bidi="he-IL"/>
        </w:rPr>
        <w:t xml:space="preserve">the </w:t>
      </w:r>
      <w:r w:rsidR="00432AC4" w:rsidRPr="00D4590B">
        <w:rPr>
          <w:sz w:val="26"/>
          <w:szCs w:val="26"/>
          <w:lang w:bidi="he-IL"/>
        </w:rPr>
        <w:t xml:space="preserve">self-attribution to a </w:t>
      </w:r>
      <w:proofErr w:type="spellStart"/>
      <w:r w:rsidR="00432AC4" w:rsidRPr="00D4590B">
        <w:rPr>
          <w:sz w:val="26"/>
          <w:szCs w:val="26"/>
          <w:lang w:bidi="he-IL"/>
        </w:rPr>
        <w:t>Kim</w:t>
      </w:r>
      <w:r w:rsidR="000863DA" w:rsidRPr="00D4590B">
        <w:rPr>
          <w:sz w:val="26"/>
          <w:szCs w:val="26"/>
          <w:lang w:bidi="he-IL"/>
        </w:rPr>
        <w:t>h</w:t>
      </w:r>
      <w:r w:rsidR="000863DA" w:rsidRPr="00D4590B">
        <w:rPr>
          <w:sz w:val="26"/>
          <w:szCs w:val="26"/>
          <w:lang w:bidi="he-IL"/>
        </w:rPr>
        <w:t></w:t>
      </w:r>
      <w:r w:rsidR="00A93C82" w:rsidRPr="00D4590B">
        <w:rPr>
          <w:sz w:val="26"/>
          <w:szCs w:val="26"/>
          <w:lang w:bidi="he-IL"/>
        </w:rPr>
        <w:t>i</w:t>
      </w:r>
      <w:proofErr w:type="spellEnd"/>
      <w:r w:rsidRPr="00D4590B">
        <w:rPr>
          <w:sz w:val="26"/>
          <w:szCs w:val="26"/>
          <w:lang w:bidi="he-IL"/>
        </w:rPr>
        <w:t xml:space="preserve"> emerged</w:t>
      </w:r>
      <w:r w:rsidR="00975572" w:rsidRPr="00D4590B">
        <w:rPr>
          <w:sz w:val="26"/>
          <w:szCs w:val="26"/>
          <w:lang w:bidi="he-IL"/>
        </w:rPr>
        <w:t xml:space="preserve"> in the first line of text</w:t>
      </w:r>
      <w:r w:rsidRPr="00D4590B">
        <w:rPr>
          <w:sz w:val="26"/>
          <w:szCs w:val="26"/>
          <w:lang w:bidi="he-IL"/>
        </w:rPr>
        <w:t xml:space="preserve"> if the author </w:t>
      </w:r>
      <w:r w:rsidR="00AB2E64" w:rsidRPr="00D4590B">
        <w:rPr>
          <w:sz w:val="26"/>
          <w:szCs w:val="26"/>
          <w:lang w:bidi="he-IL"/>
        </w:rPr>
        <w:t>were</w:t>
      </w:r>
      <w:r w:rsidRPr="00D4590B">
        <w:rPr>
          <w:sz w:val="26"/>
          <w:szCs w:val="26"/>
          <w:lang w:bidi="he-IL"/>
        </w:rPr>
        <w:t xml:space="preserve"> not a </w:t>
      </w:r>
      <w:proofErr w:type="spellStart"/>
      <w:r w:rsidRPr="00D4590B">
        <w:rPr>
          <w:sz w:val="26"/>
          <w:szCs w:val="26"/>
          <w:lang w:bidi="he-IL"/>
        </w:rPr>
        <w:t>Kimh</w:t>
      </w:r>
      <w:r w:rsidRPr="00D4590B">
        <w:rPr>
          <w:sz w:val="26"/>
          <w:szCs w:val="26"/>
          <w:lang w:bidi="he-IL"/>
        </w:rPr>
        <w:t>i</w:t>
      </w:r>
      <w:proofErr w:type="spellEnd"/>
      <w:r w:rsidRPr="00D4590B">
        <w:rPr>
          <w:sz w:val="26"/>
          <w:szCs w:val="26"/>
          <w:lang w:bidi="he-IL"/>
        </w:rPr>
        <w:t xml:space="preserve"> at all.</w:t>
      </w:r>
      <w:r w:rsidR="00A10A38" w:rsidRPr="00D4590B">
        <w:rPr>
          <w:rStyle w:val="a4"/>
          <w:sz w:val="26"/>
          <w:szCs w:val="26"/>
          <w:lang w:bidi="he-IL"/>
        </w:rPr>
        <w:footnoteReference w:id="31"/>
      </w:r>
    </w:p>
    <w:p w:rsidR="00E663C7" w:rsidRDefault="00E663C7" w:rsidP="00D4590B">
      <w:pPr>
        <w:spacing w:line="300" w:lineRule="exact"/>
        <w:jc w:val="both"/>
        <w:rPr>
          <w:i/>
          <w:iCs/>
          <w:sz w:val="26"/>
          <w:szCs w:val="26"/>
          <w:lang w:bidi="he-IL"/>
        </w:rPr>
      </w:pPr>
    </w:p>
    <w:p w:rsidR="00975572" w:rsidRPr="00D4590B" w:rsidRDefault="00975572" w:rsidP="00D4590B">
      <w:pPr>
        <w:spacing w:line="300" w:lineRule="exact"/>
        <w:jc w:val="both"/>
        <w:rPr>
          <w:i/>
          <w:iCs/>
          <w:sz w:val="26"/>
          <w:szCs w:val="26"/>
          <w:lang w:bidi="he-IL"/>
        </w:rPr>
      </w:pPr>
      <w:r w:rsidRPr="00D4590B">
        <w:rPr>
          <w:i/>
          <w:iCs/>
          <w:sz w:val="26"/>
          <w:szCs w:val="26"/>
          <w:lang w:bidi="he-IL"/>
        </w:rPr>
        <w:t xml:space="preserve">The Phrase “My </w:t>
      </w:r>
      <w:smartTag w:uri="urn:schemas-microsoft-com:office:smarttags" w:element="City">
        <w:smartTag w:uri="urn:schemas-microsoft-com:office:smarttags" w:element="place">
          <w:r w:rsidRPr="00D4590B">
            <w:rPr>
              <w:i/>
              <w:iCs/>
              <w:sz w:val="26"/>
              <w:szCs w:val="26"/>
              <w:lang w:bidi="he-IL"/>
            </w:rPr>
            <w:t>Mentor</w:t>
          </w:r>
        </w:smartTag>
      </w:smartTag>
      <w:r w:rsidRPr="00D4590B">
        <w:rPr>
          <w:i/>
          <w:iCs/>
          <w:sz w:val="26"/>
          <w:szCs w:val="26"/>
          <w:lang w:bidi="he-IL"/>
        </w:rPr>
        <w:t>, My Brother”</w:t>
      </w:r>
    </w:p>
    <w:p w:rsidR="00975572" w:rsidRPr="00D4590B" w:rsidRDefault="00975572" w:rsidP="00D4590B">
      <w:pPr>
        <w:spacing w:line="300" w:lineRule="exact"/>
        <w:jc w:val="both"/>
        <w:rPr>
          <w:sz w:val="26"/>
          <w:szCs w:val="26"/>
          <w:lang w:bidi="he-IL"/>
        </w:rPr>
      </w:pPr>
      <w:r w:rsidRPr="00D4590B">
        <w:rPr>
          <w:sz w:val="26"/>
          <w:szCs w:val="26"/>
          <w:lang w:bidi="he-IL"/>
        </w:rPr>
        <w:t xml:space="preserve">Two other specific phrases have added considerably to the conviction that </w:t>
      </w:r>
      <w:proofErr w:type="spellStart"/>
      <w:r w:rsidRPr="00D4590B">
        <w:rPr>
          <w:sz w:val="26"/>
          <w:szCs w:val="26"/>
          <w:lang w:bidi="he-IL"/>
        </w:rPr>
        <w:t>Radak</w:t>
      </w:r>
      <w:proofErr w:type="spellEnd"/>
      <w:r w:rsidRPr="00D4590B">
        <w:rPr>
          <w:sz w:val="26"/>
          <w:szCs w:val="26"/>
          <w:lang w:bidi="he-IL"/>
        </w:rPr>
        <w:t xml:space="preserve"> is the author.</w:t>
      </w:r>
      <w:r w:rsidR="008515BC" w:rsidRPr="00D4590B">
        <w:rPr>
          <w:sz w:val="26"/>
          <w:szCs w:val="26"/>
          <w:lang w:bidi="he-IL"/>
        </w:rPr>
        <w:t xml:space="preserve"> </w:t>
      </w:r>
      <w:r w:rsidRPr="00D4590B">
        <w:rPr>
          <w:sz w:val="26"/>
          <w:szCs w:val="26"/>
          <w:lang w:bidi="he-IL"/>
        </w:rPr>
        <w:t xml:space="preserve">First, at </w:t>
      </w:r>
      <w:smartTag w:uri="urn:schemas-microsoft-com:office:smarttags" w:element="time">
        <w:smartTagPr>
          <w:attr w:name="Minute" w:val="25"/>
          <w:attr w:name="Hour" w:val="20"/>
        </w:smartTagPr>
        <w:r w:rsidRPr="00D4590B">
          <w:rPr>
            <w:sz w:val="26"/>
            <w:szCs w:val="26"/>
            <w:lang w:bidi="he-IL"/>
          </w:rPr>
          <w:t>20:25</w:t>
        </w:r>
      </w:smartTag>
      <w:r w:rsidRPr="00D4590B">
        <w:rPr>
          <w:sz w:val="26"/>
          <w:szCs w:val="26"/>
          <w:lang w:bidi="he-IL"/>
        </w:rPr>
        <w:t xml:space="preserve">, an interpretation is attributed to </w:t>
      </w:r>
      <w:r w:rsidRPr="00D4590B">
        <w:rPr>
          <w:rFonts w:hint="cs"/>
          <w:sz w:val="26"/>
          <w:szCs w:val="26"/>
          <w:rtl/>
          <w:lang w:bidi="he-IL"/>
        </w:rPr>
        <w:t>רבי אחי</w:t>
      </w:r>
      <w:r w:rsidRPr="00D4590B">
        <w:rPr>
          <w:sz w:val="26"/>
          <w:szCs w:val="26"/>
          <w:lang w:bidi="he-IL"/>
        </w:rPr>
        <w:t>—“my mentor, my brother.”</w:t>
      </w:r>
      <w:r w:rsidR="008515BC" w:rsidRPr="00D4590B">
        <w:rPr>
          <w:sz w:val="26"/>
          <w:szCs w:val="26"/>
          <w:lang w:bidi="he-IL"/>
        </w:rPr>
        <w:t xml:space="preserve"> </w:t>
      </w:r>
      <w:proofErr w:type="spellStart"/>
      <w:r w:rsidRPr="00D4590B">
        <w:rPr>
          <w:sz w:val="26"/>
          <w:szCs w:val="26"/>
          <w:lang w:bidi="he-IL"/>
        </w:rPr>
        <w:t>Radak’s</w:t>
      </w:r>
      <w:proofErr w:type="spellEnd"/>
      <w:r w:rsidRPr="00D4590B">
        <w:rPr>
          <w:sz w:val="26"/>
          <w:szCs w:val="26"/>
          <w:lang w:bidi="he-IL"/>
        </w:rPr>
        <w:t xml:space="preserve"> brother</w:t>
      </w:r>
      <w:r w:rsidR="00EE0CD0" w:rsidRPr="00D4590B">
        <w:rPr>
          <w:sz w:val="26"/>
          <w:szCs w:val="26"/>
          <w:lang w:bidi="he-IL"/>
        </w:rPr>
        <w:t>,</w:t>
      </w:r>
      <w:r w:rsidRPr="00D4590B">
        <w:rPr>
          <w:sz w:val="26"/>
          <w:szCs w:val="26"/>
          <w:lang w:bidi="he-IL"/>
        </w:rPr>
        <w:t xml:space="preserve"> R. Moses </w:t>
      </w:r>
      <w:proofErr w:type="spellStart"/>
      <w:r w:rsidRPr="00D4590B">
        <w:rPr>
          <w:sz w:val="26"/>
          <w:szCs w:val="26"/>
          <w:lang w:bidi="he-IL"/>
        </w:rPr>
        <w:t>Kimh</w:t>
      </w:r>
      <w:r w:rsidRPr="00D4590B">
        <w:rPr>
          <w:sz w:val="26"/>
          <w:szCs w:val="26"/>
          <w:lang w:bidi="he-IL"/>
        </w:rPr>
        <w:t></w:t>
      </w:r>
      <w:r w:rsidR="00A93C82" w:rsidRPr="00D4590B">
        <w:rPr>
          <w:sz w:val="26"/>
          <w:szCs w:val="26"/>
          <w:lang w:bidi="he-IL"/>
        </w:rPr>
        <w:t>i</w:t>
      </w:r>
      <w:proofErr w:type="spellEnd"/>
      <w:r w:rsidR="00EE0CD0" w:rsidRPr="00D4590B">
        <w:rPr>
          <w:sz w:val="26"/>
          <w:szCs w:val="26"/>
          <w:lang w:bidi="he-IL"/>
        </w:rPr>
        <w:t>,</w:t>
      </w:r>
      <w:r w:rsidRPr="00D4590B">
        <w:rPr>
          <w:sz w:val="26"/>
          <w:szCs w:val="26"/>
          <w:lang w:bidi="he-IL"/>
        </w:rPr>
        <w:t xml:space="preserve"> was indeed his mentor, and on several occasions, </w:t>
      </w:r>
      <w:proofErr w:type="spellStart"/>
      <w:r w:rsidRPr="00D4590B">
        <w:rPr>
          <w:sz w:val="26"/>
          <w:szCs w:val="26"/>
          <w:lang w:bidi="he-IL"/>
        </w:rPr>
        <w:t>Radak</w:t>
      </w:r>
      <w:proofErr w:type="spellEnd"/>
      <w:r w:rsidRPr="00D4590B">
        <w:rPr>
          <w:sz w:val="26"/>
          <w:szCs w:val="26"/>
          <w:lang w:bidi="he-IL"/>
        </w:rPr>
        <w:t xml:space="preserve"> refers to him </w:t>
      </w:r>
      <w:r w:rsidR="00EE0CD0" w:rsidRPr="00D4590B">
        <w:rPr>
          <w:sz w:val="26"/>
          <w:szCs w:val="26"/>
          <w:lang w:bidi="he-IL"/>
        </w:rPr>
        <w:t xml:space="preserve">in his works </w:t>
      </w:r>
      <w:r w:rsidRPr="00D4590B">
        <w:rPr>
          <w:sz w:val="26"/>
          <w:szCs w:val="26"/>
          <w:lang w:bidi="he-IL"/>
        </w:rPr>
        <w:t xml:space="preserve">with the distinctive phrase </w:t>
      </w:r>
      <w:r w:rsidRPr="00D4590B">
        <w:rPr>
          <w:rFonts w:hint="cs"/>
          <w:sz w:val="26"/>
          <w:szCs w:val="26"/>
          <w:rtl/>
          <w:lang w:bidi="he-IL"/>
        </w:rPr>
        <w:t>רבי אחי רבי משה</w:t>
      </w:r>
      <w:r w:rsidRPr="00D4590B">
        <w:rPr>
          <w:sz w:val="26"/>
          <w:szCs w:val="26"/>
          <w:lang w:bidi="he-IL"/>
        </w:rPr>
        <w:t>—“my mentor, my brother, R. Moses.”</w:t>
      </w:r>
      <w:r w:rsidRPr="00D4590B">
        <w:rPr>
          <w:rStyle w:val="a4"/>
          <w:sz w:val="26"/>
          <w:szCs w:val="26"/>
          <w:lang w:bidi="he-IL"/>
        </w:rPr>
        <w:footnoteReference w:id="32"/>
      </w:r>
      <w:r w:rsidR="00B01BE0">
        <w:rPr>
          <w:sz w:val="26"/>
          <w:szCs w:val="26"/>
          <w:lang w:bidi="he-IL"/>
        </w:rPr>
        <w:t xml:space="preserve"> </w:t>
      </w:r>
      <w:r w:rsidRPr="00D4590B">
        <w:rPr>
          <w:sz w:val="26"/>
          <w:szCs w:val="26"/>
          <w:lang w:bidi="he-IL"/>
        </w:rPr>
        <w:t xml:space="preserve">And while this interpretation does not appear in R. Moses’ </w:t>
      </w:r>
      <w:r w:rsidR="006F6704" w:rsidRPr="00D4590B">
        <w:rPr>
          <w:sz w:val="26"/>
          <w:szCs w:val="26"/>
          <w:lang w:bidi="he-IL"/>
        </w:rPr>
        <w:t>own work on Proverbs</w:t>
      </w:r>
      <w:r w:rsidRPr="00D4590B">
        <w:rPr>
          <w:sz w:val="26"/>
          <w:szCs w:val="26"/>
          <w:lang w:bidi="he-IL"/>
        </w:rPr>
        <w:t>,</w:t>
      </w:r>
      <w:r w:rsidR="00581ABD" w:rsidRPr="00D4590B">
        <w:rPr>
          <w:rStyle w:val="a4"/>
          <w:sz w:val="26"/>
          <w:szCs w:val="26"/>
          <w:lang w:bidi="he-IL"/>
        </w:rPr>
        <w:footnoteReference w:id="33"/>
      </w:r>
      <w:r w:rsidRPr="00D4590B">
        <w:rPr>
          <w:sz w:val="26"/>
          <w:szCs w:val="26"/>
          <w:lang w:bidi="he-IL"/>
        </w:rPr>
        <w:t xml:space="preserve"> </w:t>
      </w:r>
      <w:r w:rsidR="00A16D01" w:rsidRPr="00D4590B">
        <w:rPr>
          <w:sz w:val="26"/>
          <w:szCs w:val="26"/>
          <w:lang w:bidi="he-IL"/>
        </w:rPr>
        <w:t>it does</w:t>
      </w:r>
      <w:r w:rsidRPr="00D4590B">
        <w:rPr>
          <w:sz w:val="26"/>
          <w:szCs w:val="26"/>
          <w:lang w:bidi="he-IL"/>
        </w:rPr>
        <w:t>—like severa</w:t>
      </w:r>
      <w:r w:rsidR="006F6704" w:rsidRPr="00D4590B">
        <w:rPr>
          <w:sz w:val="26"/>
          <w:szCs w:val="26"/>
          <w:lang w:bidi="he-IL"/>
        </w:rPr>
        <w:t>l others in our</w:t>
      </w:r>
      <w:r w:rsidR="00A16D01" w:rsidRPr="00D4590B">
        <w:rPr>
          <w:sz w:val="26"/>
          <w:szCs w:val="26"/>
          <w:lang w:bidi="he-IL"/>
        </w:rPr>
        <w:t xml:space="preserve"> </w:t>
      </w:r>
      <w:r w:rsidR="00A16D01" w:rsidRPr="00D4590B">
        <w:rPr>
          <w:sz w:val="26"/>
          <w:szCs w:val="26"/>
          <w:lang w:bidi="he-IL"/>
        </w:rPr>
        <w:lastRenderedPageBreak/>
        <w:t>commentary—find</w:t>
      </w:r>
      <w:r w:rsidRPr="00D4590B">
        <w:rPr>
          <w:sz w:val="26"/>
          <w:szCs w:val="26"/>
          <w:lang w:bidi="he-IL"/>
        </w:rPr>
        <w:t xml:space="preserve"> a parallel in </w:t>
      </w:r>
      <w:proofErr w:type="spellStart"/>
      <w:r w:rsidRPr="00D4590B">
        <w:rPr>
          <w:sz w:val="26"/>
          <w:szCs w:val="26"/>
          <w:lang w:bidi="he-IL"/>
        </w:rPr>
        <w:t>Radak’s</w:t>
      </w:r>
      <w:proofErr w:type="spellEnd"/>
      <w:r w:rsidRPr="00D4590B">
        <w:rPr>
          <w:sz w:val="26"/>
          <w:szCs w:val="26"/>
          <w:lang w:bidi="he-IL"/>
        </w:rPr>
        <w:t xml:space="preserve"> </w:t>
      </w:r>
      <w:r w:rsidRPr="00D4590B">
        <w:rPr>
          <w:i/>
          <w:iCs/>
          <w:sz w:val="26"/>
          <w:szCs w:val="26"/>
          <w:lang w:bidi="he-IL"/>
        </w:rPr>
        <w:t>Shorashim</w:t>
      </w:r>
      <w:r w:rsidRPr="00D4590B">
        <w:rPr>
          <w:sz w:val="26"/>
          <w:szCs w:val="26"/>
          <w:lang w:bidi="he-IL"/>
        </w:rPr>
        <w:t xml:space="preserve"> (entry </w:t>
      </w:r>
      <w:r w:rsidRPr="00D4590B">
        <w:rPr>
          <w:rFonts w:hint="cs"/>
          <w:sz w:val="26"/>
          <w:szCs w:val="26"/>
          <w:rtl/>
          <w:lang w:bidi="he-IL"/>
        </w:rPr>
        <w:t>לוע</w:t>
      </w:r>
      <w:r w:rsidRPr="00D4590B">
        <w:rPr>
          <w:sz w:val="26"/>
          <w:szCs w:val="26"/>
          <w:lang w:bidi="he-IL"/>
        </w:rPr>
        <w:t>), albeit without any attribution.</w:t>
      </w:r>
    </w:p>
    <w:p w:rsidR="00975572" w:rsidRPr="00D4590B" w:rsidRDefault="00975572" w:rsidP="00343293">
      <w:pPr>
        <w:spacing w:line="300" w:lineRule="exact"/>
        <w:ind w:firstLine="284"/>
        <w:jc w:val="both"/>
        <w:rPr>
          <w:sz w:val="26"/>
          <w:szCs w:val="26"/>
          <w:lang w:bidi="he-IL"/>
        </w:rPr>
      </w:pPr>
      <w:r w:rsidRPr="00D4590B">
        <w:rPr>
          <w:sz w:val="26"/>
          <w:szCs w:val="26"/>
          <w:lang w:bidi="he-IL"/>
        </w:rPr>
        <w:t xml:space="preserve">In fact, the commentary in question exhibits a strong enough relationship to </w:t>
      </w:r>
      <w:r w:rsidRPr="00D4590B">
        <w:rPr>
          <w:i/>
          <w:iCs/>
          <w:sz w:val="26"/>
          <w:szCs w:val="26"/>
          <w:lang w:bidi="he-IL"/>
        </w:rPr>
        <w:t>Shorashim</w:t>
      </w:r>
      <w:r w:rsidRPr="00D4590B">
        <w:rPr>
          <w:sz w:val="26"/>
          <w:szCs w:val="26"/>
          <w:lang w:bidi="he-IL"/>
        </w:rPr>
        <w:t xml:space="preserve"> that if </w:t>
      </w:r>
      <w:proofErr w:type="spellStart"/>
      <w:r w:rsidRPr="00D4590B">
        <w:rPr>
          <w:sz w:val="26"/>
          <w:szCs w:val="26"/>
          <w:lang w:bidi="he-IL"/>
        </w:rPr>
        <w:t>Radak</w:t>
      </w:r>
      <w:proofErr w:type="spellEnd"/>
      <w:r w:rsidRPr="00D4590B">
        <w:rPr>
          <w:sz w:val="26"/>
          <w:szCs w:val="26"/>
          <w:lang w:bidi="he-IL"/>
        </w:rPr>
        <w:t xml:space="preserve"> himself did not compose this work on Proverbs, its author </w:t>
      </w:r>
      <w:r w:rsidR="0084180D" w:rsidRPr="00D4590B">
        <w:rPr>
          <w:sz w:val="26"/>
          <w:szCs w:val="26"/>
          <w:lang w:bidi="he-IL"/>
        </w:rPr>
        <w:t>must</w:t>
      </w:r>
      <w:r w:rsidRPr="00D4590B">
        <w:rPr>
          <w:sz w:val="26"/>
          <w:szCs w:val="26"/>
          <w:lang w:bidi="he-IL"/>
        </w:rPr>
        <w:t xml:space="preserve"> </w:t>
      </w:r>
      <w:r w:rsidR="0084180D" w:rsidRPr="00D4590B">
        <w:rPr>
          <w:sz w:val="26"/>
          <w:szCs w:val="26"/>
          <w:lang w:bidi="he-IL"/>
        </w:rPr>
        <w:t xml:space="preserve">have been </w:t>
      </w:r>
      <w:r w:rsidRPr="00D4590B">
        <w:rPr>
          <w:sz w:val="26"/>
          <w:szCs w:val="26"/>
          <w:lang w:bidi="he-IL"/>
        </w:rPr>
        <w:t>closely familiar with the popular lexicon.</w:t>
      </w:r>
      <w:r w:rsidR="00B01BE0">
        <w:rPr>
          <w:sz w:val="26"/>
          <w:szCs w:val="26"/>
          <w:lang w:bidi="he-IL"/>
        </w:rPr>
        <w:t xml:space="preserve"> </w:t>
      </w:r>
      <w:r w:rsidRPr="00D4590B">
        <w:rPr>
          <w:sz w:val="26"/>
          <w:szCs w:val="26"/>
          <w:lang w:bidi="he-IL"/>
        </w:rPr>
        <w:t>Indeed,</w:t>
      </w:r>
      <w:r w:rsidR="00EE0CD0" w:rsidRPr="00D4590B">
        <w:rPr>
          <w:sz w:val="26"/>
          <w:szCs w:val="26"/>
          <w:lang w:bidi="he-IL"/>
        </w:rPr>
        <w:t xml:space="preserve"> </w:t>
      </w:r>
      <w:r w:rsidRPr="00D4590B">
        <w:rPr>
          <w:sz w:val="26"/>
          <w:szCs w:val="26"/>
          <w:lang w:bidi="he-IL"/>
        </w:rPr>
        <w:t xml:space="preserve">this affinity to </w:t>
      </w:r>
      <w:r w:rsidRPr="00D4590B">
        <w:rPr>
          <w:i/>
          <w:iCs/>
          <w:sz w:val="26"/>
          <w:szCs w:val="26"/>
          <w:lang w:bidi="he-IL"/>
        </w:rPr>
        <w:t>Shorashim</w:t>
      </w:r>
      <w:r w:rsidRPr="00D4590B">
        <w:rPr>
          <w:sz w:val="26"/>
          <w:szCs w:val="26"/>
          <w:lang w:bidi="he-IL"/>
        </w:rPr>
        <w:t>—together with other affinitie</w:t>
      </w:r>
      <w:r w:rsidR="008632B0" w:rsidRPr="00D4590B">
        <w:rPr>
          <w:sz w:val="26"/>
          <w:szCs w:val="26"/>
          <w:lang w:bidi="he-IL"/>
        </w:rPr>
        <w:t xml:space="preserve">s to </w:t>
      </w:r>
      <w:proofErr w:type="spellStart"/>
      <w:r w:rsidR="008632B0" w:rsidRPr="00D4590B">
        <w:rPr>
          <w:sz w:val="26"/>
          <w:szCs w:val="26"/>
          <w:lang w:bidi="he-IL"/>
        </w:rPr>
        <w:t>Radak’s</w:t>
      </w:r>
      <w:proofErr w:type="spellEnd"/>
      <w:r w:rsidR="008632B0" w:rsidRPr="00D4590B">
        <w:rPr>
          <w:sz w:val="26"/>
          <w:szCs w:val="26"/>
          <w:lang w:bidi="he-IL"/>
        </w:rPr>
        <w:t xml:space="preserve"> works—is compelling</w:t>
      </w:r>
      <w:r w:rsidRPr="00D4590B">
        <w:rPr>
          <w:sz w:val="26"/>
          <w:szCs w:val="26"/>
          <w:lang w:bidi="he-IL"/>
        </w:rPr>
        <w:t xml:space="preserve"> enough to prompt Grunhaus</w:t>
      </w:r>
      <w:r w:rsidR="0084180D" w:rsidRPr="00D4590B">
        <w:rPr>
          <w:sz w:val="26"/>
          <w:szCs w:val="26"/>
          <w:lang w:bidi="he-IL"/>
        </w:rPr>
        <w:t>,</w:t>
      </w:r>
      <w:r w:rsidR="00EE0CD0" w:rsidRPr="00D4590B">
        <w:rPr>
          <w:sz w:val="26"/>
          <w:szCs w:val="26"/>
          <w:lang w:bidi="he-IL"/>
        </w:rPr>
        <w:t xml:space="preserve"> </w:t>
      </w:r>
      <w:r w:rsidR="0084180D" w:rsidRPr="00D4590B">
        <w:rPr>
          <w:sz w:val="26"/>
          <w:szCs w:val="26"/>
          <w:lang w:bidi="he-IL"/>
        </w:rPr>
        <w:t xml:space="preserve">when attempting to deflect the significance of the reference to </w:t>
      </w:r>
      <w:r w:rsidR="0084180D" w:rsidRPr="00D4590B">
        <w:rPr>
          <w:rFonts w:hint="cs"/>
          <w:sz w:val="26"/>
          <w:szCs w:val="26"/>
          <w:rtl/>
          <w:lang w:bidi="he-IL"/>
        </w:rPr>
        <w:t>רבי אחי</w:t>
      </w:r>
      <w:r w:rsidR="0084180D" w:rsidRPr="00D4590B">
        <w:rPr>
          <w:sz w:val="26"/>
          <w:szCs w:val="26"/>
          <w:lang w:bidi="he-IL"/>
        </w:rPr>
        <w:t xml:space="preserve">, </w:t>
      </w:r>
      <w:r w:rsidR="00EE0CD0" w:rsidRPr="00D4590B">
        <w:rPr>
          <w:sz w:val="26"/>
          <w:szCs w:val="26"/>
          <w:lang w:bidi="he-IL"/>
        </w:rPr>
        <w:t>to concede</w:t>
      </w:r>
      <w:r w:rsidRPr="00D4590B">
        <w:rPr>
          <w:sz w:val="26"/>
          <w:szCs w:val="26"/>
          <w:lang w:bidi="he-IL"/>
        </w:rPr>
        <w:t xml:space="preserve"> the correlation to the entry in </w:t>
      </w:r>
      <w:r w:rsidRPr="00D4590B">
        <w:rPr>
          <w:i/>
          <w:iCs/>
          <w:sz w:val="26"/>
          <w:szCs w:val="26"/>
          <w:lang w:bidi="he-IL"/>
        </w:rPr>
        <w:t>Shorashim</w:t>
      </w:r>
      <w:r w:rsidRPr="00D4590B">
        <w:rPr>
          <w:sz w:val="26"/>
          <w:szCs w:val="26"/>
          <w:lang w:bidi="he-IL"/>
        </w:rPr>
        <w:t>.</w:t>
      </w:r>
      <w:r w:rsidR="008515BC" w:rsidRPr="00D4590B">
        <w:rPr>
          <w:sz w:val="26"/>
          <w:szCs w:val="26"/>
          <w:lang w:bidi="he-IL"/>
        </w:rPr>
        <w:t xml:space="preserve"> </w:t>
      </w:r>
      <w:r w:rsidRPr="00D4590B">
        <w:rPr>
          <w:sz w:val="26"/>
          <w:szCs w:val="26"/>
          <w:lang w:bidi="he-IL"/>
        </w:rPr>
        <w:t>She explains, however,</w:t>
      </w:r>
      <w:r w:rsidRPr="00D4590B">
        <w:rPr>
          <w:i/>
          <w:iCs/>
          <w:sz w:val="26"/>
          <w:szCs w:val="26"/>
          <w:lang w:bidi="he-IL"/>
        </w:rPr>
        <w:t xml:space="preserve"> </w:t>
      </w:r>
      <w:r w:rsidRPr="00D4590B">
        <w:rPr>
          <w:sz w:val="26"/>
          <w:szCs w:val="26"/>
          <w:lang w:bidi="he-IL"/>
        </w:rPr>
        <w:t xml:space="preserve">that the unknown author, “in his fondness for </w:t>
      </w:r>
      <w:proofErr w:type="spellStart"/>
      <w:r w:rsidRPr="00D4590B">
        <w:rPr>
          <w:sz w:val="26"/>
          <w:szCs w:val="26"/>
          <w:lang w:bidi="he-IL"/>
        </w:rPr>
        <w:t>Radak</w:t>
      </w:r>
      <w:proofErr w:type="spellEnd"/>
      <w:r w:rsidRPr="00D4590B">
        <w:rPr>
          <w:sz w:val="26"/>
          <w:szCs w:val="26"/>
          <w:lang w:bidi="he-IL"/>
        </w:rPr>
        <w:t xml:space="preserve"> and/or his works,” lifted this interpretation from </w:t>
      </w:r>
      <w:r w:rsidRPr="00D4590B">
        <w:rPr>
          <w:i/>
          <w:iCs/>
          <w:sz w:val="26"/>
          <w:szCs w:val="26"/>
          <w:lang w:bidi="he-IL"/>
        </w:rPr>
        <w:t>Shorashim</w:t>
      </w:r>
      <w:r w:rsidRPr="00D4590B">
        <w:rPr>
          <w:sz w:val="26"/>
          <w:szCs w:val="26"/>
          <w:lang w:bidi="he-IL"/>
        </w:rPr>
        <w:t>, and in this case—unlike any other—</w:t>
      </w:r>
      <w:r w:rsidRPr="00D4590B">
        <w:rPr>
          <w:i/>
          <w:iCs/>
          <w:sz w:val="26"/>
          <w:szCs w:val="26"/>
          <w:lang w:bidi="he-IL"/>
        </w:rPr>
        <w:t>referred</w:t>
      </w:r>
      <w:r w:rsidRPr="00D4590B">
        <w:rPr>
          <w:sz w:val="26"/>
          <w:szCs w:val="26"/>
          <w:lang w:bidi="he-IL"/>
        </w:rPr>
        <w:t xml:space="preserve"> to </w:t>
      </w:r>
      <w:proofErr w:type="spellStart"/>
      <w:r w:rsidRPr="00D4590B">
        <w:rPr>
          <w:sz w:val="26"/>
          <w:szCs w:val="26"/>
          <w:lang w:bidi="he-IL"/>
        </w:rPr>
        <w:t>Radak</w:t>
      </w:r>
      <w:proofErr w:type="spellEnd"/>
      <w:r w:rsidRPr="00D4590B">
        <w:rPr>
          <w:sz w:val="26"/>
          <w:szCs w:val="26"/>
          <w:lang w:bidi="he-IL"/>
        </w:rPr>
        <w:t xml:space="preserve"> as </w:t>
      </w:r>
      <w:r w:rsidRPr="00D4590B">
        <w:rPr>
          <w:rFonts w:hint="cs"/>
          <w:sz w:val="26"/>
          <w:szCs w:val="26"/>
          <w:rtl/>
          <w:lang w:bidi="he-IL"/>
        </w:rPr>
        <w:t>רבי אחי</w:t>
      </w:r>
      <w:r w:rsidRPr="00D4590B">
        <w:rPr>
          <w:sz w:val="26"/>
          <w:szCs w:val="26"/>
          <w:lang w:bidi="he-IL"/>
        </w:rPr>
        <w:t>.</w:t>
      </w:r>
      <w:r w:rsidR="008515BC" w:rsidRPr="00D4590B">
        <w:rPr>
          <w:sz w:val="26"/>
          <w:szCs w:val="26"/>
          <w:lang w:bidi="he-IL"/>
        </w:rPr>
        <w:t xml:space="preserve"> </w:t>
      </w:r>
      <w:r w:rsidRPr="00D4590B">
        <w:rPr>
          <w:sz w:val="26"/>
          <w:szCs w:val="26"/>
          <w:lang w:bidi="he-IL"/>
        </w:rPr>
        <w:t xml:space="preserve">And, she adds, “the reference to </w:t>
      </w:r>
      <w:proofErr w:type="spellStart"/>
      <w:r w:rsidRPr="00D4590B">
        <w:rPr>
          <w:sz w:val="26"/>
          <w:szCs w:val="26"/>
          <w:lang w:bidi="he-IL"/>
        </w:rPr>
        <w:t>Radak</w:t>
      </w:r>
      <w:proofErr w:type="spellEnd"/>
      <w:r w:rsidRPr="00D4590B">
        <w:rPr>
          <w:sz w:val="26"/>
          <w:szCs w:val="26"/>
          <w:lang w:bidi="he-IL"/>
        </w:rPr>
        <w:t xml:space="preserve"> as a family member is not unique.</w:t>
      </w:r>
      <w:r w:rsidR="00363B0F" w:rsidRPr="00D4590B">
        <w:rPr>
          <w:sz w:val="26"/>
          <w:szCs w:val="26"/>
          <w:lang w:bidi="he-IL"/>
        </w:rPr>
        <w:t xml:space="preserve"> </w:t>
      </w:r>
      <w:r w:rsidRPr="00D4590B">
        <w:rPr>
          <w:sz w:val="26"/>
          <w:szCs w:val="26"/>
          <w:lang w:bidi="he-IL"/>
        </w:rPr>
        <w:t xml:space="preserve">Abraham Ibn </w:t>
      </w:r>
      <w:proofErr w:type="spellStart"/>
      <w:r w:rsidRPr="00D4590B">
        <w:rPr>
          <w:sz w:val="26"/>
          <w:szCs w:val="26"/>
          <w:lang w:bidi="he-IL"/>
        </w:rPr>
        <w:t>Hasdai</w:t>
      </w:r>
      <w:proofErr w:type="spellEnd"/>
      <w:r w:rsidRPr="00D4590B">
        <w:rPr>
          <w:sz w:val="26"/>
          <w:szCs w:val="26"/>
          <w:lang w:bidi="he-IL"/>
        </w:rPr>
        <w:t xml:space="preserve"> applied the term </w:t>
      </w:r>
      <w:r w:rsidRPr="00D4590B">
        <w:rPr>
          <w:rFonts w:hint="cs"/>
          <w:sz w:val="26"/>
          <w:szCs w:val="26"/>
          <w:rtl/>
          <w:lang w:bidi="he-IL"/>
        </w:rPr>
        <w:t>אבי</w:t>
      </w:r>
      <w:r w:rsidRPr="00D4590B">
        <w:rPr>
          <w:sz w:val="26"/>
          <w:szCs w:val="26"/>
          <w:lang w:bidi="he-IL"/>
        </w:rPr>
        <w:t>, ‘my father</w:t>
      </w:r>
      <w:r w:rsidR="00EE0CD0" w:rsidRPr="00D4590B">
        <w:rPr>
          <w:sz w:val="26"/>
          <w:szCs w:val="26"/>
          <w:lang w:bidi="he-IL"/>
        </w:rPr>
        <w:t>,</w:t>
      </w:r>
      <w:r w:rsidRPr="00D4590B">
        <w:rPr>
          <w:sz w:val="26"/>
          <w:szCs w:val="26"/>
          <w:lang w:bidi="he-IL"/>
        </w:rPr>
        <w:t xml:space="preserve">’ to </w:t>
      </w:r>
      <w:proofErr w:type="spellStart"/>
      <w:r w:rsidRPr="00D4590B">
        <w:rPr>
          <w:sz w:val="26"/>
          <w:szCs w:val="26"/>
          <w:lang w:bidi="he-IL"/>
        </w:rPr>
        <w:t>Radak</w:t>
      </w:r>
      <w:proofErr w:type="spellEnd"/>
      <w:r w:rsidRPr="00D4590B">
        <w:rPr>
          <w:sz w:val="26"/>
          <w:szCs w:val="26"/>
          <w:lang w:bidi="he-IL"/>
        </w:rPr>
        <w:t xml:space="preserve"> in </w:t>
      </w:r>
      <w:r w:rsidR="00A21BA2" w:rsidRPr="00D4590B">
        <w:rPr>
          <w:sz w:val="26"/>
          <w:szCs w:val="26"/>
          <w:lang w:bidi="he-IL"/>
        </w:rPr>
        <w:t>his</w:t>
      </w:r>
      <w:r w:rsidRPr="00D4590B">
        <w:rPr>
          <w:sz w:val="26"/>
          <w:szCs w:val="26"/>
          <w:lang w:bidi="he-IL"/>
        </w:rPr>
        <w:t xml:space="preserve"> introduction to his translation of the</w:t>
      </w:r>
      <w:r w:rsidRPr="00D4590B">
        <w:rPr>
          <w:rFonts w:hint="cs"/>
          <w:sz w:val="26"/>
          <w:szCs w:val="26"/>
          <w:rtl/>
          <w:lang w:bidi="he-IL"/>
        </w:rPr>
        <w:t>ספר היסודות</w:t>
      </w:r>
      <w:r w:rsidR="00E663C7">
        <w:rPr>
          <w:rFonts w:hint="cs"/>
          <w:sz w:val="26"/>
          <w:szCs w:val="26"/>
          <w:rtl/>
          <w:lang w:bidi="he-IL"/>
        </w:rPr>
        <w:t xml:space="preserve"> </w:t>
      </w:r>
      <w:r w:rsidRPr="00D4590B">
        <w:rPr>
          <w:sz w:val="26"/>
          <w:szCs w:val="26"/>
          <w:lang w:bidi="he-IL"/>
        </w:rPr>
        <w:t>.”</w:t>
      </w:r>
      <w:r w:rsidRPr="00D4590B">
        <w:rPr>
          <w:rStyle w:val="a4"/>
          <w:sz w:val="26"/>
          <w:szCs w:val="26"/>
          <w:lang w:bidi="he-IL"/>
        </w:rPr>
        <w:footnoteReference w:id="34"/>
      </w:r>
    </w:p>
    <w:p w:rsidR="00975572" w:rsidRDefault="008C65EF" w:rsidP="000863DA">
      <w:pPr>
        <w:spacing w:line="300" w:lineRule="exact"/>
        <w:ind w:firstLine="284"/>
        <w:jc w:val="both"/>
        <w:rPr>
          <w:rFonts w:hint="cs"/>
          <w:sz w:val="26"/>
          <w:szCs w:val="26"/>
          <w:rtl/>
          <w:lang w:bidi="he-IL"/>
        </w:rPr>
      </w:pPr>
      <w:r w:rsidRPr="00D4590B">
        <w:rPr>
          <w:sz w:val="26"/>
          <w:szCs w:val="26"/>
          <w:lang w:bidi="he-IL"/>
        </w:rPr>
        <w:t>S</w:t>
      </w:r>
      <w:r w:rsidR="00975572" w:rsidRPr="00D4590B">
        <w:rPr>
          <w:sz w:val="26"/>
          <w:szCs w:val="26"/>
          <w:lang w:bidi="he-IL"/>
        </w:rPr>
        <w:t>uch an option must be considered highly unlikely, the proposed analogy notwithstanding.</w:t>
      </w:r>
      <w:r w:rsidR="008515BC" w:rsidRPr="00D4590B">
        <w:rPr>
          <w:sz w:val="26"/>
          <w:szCs w:val="26"/>
          <w:lang w:bidi="he-IL"/>
        </w:rPr>
        <w:t xml:space="preserve"> </w:t>
      </w:r>
      <w:r w:rsidR="00975572" w:rsidRPr="00D4590B">
        <w:rPr>
          <w:sz w:val="26"/>
          <w:szCs w:val="26"/>
          <w:lang w:bidi="he-IL"/>
        </w:rPr>
        <w:t xml:space="preserve">Moreover, Ibn </w:t>
      </w:r>
      <w:proofErr w:type="spellStart"/>
      <w:r w:rsidR="000863DA" w:rsidRPr="004C2A49">
        <w:rPr>
          <w:sz w:val="26"/>
          <w:szCs w:val="26"/>
        </w:rPr>
        <w:t>H</w:t>
      </w:r>
      <w:r w:rsidR="000863DA" w:rsidRPr="004C2A49">
        <w:rPr>
          <w:sz w:val="26"/>
          <w:szCs w:val="26"/>
        </w:rPr>
        <w:t></w:t>
      </w:r>
      <w:r w:rsidR="00975572" w:rsidRPr="00D4590B">
        <w:rPr>
          <w:sz w:val="26"/>
          <w:szCs w:val="26"/>
          <w:lang w:bidi="he-IL"/>
        </w:rPr>
        <w:t>asdai’s</w:t>
      </w:r>
      <w:proofErr w:type="spellEnd"/>
      <w:r w:rsidR="00975572" w:rsidRPr="00D4590B">
        <w:rPr>
          <w:sz w:val="26"/>
          <w:szCs w:val="26"/>
          <w:lang w:bidi="he-IL"/>
        </w:rPr>
        <w:t xml:space="preserve"> comment, which appears in the course of his apology for undertaking the task of translation despite professed inadequacy, is in reality hardly comparable to the phrase </w:t>
      </w:r>
      <w:r w:rsidR="00975572" w:rsidRPr="00D4590B">
        <w:rPr>
          <w:rFonts w:hint="cs"/>
          <w:sz w:val="26"/>
          <w:szCs w:val="26"/>
          <w:rtl/>
          <w:lang w:bidi="he-IL"/>
        </w:rPr>
        <w:t>רבי אחי</w:t>
      </w:r>
      <w:r w:rsidR="00975572" w:rsidRPr="00D4590B">
        <w:rPr>
          <w:sz w:val="26"/>
          <w:szCs w:val="26"/>
          <w:lang w:bidi="he-IL"/>
        </w:rPr>
        <w:t xml:space="preserve"> in the Proverbs commentary.</w:t>
      </w:r>
      <w:r w:rsidR="008515BC" w:rsidRPr="00D4590B">
        <w:rPr>
          <w:sz w:val="26"/>
          <w:szCs w:val="26"/>
          <w:lang w:bidi="he-IL"/>
        </w:rPr>
        <w:t xml:space="preserve"> </w:t>
      </w:r>
      <w:r w:rsidR="00975572" w:rsidRPr="00D4590B">
        <w:rPr>
          <w:sz w:val="26"/>
          <w:szCs w:val="26"/>
          <w:lang w:bidi="he-IL"/>
        </w:rPr>
        <w:t xml:space="preserve">Ibn </w:t>
      </w:r>
      <w:proofErr w:type="spellStart"/>
      <w:r w:rsidR="000863DA" w:rsidRPr="004C2A49">
        <w:rPr>
          <w:sz w:val="26"/>
          <w:szCs w:val="26"/>
        </w:rPr>
        <w:t>H</w:t>
      </w:r>
      <w:r w:rsidR="000863DA" w:rsidRPr="004C2A49">
        <w:rPr>
          <w:sz w:val="26"/>
          <w:szCs w:val="26"/>
        </w:rPr>
        <w:t></w:t>
      </w:r>
      <w:r w:rsidR="00975572" w:rsidRPr="00D4590B">
        <w:rPr>
          <w:sz w:val="26"/>
          <w:szCs w:val="26"/>
          <w:lang w:bidi="he-IL"/>
        </w:rPr>
        <w:t>asdai</w:t>
      </w:r>
      <w:proofErr w:type="spellEnd"/>
      <w:r w:rsidR="00975572" w:rsidRPr="00D4590B">
        <w:rPr>
          <w:sz w:val="26"/>
          <w:szCs w:val="26"/>
          <w:lang w:bidi="he-IL"/>
        </w:rPr>
        <w:t xml:space="preserve"> writes:</w:t>
      </w:r>
    </w:p>
    <w:p w:rsidR="00E663C7" w:rsidRPr="00D4590B" w:rsidRDefault="00E663C7" w:rsidP="00D4590B">
      <w:pPr>
        <w:spacing w:line="300" w:lineRule="exact"/>
        <w:jc w:val="both"/>
        <w:rPr>
          <w:rFonts w:hint="cs"/>
          <w:sz w:val="26"/>
          <w:szCs w:val="26"/>
          <w:lang w:bidi="he-IL"/>
        </w:rPr>
      </w:pPr>
    </w:p>
    <w:p w:rsidR="00975572" w:rsidRPr="00D4590B" w:rsidRDefault="00975572" w:rsidP="00570F0C">
      <w:pPr>
        <w:bidi/>
        <w:spacing w:line="300" w:lineRule="exact"/>
        <w:ind w:right="720"/>
        <w:jc w:val="both"/>
        <w:rPr>
          <w:sz w:val="26"/>
          <w:szCs w:val="26"/>
          <w:rtl/>
          <w:lang w:bidi="he-IL"/>
        </w:rPr>
      </w:pPr>
      <w:r w:rsidRPr="00D4590B">
        <w:rPr>
          <w:rFonts w:hint="cs"/>
          <w:sz w:val="26"/>
          <w:szCs w:val="26"/>
          <w:rtl/>
          <w:lang w:bidi="he-IL"/>
        </w:rPr>
        <w:t>...אכיר ערכי וערך מקומי...וידעתי כי מלאכת ההעתקה נשגבה ממני ורחוקה ויכול הייתי לעצור במלי ולהסיר עולם מעלי אבל מה אעשה ואבי גזר עלי הוא החכם הגדול...ר' דוד בן החכם יוסף קמחי הוא העתיר עלי דברו ושיחו...לעשות אשר לא עלה על רוחי...</w:t>
      </w:r>
    </w:p>
    <w:p w:rsidR="00975572" w:rsidRDefault="00975572" w:rsidP="00584876">
      <w:pPr>
        <w:spacing w:line="300" w:lineRule="exact"/>
        <w:ind w:left="720"/>
        <w:jc w:val="both"/>
        <w:rPr>
          <w:sz w:val="26"/>
          <w:szCs w:val="26"/>
          <w:lang w:bidi="he-IL"/>
        </w:rPr>
      </w:pPr>
      <w:r w:rsidRPr="00D4590B">
        <w:rPr>
          <w:sz w:val="26"/>
          <w:szCs w:val="26"/>
          <w:lang w:bidi="he-IL"/>
        </w:rPr>
        <w:t>…I recognize my value and my place…and I know that the work of translation is beyond my ability.</w:t>
      </w:r>
      <w:r w:rsidR="008515BC" w:rsidRPr="00D4590B">
        <w:rPr>
          <w:sz w:val="26"/>
          <w:szCs w:val="26"/>
          <w:lang w:bidi="he-IL"/>
        </w:rPr>
        <w:t xml:space="preserve"> </w:t>
      </w:r>
      <w:r w:rsidRPr="00D4590B">
        <w:rPr>
          <w:sz w:val="26"/>
          <w:szCs w:val="26"/>
          <w:lang w:bidi="he-IL"/>
        </w:rPr>
        <w:t xml:space="preserve">I could have held back and removed the weight of the world from my shoulders; but what can I do, for my father has decreed upon me, that is…R. David son of the sage Joseph </w:t>
      </w:r>
      <w:proofErr w:type="spellStart"/>
      <w:r w:rsidRPr="00D4590B">
        <w:rPr>
          <w:sz w:val="26"/>
          <w:szCs w:val="26"/>
          <w:lang w:bidi="he-IL"/>
        </w:rPr>
        <w:t>Kimh</w:t>
      </w:r>
      <w:r w:rsidRPr="00D4590B">
        <w:rPr>
          <w:sz w:val="26"/>
          <w:szCs w:val="26"/>
          <w:lang w:bidi="he-IL"/>
        </w:rPr>
        <w:t>i</w:t>
      </w:r>
      <w:proofErr w:type="spellEnd"/>
      <w:r w:rsidRPr="00D4590B">
        <w:rPr>
          <w:sz w:val="26"/>
          <w:szCs w:val="26"/>
          <w:lang w:bidi="he-IL"/>
        </w:rPr>
        <w:t>—he implored me…to do what would not have occurred to me</w:t>
      </w:r>
      <w:r w:rsidR="00363B0F" w:rsidRPr="00D4590B">
        <w:rPr>
          <w:sz w:val="26"/>
          <w:szCs w:val="26"/>
          <w:lang w:bidi="he-IL"/>
        </w:rPr>
        <w:t>.</w:t>
      </w:r>
      <w:r w:rsidRPr="00D4590B">
        <w:rPr>
          <w:sz w:val="26"/>
          <w:szCs w:val="26"/>
          <w:lang w:bidi="he-IL"/>
        </w:rPr>
        <w:t>...</w:t>
      </w:r>
      <w:r w:rsidRPr="00D4590B">
        <w:rPr>
          <w:rStyle w:val="a4"/>
          <w:sz w:val="26"/>
          <w:szCs w:val="26"/>
          <w:lang w:bidi="he-IL"/>
        </w:rPr>
        <w:footnoteReference w:id="35"/>
      </w:r>
    </w:p>
    <w:p w:rsidR="00584876" w:rsidRPr="00D4590B" w:rsidRDefault="00584876" w:rsidP="00584876">
      <w:pPr>
        <w:spacing w:line="300" w:lineRule="exact"/>
        <w:jc w:val="both"/>
        <w:rPr>
          <w:sz w:val="26"/>
          <w:szCs w:val="26"/>
          <w:lang w:bidi="he-IL"/>
        </w:rPr>
      </w:pPr>
    </w:p>
    <w:p w:rsidR="00975572" w:rsidRPr="00D4590B" w:rsidRDefault="00975572" w:rsidP="000863DA">
      <w:pPr>
        <w:spacing w:line="300" w:lineRule="exact"/>
        <w:jc w:val="both"/>
        <w:rPr>
          <w:sz w:val="26"/>
          <w:szCs w:val="26"/>
          <w:rtl/>
          <w:lang w:bidi="he-IL"/>
        </w:rPr>
      </w:pPr>
      <w:r w:rsidRPr="00D4590B">
        <w:rPr>
          <w:sz w:val="26"/>
          <w:szCs w:val="26"/>
          <w:lang w:bidi="he-IL"/>
        </w:rPr>
        <w:t xml:space="preserve">The key phrase here, “what can I do, for my father has decreed upon me,” is a play on a well-known rabbinic statement teaching the proper response </w:t>
      </w:r>
      <w:r w:rsidRPr="00D4590B">
        <w:rPr>
          <w:sz w:val="26"/>
          <w:szCs w:val="26"/>
          <w:lang w:bidi="he-IL"/>
        </w:rPr>
        <w:lastRenderedPageBreak/>
        <w:t xml:space="preserve">toward certain prohibitions: “My desires notwithstanding, what can I do, for my Father in heaven has decreed upon me </w:t>
      </w:r>
      <w:r w:rsidR="0084180D" w:rsidRPr="00D4590B">
        <w:rPr>
          <w:sz w:val="26"/>
          <w:szCs w:val="26"/>
          <w:lang w:bidi="he-IL"/>
        </w:rPr>
        <w:t>(</w:t>
      </w:r>
      <w:r w:rsidRPr="00D4590B">
        <w:rPr>
          <w:rFonts w:hint="cs"/>
          <w:sz w:val="26"/>
          <w:szCs w:val="26"/>
          <w:rtl/>
          <w:lang w:bidi="he-IL"/>
        </w:rPr>
        <w:t>מה אעשה ואבי שבשמים גזר עלי</w:t>
      </w:r>
      <w:r w:rsidRPr="00D4590B">
        <w:rPr>
          <w:sz w:val="26"/>
          <w:szCs w:val="26"/>
          <w:lang w:bidi="he-IL"/>
        </w:rPr>
        <w:t>)” (</w:t>
      </w:r>
      <w:proofErr w:type="spellStart"/>
      <w:r w:rsidRPr="00D4590B">
        <w:rPr>
          <w:sz w:val="26"/>
          <w:szCs w:val="26"/>
          <w:lang w:bidi="he-IL"/>
        </w:rPr>
        <w:t>Sifra</w:t>
      </w:r>
      <w:proofErr w:type="spellEnd"/>
      <w:r w:rsidRPr="00D4590B">
        <w:rPr>
          <w:sz w:val="26"/>
          <w:szCs w:val="26"/>
          <w:lang w:bidi="he-IL"/>
        </w:rPr>
        <w:t xml:space="preserve"> </w:t>
      </w:r>
      <w:proofErr w:type="spellStart"/>
      <w:r w:rsidR="00DC5E83" w:rsidRPr="00D4590B">
        <w:rPr>
          <w:i/>
          <w:iCs/>
          <w:sz w:val="26"/>
          <w:szCs w:val="26"/>
          <w:lang w:bidi="he-IL"/>
        </w:rPr>
        <w:t>Q</w:t>
      </w:r>
      <w:r w:rsidRPr="00D4590B">
        <w:rPr>
          <w:i/>
          <w:iCs/>
          <w:sz w:val="26"/>
          <w:szCs w:val="26"/>
          <w:lang w:bidi="he-IL"/>
        </w:rPr>
        <w:t>edoshim</w:t>
      </w:r>
      <w:proofErr w:type="spellEnd"/>
      <w:r w:rsidRPr="00D4590B">
        <w:rPr>
          <w:sz w:val="26"/>
          <w:szCs w:val="26"/>
          <w:lang w:bidi="he-IL"/>
        </w:rPr>
        <w:t xml:space="preserve"> 9:10).</w:t>
      </w:r>
      <w:r w:rsidR="00E347B7" w:rsidRPr="00D4590B">
        <w:rPr>
          <w:sz w:val="26"/>
          <w:szCs w:val="26"/>
          <w:lang w:bidi="he-IL"/>
        </w:rPr>
        <w:t xml:space="preserve"> </w:t>
      </w:r>
      <w:r w:rsidRPr="00D4590B">
        <w:rPr>
          <w:sz w:val="26"/>
          <w:szCs w:val="26"/>
          <w:lang w:bidi="he-IL"/>
        </w:rPr>
        <w:t xml:space="preserve">And indeed, Ibn </w:t>
      </w:r>
      <w:proofErr w:type="spellStart"/>
      <w:r w:rsidR="000863DA" w:rsidRPr="004C2A49">
        <w:rPr>
          <w:sz w:val="26"/>
          <w:szCs w:val="26"/>
        </w:rPr>
        <w:t>H</w:t>
      </w:r>
      <w:r w:rsidR="000863DA" w:rsidRPr="004C2A49">
        <w:rPr>
          <w:sz w:val="26"/>
          <w:szCs w:val="26"/>
        </w:rPr>
        <w:t></w:t>
      </w:r>
      <w:r w:rsidRPr="00D4590B">
        <w:rPr>
          <w:sz w:val="26"/>
          <w:szCs w:val="26"/>
          <w:lang w:bidi="he-IL"/>
        </w:rPr>
        <w:t>adsai’s</w:t>
      </w:r>
      <w:proofErr w:type="spellEnd"/>
      <w:r w:rsidRPr="00D4590B">
        <w:rPr>
          <w:sz w:val="26"/>
          <w:szCs w:val="26"/>
          <w:lang w:bidi="he-IL"/>
        </w:rPr>
        <w:t xml:space="preserve"> citation of this is appropriate in the context of his humble, deferent remarks.</w:t>
      </w:r>
      <w:r w:rsidR="008515BC" w:rsidRPr="00D4590B">
        <w:rPr>
          <w:sz w:val="26"/>
          <w:szCs w:val="26"/>
          <w:lang w:bidi="he-IL"/>
        </w:rPr>
        <w:t xml:space="preserve"> </w:t>
      </w:r>
      <w:r w:rsidRPr="00D4590B">
        <w:rPr>
          <w:sz w:val="26"/>
          <w:szCs w:val="26"/>
          <w:lang w:bidi="he-IL"/>
        </w:rPr>
        <w:t xml:space="preserve">Accordingly, his attendant adaptation of the “father” metaphor—followed appropriately by a clarification that he is referring to </w:t>
      </w:r>
      <w:proofErr w:type="spellStart"/>
      <w:r w:rsidRPr="00D4590B">
        <w:rPr>
          <w:sz w:val="26"/>
          <w:szCs w:val="26"/>
          <w:lang w:bidi="he-IL"/>
        </w:rPr>
        <w:t>Radak</w:t>
      </w:r>
      <w:proofErr w:type="spellEnd"/>
      <w:r w:rsidRPr="00D4590B">
        <w:rPr>
          <w:sz w:val="26"/>
          <w:szCs w:val="26"/>
          <w:lang w:bidi="he-IL"/>
        </w:rPr>
        <w:t xml:space="preserve">—must be seen as markedly different from the allusion to </w:t>
      </w:r>
      <w:r w:rsidRPr="00D4590B">
        <w:rPr>
          <w:rFonts w:hint="cs"/>
          <w:sz w:val="26"/>
          <w:szCs w:val="26"/>
          <w:rtl/>
          <w:lang w:bidi="he-IL"/>
        </w:rPr>
        <w:t>רבי אחי</w:t>
      </w:r>
      <w:r w:rsidRPr="00D4590B">
        <w:rPr>
          <w:sz w:val="26"/>
          <w:szCs w:val="26"/>
          <w:lang w:bidi="he-IL"/>
        </w:rPr>
        <w:t xml:space="preserve"> in the Proverbs commentary, which there is every reason to think refers to the author’s actual brother.</w:t>
      </w:r>
    </w:p>
    <w:p w:rsidR="00975572" w:rsidRPr="00D4590B" w:rsidRDefault="00975572" w:rsidP="00FF0B7D">
      <w:pPr>
        <w:spacing w:line="300" w:lineRule="exact"/>
        <w:ind w:firstLine="284"/>
        <w:jc w:val="both"/>
        <w:rPr>
          <w:sz w:val="26"/>
          <w:szCs w:val="26"/>
          <w:lang w:bidi="he-IL"/>
        </w:rPr>
      </w:pPr>
      <w:r w:rsidRPr="00D4590B">
        <w:rPr>
          <w:sz w:val="26"/>
          <w:szCs w:val="26"/>
          <w:lang w:bidi="he-IL"/>
        </w:rPr>
        <w:t xml:space="preserve">There does, of course, remain the disparity between the phrase </w:t>
      </w:r>
      <w:r w:rsidRPr="00D4590B">
        <w:rPr>
          <w:rFonts w:hint="cs"/>
          <w:sz w:val="26"/>
          <w:szCs w:val="26"/>
          <w:rtl/>
          <w:lang w:bidi="he-IL"/>
        </w:rPr>
        <w:t>רבי אחי רבי משה</w:t>
      </w:r>
      <w:r w:rsidRPr="00D4590B">
        <w:rPr>
          <w:sz w:val="26"/>
          <w:szCs w:val="26"/>
          <w:lang w:bidi="he-IL"/>
        </w:rPr>
        <w:t xml:space="preserve"> elsewhere in </w:t>
      </w:r>
      <w:proofErr w:type="spellStart"/>
      <w:r w:rsidRPr="00D4590B">
        <w:rPr>
          <w:sz w:val="26"/>
          <w:szCs w:val="26"/>
          <w:lang w:bidi="he-IL"/>
        </w:rPr>
        <w:t>Radak’s</w:t>
      </w:r>
      <w:proofErr w:type="spellEnd"/>
      <w:r w:rsidRPr="00D4590B">
        <w:rPr>
          <w:sz w:val="26"/>
          <w:szCs w:val="26"/>
          <w:lang w:bidi="he-IL"/>
        </w:rPr>
        <w:t xml:space="preserve"> works and the shorter </w:t>
      </w:r>
      <w:r w:rsidRPr="00D4590B">
        <w:rPr>
          <w:rFonts w:hint="cs"/>
          <w:sz w:val="26"/>
          <w:szCs w:val="26"/>
          <w:rtl/>
          <w:lang w:bidi="he-IL"/>
        </w:rPr>
        <w:t>רבי אחי</w:t>
      </w:r>
      <w:r w:rsidRPr="00D4590B">
        <w:rPr>
          <w:sz w:val="26"/>
          <w:szCs w:val="26"/>
          <w:lang w:bidi="he-IL"/>
        </w:rPr>
        <w:t xml:space="preserve"> here; but as will become increasingly clear, this is representative of a more general preference for anonymity throughout the commentary.</w:t>
      </w:r>
      <w:r w:rsidR="00C15F78" w:rsidRPr="00D4590B">
        <w:rPr>
          <w:rStyle w:val="a4"/>
          <w:sz w:val="26"/>
          <w:szCs w:val="26"/>
          <w:lang w:bidi="he-IL"/>
        </w:rPr>
        <w:footnoteReference w:id="36"/>
      </w:r>
      <w:r w:rsidR="00B01BE0">
        <w:rPr>
          <w:sz w:val="26"/>
          <w:szCs w:val="26"/>
          <w:lang w:bidi="he-IL"/>
        </w:rPr>
        <w:t xml:space="preserve"> </w:t>
      </w:r>
      <w:r w:rsidRPr="00D4590B">
        <w:rPr>
          <w:sz w:val="26"/>
          <w:szCs w:val="26"/>
          <w:lang w:bidi="he-IL"/>
        </w:rPr>
        <w:t xml:space="preserve">Without resort to speculation that the </w:t>
      </w:r>
      <w:r w:rsidR="006070B9" w:rsidRPr="00D4590B">
        <w:rPr>
          <w:sz w:val="26"/>
          <w:szCs w:val="26"/>
          <w:lang w:bidi="he-IL"/>
        </w:rPr>
        <w:t>author of the work was effusively</w:t>
      </w:r>
      <w:r w:rsidRPr="00D4590B">
        <w:rPr>
          <w:sz w:val="26"/>
          <w:szCs w:val="26"/>
          <w:lang w:bidi="he-IL"/>
        </w:rPr>
        <w:t xml:space="preserve"> devoted to </w:t>
      </w:r>
      <w:proofErr w:type="spellStart"/>
      <w:r w:rsidRPr="00D4590B">
        <w:rPr>
          <w:sz w:val="26"/>
          <w:szCs w:val="26"/>
          <w:lang w:bidi="he-IL"/>
        </w:rPr>
        <w:t>Radak</w:t>
      </w:r>
      <w:proofErr w:type="spellEnd"/>
      <w:r w:rsidRPr="00D4590B">
        <w:rPr>
          <w:sz w:val="26"/>
          <w:szCs w:val="26"/>
          <w:lang w:bidi="he-IL"/>
        </w:rPr>
        <w:t xml:space="preserve">, the term </w:t>
      </w:r>
      <w:r w:rsidRPr="00D4590B">
        <w:rPr>
          <w:rFonts w:hint="cs"/>
          <w:sz w:val="26"/>
          <w:szCs w:val="26"/>
          <w:rtl/>
          <w:lang w:bidi="he-IL"/>
        </w:rPr>
        <w:t>רבי אחי</w:t>
      </w:r>
      <w:r w:rsidRPr="00D4590B">
        <w:rPr>
          <w:sz w:val="26"/>
          <w:szCs w:val="26"/>
          <w:lang w:bidi="he-IL"/>
        </w:rPr>
        <w:t xml:space="preserve">—coupled with the comment’s similarity to the passage in </w:t>
      </w:r>
      <w:r w:rsidRPr="00D4590B">
        <w:rPr>
          <w:i/>
          <w:iCs/>
          <w:sz w:val="26"/>
          <w:szCs w:val="26"/>
          <w:lang w:bidi="he-IL"/>
        </w:rPr>
        <w:t>Shorashim</w:t>
      </w:r>
      <w:r w:rsidRPr="00D4590B">
        <w:rPr>
          <w:sz w:val="26"/>
          <w:szCs w:val="26"/>
          <w:lang w:bidi="he-IL"/>
        </w:rPr>
        <w:t xml:space="preserve">—remains distinctly suggestive of </w:t>
      </w:r>
      <w:proofErr w:type="spellStart"/>
      <w:r w:rsidRPr="00D4590B">
        <w:rPr>
          <w:sz w:val="26"/>
          <w:szCs w:val="26"/>
          <w:lang w:bidi="he-IL"/>
        </w:rPr>
        <w:t>Radak’s</w:t>
      </w:r>
      <w:proofErr w:type="spellEnd"/>
      <w:r w:rsidRPr="00D4590B">
        <w:rPr>
          <w:sz w:val="26"/>
          <w:szCs w:val="26"/>
          <w:lang w:bidi="he-IL"/>
        </w:rPr>
        <w:t xml:space="preserve"> authorship, particularly when considered in conjunction with the </w:t>
      </w:r>
      <w:proofErr w:type="spellStart"/>
      <w:r w:rsidRPr="00D4590B">
        <w:rPr>
          <w:sz w:val="26"/>
          <w:szCs w:val="26"/>
          <w:lang w:bidi="he-IL"/>
        </w:rPr>
        <w:t>Kimh</w:t>
      </w:r>
      <w:r w:rsidRPr="00D4590B">
        <w:rPr>
          <w:sz w:val="26"/>
          <w:szCs w:val="26"/>
          <w:lang w:bidi="he-IL"/>
        </w:rPr>
        <w:t>ian</w:t>
      </w:r>
      <w:proofErr w:type="spellEnd"/>
      <w:r w:rsidRPr="00D4590B">
        <w:rPr>
          <w:sz w:val="26"/>
          <w:szCs w:val="26"/>
          <w:lang w:bidi="he-IL"/>
        </w:rPr>
        <w:t xml:space="preserve"> self-attribution in the opening line of the commentary.</w:t>
      </w:r>
    </w:p>
    <w:p w:rsidR="00E663C7" w:rsidRDefault="00E663C7" w:rsidP="00D4590B">
      <w:pPr>
        <w:spacing w:line="300" w:lineRule="exact"/>
        <w:jc w:val="both"/>
        <w:rPr>
          <w:rFonts w:hint="cs"/>
          <w:i/>
          <w:iCs/>
          <w:sz w:val="26"/>
          <w:szCs w:val="26"/>
          <w:rtl/>
          <w:lang w:bidi="he-IL"/>
        </w:rPr>
      </w:pPr>
    </w:p>
    <w:p w:rsidR="00975572" w:rsidRPr="00D4590B" w:rsidRDefault="00975572" w:rsidP="00D4590B">
      <w:pPr>
        <w:spacing w:line="300" w:lineRule="exact"/>
        <w:jc w:val="both"/>
        <w:rPr>
          <w:i/>
          <w:iCs/>
          <w:sz w:val="26"/>
          <w:szCs w:val="26"/>
          <w:lang w:bidi="he-IL"/>
        </w:rPr>
      </w:pPr>
      <w:r w:rsidRPr="00D4590B">
        <w:rPr>
          <w:i/>
          <w:iCs/>
          <w:sz w:val="26"/>
          <w:szCs w:val="26"/>
          <w:lang w:bidi="he-IL"/>
        </w:rPr>
        <w:t xml:space="preserve">Reference to </w:t>
      </w:r>
      <w:proofErr w:type="spellStart"/>
      <w:r w:rsidRPr="00D4590B">
        <w:rPr>
          <w:sz w:val="26"/>
          <w:szCs w:val="26"/>
          <w:lang w:bidi="he-IL"/>
        </w:rPr>
        <w:t>Mikhlol</w:t>
      </w:r>
      <w:proofErr w:type="spellEnd"/>
    </w:p>
    <w:p w:rsidR="00975572" w:rsidRPr="00D4590B" w:rsidRDefault="00975572" w:rsidP="00D4590B">
      <w:pPr>
        <w:spacing w:line="300" w:lineRule="exact"/>
        <w:jc w:val="both"/>
        <w:rPr>
          <w:sz w:val="26"/>
          <w:szCs w:val="26"/>
          <w:lang w:bidi="he-IL"/>
        </w:rPr>
      </w:pPr>
      <w:r w:rsidRPr="00D4590B">
        <w:rPr>
          <w:sz w:val="26"/>
          <w:szCs w:val="26"/>
          <w:lang w:bidi="he-IL"/>
        </w:rPr>
        <w:t xml:space="preserve">No less significant is the allusion to </w:t>
      </w:r>
      <w:proofErr w:type="spellStart"/>
      <w:r w:rsidRPr="00D4590B">
        <w:rPr>
          <w:i/>
          <w:iCs/>
          <w:sz w:val="26"/>
          <w:szCs w:val="26"/>
          <w:lang w:bidi="he-IL"/>
        </w:rPr>
        <w:t>Mikhlol</w:t>
      </w:r>
      <w:proofErr w:type="spellEnd"/>
      <w:r w:rsidRPr="00D4590B">
        <w:rPr>
          <w:sz w:val="26"/>
          <w:szCs w:val="26"/>
          <w:lang w:bidi="he-IL"/>
        </w:rPr>
        <w:t xml:space="preserve"> already mentioned.</w:t>
      </w:r>
      <w:r w:rsidR="00DA5D2E" w:rsidRPr="00D4590B">
        <w:rPr>
          <w:rStyle w:val="a4"/>
          <w:sz w:val="26"/>
          <w:szCs w:val="26"/>
          <w:lang w:bidi="he-IL"/>
        </w:rPr>
        <w:footnoteReference w:id="37"/>
      </w:r>
      <w:r w:rsidR="00B01BE0">
        <w:rPr>
          <w:sz w:val="26"/>
          <w:szCs w:val="26"/>
          <w:lang w:bidi="he-IL"/>
        </w:rPr>
        <w:t xml:space="preserve"> </w:t>
      </w:r>
      <w:r w:rsidRPr="00D4590B">
        <w:rPr>
          <w:sz w:val="26"/>
          <w:szCs w:val="26"/>
          <w:lang w:bidi="he-IL"/>
        </w:rPr>
        <w:t xml:space="preserve">Addressing the last syllable in the word </w:t>
      </w:r>
      <w:r w:rsidRPr="00D4590B">
        <w:rPr>
          <w:rFonts w:hint="cs"/>
          <w:sz w:val="26"/>
          <w:szCs w:val="26"/>
          <w:rtl/>
          <w:lang w:bidi="he-IL"/>
        </w:rPr>
        <w:t>יִלְכְּדֻנוֹ</w:t>
      </w:r>
      <w:r w:rsidRPr="00D4590B">
        <w:rPr>
          <w:sz w:val="26"/>
          <w:szCs w:val="26"/>
          <w:lang w:bidi="he-IL"/>
        </w:rPr>
        <w:t xml:space="preserve">—“will trap him,” our commentator writes: </w:t>
      </w:r>
      <w:r w:rsidRPr="00D4590B">
        <w:rPr>
          <w:rFonts w:hint="cs"/>
          <w:sz w:val="26"/>
          <w:szCs w:val="26"/>
          <w:rtl/>
          <w:lang w:bidi="he-IL"/>
        </w:rPr>
        <w:t>בא בחלם והוא רפה שלא כמנהג ודקדוקו מבואר בחלק הדקדוק</w:t>
      </w:r>
      <w:r w:rsidRPr="00D4590B">
        <w:rPr>
          <w:sz w:val="26"/>
          <w:szCs w:val="26"/>
          <w:lang w:bidi="he-IL"/>
        </w:rPr>
        <w:t xml:space="preserve">—“Uncharacteristically, it appears with a </w:t>
      </w:r>
      <w:proofErr w:type="spellStart"/>
      <w:r w:rsidRPr="00D4590B">
        <w:rPr>
          <w:i/>
          <w:iCs/>
          <w:sz w:val="26"/>
          <w:szCs w:val="26"/>
          <w:lang w:bidi="he-IL"/>
        </w:rPr>
        <w:t>h</w:t>
      </w:r>
      <w:r w:rsidRPr="00D4590B">
        <w:rPr>
          <w:i/>
          <w:iCs/>
          <w:sz w:val="26"/>
          <w:szCs w:val="26"/>
          <w:lang w:bidi="he-IL"/>
        </w:rPr>
        <w:t>olem</w:t>
      </w:r>
      <w:proofErr w:type="spellEnd"/>
      <w:r w:rsidRPr="00D4590B">
        <w:rPr>
          <w:sz w:val="26"/>
          <w:szCs w:val="26"/>
          <w:lang w:bidi="he-IL"/>
        </w:rPr>
        <w:t xml:space="preserve"> and is not geminated.</w:t>
      </w:r>
      <w:r w:rsidR="00264CF0" w:rsidRPr="00D4590B">
        <w:rPr>
          <w:sz w:val="26"/>
          <w:szCs w:val="26"/>
          <w:lang w:bidi="he-IL"/>
        </w:rPr>
        <w:t xml:space="preserve"> </w:t>
      </w:r>
      <w:r w:rsidRPr="00D4590B">
        <w:rPr>
          <w:sz w:val="26"/>
          <w:szCs w:val="26"/>
          <w:lang w:bidi="he-IL"/>
        </w:rPr>
        <w:t>Its grammatical explanation is provided in the section on grammar.”</w:t>
      </w:r>
      <w:r w:rsidR="008515BC" w:rsidRPr="00D4590B">
        <w:rPr>
          <w:sz w:val="26"/>
          <w:szCs w:val="26"/>
          <w:lang w:bidi="he-IL"/>
        </w:rPr>
        <w:t xml:space="preserve"> </w:t>
      </w:r>
      <w:r w:rsidRPr="00D4590B">
        <w:rPr>
          <w:sz w:val="26"/>
          <w:szCs w:val="26"/>
          <w:lang w:bidi="he-IL"/>
        </w:rPr>
        <w:t xml:space="preserve">He is referring here to </w:t>
      </w:r>
      <w:proofErr w:type="spellStart"/>
      <w:r w:rsidRPr="00D4590B">
        <w:rPr>
          <w:i/>
          <w:iCs/>
          <w:sz w:val="26"/>
          <w:szCs w:val="26"/>
          <w:lang w:bidi="he-IL"/>
        </w:rPr>
        <w:t>Mikhlol</w:t>
      </w:r>
      <w:proofErr w:type="spellEnd"/>
      <w:r w:rsidRPr="00D4590B">
        <w:rPr>
          <w:sz w:val="26"/>
          <w:szCs w:val="26"/>
          <w:lang w:bidi="he-IL"/>
        </w:rPr>
        <w:t xml:space="preserve"> 35a, which contains the parallel phrase</w:t>
      </w:r>
      <w:r w:rsidR="00FF0B7D">
        <w:rPr>
          <w:sz w:val="26"/>
          <w:szCs w:val="26"/>
          <w:lang w:bidi="he-IL"/>
        </w:rPr>
        <w:t xml:space="preserve"> </w:t>
      </w:r>
      <w:r w:rsidRPr="00D4590B">
        <w:rPr>
          <w:rFonts w:hint="cs"/>
          <w:sz w:val="26"/>
          <w:szCs w:val="26"/>
          <w:rtl/>
          <w:lang w:bidi="he-IL"/>
        </w:rPr>
        <w:t>באה הנון רפה ובחולם שלא כמנהג</w:t>
      </w:r>
      <w:r w:rsidR="00FF0B7D">
        <w:rPr>
          <w:sz w:val="26"/>
          <w:szCs w:val="26"/>
          <w:lang w:bidi="he-IL"/>
        </w:rPr>
        <w:t xml:space="preserve"> </w:t>
      </w:r>
      <w:r w:rsidRPr="00D4590B">
        <w:rPr>
          <w:sz w:val="26"/>
          <w:szCs w:val="26"/>
          <w:lang w:bidi="he-IL"/>
        </w:rPr>
        <w:t xml:space="preserve">—“Uncharacteristically, the </w:t>
      </w:r>
      <w:r w:rsidRPr="00D4590B">
        <w:rPr>
          <w:i/>
          <w:iCs/>
          <w:sz w:val="26"/>
          <w:szCs w:val="26"/>
          <w:lang w:bidi="he-IL"/>
        </w:rPr>
        <w:t>nun</w:t>
      </w:r>
      <w:r w:rsidRPr="00D4590B">
        <w:rPr>
          <w:sz w:val="26"/>
          <w:szCs w:val="26"/>
          <w:lang w:bidi="he-IL"/>
        </w:rPr>
        <w:t xml:space="preserve"> appears without gemination and with a </w:t>
      </w:r>
      <w:proofErr w:type="spellStart"/>
      <w:r w:rsidRPr="00D4590B">
        <w:rPr>
          <w:i/>
          <w:iCs/>
          <w:sz w:val="26"/>
          <w:szCs w:val="26"/>
          <w:lang w:bidi="he-IL"/>
        </w:rPr>
        <w:t>h</w:t>
      </w:r>
      <w:r w:rsidRPr="00D4590B">
        <w:rPr>
          <w:i/>
          <w:iCs/>
          <w:sz w:val="26"/>
          <w:szCs w:val="26"/>
          <w:lang w:bidi="he-IL"/>
        </w:rPr>
        <w:t>olem</w:t>
      </w:r>
      <w:proofErr w:type="spellEnd"/>
      <w:r w:rsidRPr="00D4590B">
        <w:rPr>
          <w:sz w:val="26"/>
          <w:szCs w:val="26"/>
          <w:lang w:bidi="he-IL"/>
        </w:rPr>
        <w:t>.”</w:t>
      </w:r>
      <w:r w:rsidR="00B01BE0">
        <w:rPr>
          <w:sz w:val="26"/>
          <w:szCs w:val="26"/>
          <w:lang w:bidi="he-IL"/>
        </w:rPr>
        <w:t xml:space="preserve"> </w:t>
      </w:r>
      <w:r w:rsidRPr="00D4590B">
        <w:rPr>
          <w:sz w:val="26"/>
          <w:szCs w:val="26"/>
          <w:lang w:bidi="he-IL"/>
        </w:rPr>
        <w:t xml:space="preserve">And indeed, </w:t>
      </w:r>
      <w:proofErr w:type="spellStart"/>
      <w:r w:rsidRPr="00D4590B">
        <w:rPr>
          <w:sz w:val="26"/>
          <w:szCs w:val="26"/>
          <w:lang w:bidi="he-IL"/>
        </w:rPr>
        <w:t>Radak</w:t>
      </w:r>
      <w:proofErr w:type="spellEnd"/>
      <w:r w:rsidRPr="00D4590B">
        <w:rPr>
          <w:sz w:val="26"/>
          <w:szCs w:val="26"/>
          <w:lang w:bidi="he-IL"/>
        </w:rPr>
        <w:t xml:space="preserve"> commonly refers to explanations provided in </w:t>
      </w:r>
      <w:proofErr w:type="spellStart"/>
      <w:r w:rsidRPr="00D4590B">
        <w:rPr>
          <w:i/>
          <w:iCs/>
          <w:sz w:val="26"/>
          <w:szCs w:val="26"/>
          <w:lang w:bidi="he-IL"/>
        </w:rPr>
        <w:t>Mikhlol</w:t>
      </w:r>
      <w:proofErr w:type="spellEnd"/>
      <w:r w:rsidRPr="00D4590B">
        <w:rPr>
          <w:sz w:val="26"/>
          <w:szCs w:val="26"/>
          <w:lang w:bidi="he-IL"/>
        </w:rPr>
        <w:t xml:space="preserve"> in this way, albeit with two differences highlighted by Grunhaus: elsewhere in </w:t>
      </w:r>
      <w:r w:rsidR="000863DA">
        <w:rPr>
          <w:sz w:val="26"/>
          <w:szCs w:val="26"/>
          <w:lang w:bidi="he-IL"/>
        </w:rPr>
        <w:t>his</w:t>
      </w:r>
      <w:r w:rsidRPr="00D4590B">
        <w:rPr>
          <w:sz w:val="26"/>
          <w:szCs w:val="26"/>
          <w:lang w:bidi="he-IL"/>
        </w:rPr>
        <w:t xml:space="preserve"> commentaries, he invariably employs a first-person verb (e.g.</w:t>
      </w:r>
      <w:r w:rsidR="00363B0F" w:rsidRPr="00D4590B">
        <w:rPr>
          <w:sz w:val="26"/>
          <w:szCs w:val="26"/>
          <w:lang w:bidi="he-IL"/>
        </w:rPr>
        <w:t>,</w:t>
      </w:r>
      <w:r w:rsidRPr="00D4590B">
        <w:rPr>
          <w:sz w:val="26"/>
          <w:szCs w:val="26"/>
          <w:lang w:bidi="he-IL"/>
        </w:rPr>
        <w:t xml:space="preserve"> </w:t>
      </w:r>
      <w:r w:rsidRPr="00D4590B">
        <w:rPr>
          <w:rFonts w:hint="cs"/>
          <w:sz w:val="26"/>
          <w:szCs w:val="26"/>
          <w:rtl/>
          <w:lang w:bidi="he-IL"/>
        </w:rPr>
        <w:t>כמו שבארתי...</w:t>
      </w:r>
      <w:r w:rsidRPr="00D4590B">
        <w:rPr>
          <w:sz w:val="26"/>
          <w:szCs w:val="26"/>
          <w:lang w:bidi="he-IL"/>
        </w:rPr>
        <w:t xml:space="preserve">—“as I explained…”), and </w:t>
      </w:r>
      <w:r w:rsidRPr="00D4590B">
        <w:rPr>
          <w:sz w:val="26"/>
          <w:szCs w:val="26"/>
          <w:lang w:bidi="he-IL"/>
        </w:rPr>
        <w:lastRenderedPageBreak/>
        <w:t xml:space="preserve">almost always mentions </w:t>
      </w:r>
      <w:proofErr w:type="spellStart"/>
      <w:r w:rsidRPr="00D4590B">
        <w:rPr>
          <w:i/>
          <w:iCs/>
          <w:sz w:val="26"/>
          <w:szCs w:val="26"/>
          <w:lang w:bidi="he-IL"/>
        </w:rPr>
        <w:t>Mikhlol</w:t>
      </w:r>
      <w:proofErr w:type="spellEnd"/>
      <w:r w:rsidRPr="00D4590B">
        <w:rPr>
          <w:sz w:val="26"/>
          <w:szCs w:val="26"/>
          <w:lang w:bidi="he-IL"/>
        </w:rPr>
        <w:t xml:space="preserve"> by name (e.g.</w:t>
      </w:r>
      <w:r w:rsidR="00596C14" w:rsidRPr="00D4590B">
        <w:rPr>
          <w:sz w:val="26"/>
          <w:szCs w:val="26"/>
          <w:lang w:bidi="he-IL"/>
        </w:rPr>
        <w:t>,</w:t>
      </w:r>
      <w:r w:rsidRPr="00D4590B">
        <w:rPr>
          <w:sz w:val="26"/>
          <w:szCs w:val="26"/>
          <w:lang w:bidi="he-IL"/>
        </w:rPr>
        <w:t xml:space="preserve"> </w:t>
      </w:r>
      <w:r w:rsidRPr="00D4590B">
        <w:rPr>
          <w:rFonts w:hint="cs"/>
          <w:sz w:val="26"/>
          <w:szCs w:val="26"/>
          <w:rtl/>
          <w:lang w:bidi="he-IL"/>
        </w:rPr>
        <w:t>בספר מכלול בחלק הדקדוק</w:t>
      </w:r>
      <w:r w:rsidRPr="00D4590B">
        <w:rPr>
          <w:sz w:val="26"/>
          <w:szCs w:val="26"/>
          <w:lang w:bidi="he-IL"/>
        </w:rPr>
        <w:t>—“in</w:t>
      </w:r>
      <w:r w:rsidR="00264CF0" w:rsidRPr="00D4590B">
        <w:rPr>
          <w:sz w:val="26"/>
          <w:szCs w:val="26"/>
          <w:lang w:bidi="he-IL"/>
        </w:rPr>
        <w:t xml:space="preserve"> </w:t>
      </w:r>
      <w:proofErr w:type="spellStart"/>
      <w:r w:rsidR="00264CF0" w:rsidRPr="00D4590B">
        <w:rPr>
          <w:i/>
          <w:iCs/>
          <w:sz w:val="26"/>
          <w:szCs w:val="26"/>
          <w:lang w:bidi="he-IL"/>
        </w:rPr>
        <w:t>Mikhlol</w:t>
      </w:r>
      <w:proofErr w:type="spellEnd"/>
      <w:r w:rsidRPr="00D4590B">
        <w:rPr>
          <w:sz w:val="26"/>
          <w:szCs w:val="26"/>
          <w:lang w:bidi="he-IL"/>
        </w:rPr>
        <w:t xml:space="preserve"> in the section on grammar”).</w:t>
      </w:r>
      <w:r w:rsidRPr="00D4590B">
        <w:rPr>
          <w:rStyle w:val="a4"/>
          <w:sz w:val="26"/>
          <w:szCs w:val="26"/>
          <w:lang w:bidi="he-IL"/>
        </w:rPr>
        <w:footnoteReference w:id="38"/>
      </w:r>
    </w:p>
    <w:p w:rsidR="00975572" w:rsidRPr="00D4590B" w:rsidRDefault="00975572" w:rsidP="00FF0B7D">
      <w:pPr>
        <w:spacing w:line="300" w:lineRule="exact"/>
        <w:ind w:firstLine="284"/>
        <w:jc w:val="both"/>
        <w:rPr>
          <w:sz w:val="26"/>
          <w:szCs w:val="26"/>
          <w:lang w:bidi="he-IL"/>
        </w:rPr>
      </w:pPr>
      <w:r w:rsidRPr="00D4590B">
        <w:rPr>
          <w:sz w:val="26"/>
          <w:szCs w:val="26"/>
          <w:lang w:bidi="he-IL"/>
        </w:rPr>
        <w:t xml:space="preserve">If, however, we succeed in tracing a </w:t>
      </w:r>
      <w:r w:rsidR="008C65EF" w:rsidRPr="00D4590B">
        <w:rPr>
          <w:sz w:val="26"/>
          <w:szCs w:val="26"/>
          <w:lang w:bidi="he-IL"/>
        </w:rPr>
        <w:t xml:space="preserve">general </w:t>
      </w:r>
      <w:r w:rsidRPr="00D4590B">
        <w:rPr>
          <w:sz w:val="26"/>
          <w:szCs w:val="26"/>
          <w:lang w:bidi="he-IL"/>
        </w:rPr>
        <w:t>preference for anonymity in this commentary, the first difference will emerge far less significant, if not the second as well</w:t>
      </w:r>
      <w:r w:rsidR="008C65EF" w:rsidRPr="00D4590B">
        <w:rPr>
          <w:sz w:val="26"/>
          <w:szCs w:val="26"/>
          <w:lang w:bidi="he-IL"/>
        </w:rPr>
        <w:t xml:space="preserve">. The </w:t>
      </w:r>
      <w:r w:rsidRPr="00D4590B">
        <w:rPr>
          <w:sz w:val="26"/>
          <w:szCs w:val="26"/>
          <w:lang w:bidi="he-IL"/>
        </w:rPr>
        <w:t xml:space="preserve">verb </w:t>
      </w:r>
      <w:r w:rsidRPr="00D4590B">
        <w:rPr>
          <w:rFonts w:hint="cs"/>
          <w:sz w:val="26"/>
          <w:szCs w:val="26"/>
          <w:rtl/>
          <w:lang w:bidi="he-IL"/>
        </w:rPr>
        <w:t>מבואר</w:t>
      </w:r>
      <w:r w:rsidRPr="00D4590B">
        <w:rPr>
          <w:sz w:val="26"/>
          <w:szCs w:val="26"/>
          <w:lang w:bidi="he-IL"/>
        </w:rPr>
        <w:t xml:space="preserve"> is depersonalized by virtue of the passive voice, and even the name </w:t>
      </w:r>
      <w:proofErr w:type="spellStart"/>
      <w:r w:rsidRPr="00D4590B">
        <w:rPr>
          <w:i/>
          <w:iCs/>
          <w:sz w:val="26"/>
          <w:szCs w:val="26"/>
          <w:lang w:bidi="he-IL"/>
        </w:rPr>
        <w:t>Mikhlol</w:t>
      </w:r>
      <w:proofErr w:type="spellEnd"/>
      <w:r w:rsidRPr="00D4590B">
        <w:rPr>
          <w:sz w:val="26"/>
          <w:szCs w:val="26"/>
        </w:rPr>
        <w:t xml:space="preserve"> is omitted.</w:t>
      </w:r>
      <w:r w:rsidR="00264CF0" w:rsidRPr="00D4590B">
        <w:rPr>
          <w:sz w:val="26"/>
          <w:szCs w:val="26"/>
        </w:rPr>
        <w:t xml:space="preserve"> </w:t>
      </w:r>
      <w:r w:rsidRPr="00D4590B">
        <w:rPr>
          <w:sz w:val="26"/>
          <w:szCs w:val="26"/>
        </w:rPr>
        <w:t xml:space="preserve">Beyond this, however, </w:t>
      </w:r>
      <w:r w:rsidR="00383A40" w:rsidRPr="00D4590B">
        <w:rPr>
          <w:sz w:val="26"/>
          <w:szCs w:val="26"/>
        </w:rPr>
        <w:t>at least</w:t>
      </w:r>
      <w:r w:rsidRPr="00D4590B">
        <w:rPr>
          <w:sz w:val="26"/>
          <w:szCs w:val="26"/>
        </w:rPr>
        <w:t xml:space="preserve"> three other considerations render the very omission of the name </w:t>
      </w:r>
      <w:proofErr w:type="spellStart"/>
      <w:r w:rsidRPr="00D4590B">
        <w:rPr>
          <w:i/>
          <w:iCs/>
          <w:sz w:val="26"/>
          <w:szCs w:val="26"/>
        </w:rPr>
        <w:t>Mikhlol</w:t>
      </w:r>
      <w:proofErr w:type="spellEnd"/>
      <w:r w:rsidRPr="00D4590B">
        <w:rPr>
          <w:sz w:val="26"/>
          <w:szCs w:val="26"/>
        </w:rPr>
        <w:t xml:space="preserve"> not only consistent with the assumption of </w:t>
      </w:r>
      <w:proofErr w:type="spellStart"/>
      <w:r w:rsidRPr="00D4590B">
        <w:rPr>
          <w:sz w:val="26"/>
          <w:szCs w:val="26"/>
        </w:rPr>
        <w:t>Radak’s</w:t>
      </w:r>
      <w:proofErr w:type="spellEnd"/>
      <w:r w:rsidRPr="00D4590B">
        <w:rPr>
          <w:sz w:val="26"/>
          <w:szCs w:val="26"/>
        </w:rPr>
        <w:t xml:space="preserve"> authorship, but supportive of it, even powerfully so.</w:t>
      </w:r>
      <w:r w:rsidR="008515BC" w:rsidRPr="00D4590B">
        <w:rPr>
          <w:sz w:val="26"/>
          <w:szCs w:val="26"/>
        </w:rPr>
        <w:t xml:space="preserve"> </w:t>
      </w:r>
      <w:r w:rsidRPr="00D4590B">
        <w:rPr>
          <w:sz w:val="26"/>
          <w:szCs w:val="26"/>
        </w:rPr>
        <w:t xml:space="preserve">The first </w:t>
      </w:r>
      <w:r w:rsidR="00383A40" w:rsidRPr="00D4590B">
        <w:rPr>
          <w:sz w:val="26"/>
          <w:szCs w:val="26"/>
        </w:rPr>
        <w:t>consideration</w:t>
      </w:r>
      <w:r w:rsidRPr="00D4590B">
        <w:rPr>
          <w:sz w:val="26"/>
          <w:szCs w:val="26"/>
        </w:rPr>
        <w:t xml:space="preserve"> is rather obvious: </w:t>
      </w:r>
      <w:r w:rsidR="00383A40" w:rsidRPr="00D4590B">
        <w:rPr>
          <w:sz w:val="26"/>
          <w:szCs w:val="26"/>
        </w:rPr>
        <w:t xml:space="preserve">even for a devotee of </w:t>
      </w:r>
      <w:proofErr w:type="spellStart"/>
      <w:r w:rsidR="00383A40" w:rsidRPr="00D4590B">
        <w:rPr>
          <w:sz w:val="26"/>
          <w:szCs w:val="26"/>
        </w:rPr>
        <w:t>Radak</w:t>
      </w:r>
      <w:proofErr w:type="spellEnd"/>
      <w:r w:rsidR="00383A40" w:rsidRPr="00D4590B">
        <w:rPr>
          <w:sz w:val="26"/>
          <w:szCs w:val="26"/>
        </w:rPr>
        <w:t xml:space="preserve">, </w:t>
      </w:r>
      <w:r w:rsidRPr="00D4590B">
        <w:rPr>
          <w:sz w:val="26"/>
          <w:szCs w:val="26"/>
        </w:rPr>
        <w:t>it would be immensely strange to</w:t>
      </w:r>
      <w:r w:rsidR="00AE2728" w:rsidRPr="00D4590B">
        <w:rPr>
          <w:sz w:val="26"/>
          <w:szCs w:val="26"/>
        </w:rPr>
        <w:t xml:space="preserve"> </w:t>
      </w:r>
      <w:r w:rsidRPr="00D4590B">
        <w:rPr>
          <w:sz w:val="26"/>
          <w:szCs w:val="26"/>
        </w:rPr>
        <w:t xml:space="preserve">refer to </w:t>
      </w:r>
      <w:proofErr w:type="spellStart"/>
      <w:r w:rsidRPr="00D4590B">
        <w:rPr>
          <w:i/>
          <w:iCs/>
          <w:sz w:val="26"/>
          <w:szCs w:val="26"/>
        </w:rPr>
        <w:t>Mikhlol</w:t>
      </w:r>
      <w:proofErr w:type="spellEnd"/>
      <w:r w:rsidRPr="00D4590B">
        <w:rPr>
          <w:sz w:val="26"/>
          <w:szCs w:val="26"/>
        </w:rPr>
        <w:t xml:space="preserve"> merely as </w:t>
      </w:r>
      <w:r w:rsidRPr="00D4590B">
        <w:rPr>
          <w:rFonts w:hint="cs"/>
          <w:sz w:val="26"/>
          <w:szCs w:val="26"/>
          <w:rtl/>
          <w:lang w:bidi="he-IL"/>
        </w:rPr>
        <w:t>חלק הדקדוק</w:t>
      </w:r>
      <w:r w:rsidRPr="00D4590B">
        <w:rPr>
          <w:sz w:val="26"/>
          <w:szCs w:val="26"/>
          <w:lang w:bidi="he-IL"/>
        </w:rPr>
        <w:t>, without a clearer indication of which work</w:t>
      </w:r>
      <w:r w:rsidR="00052C5A" w:rsidRPr="00D4590B">
        <w:rPr>
          <w:sz w:val="26"/>
          <w:szCs w:val="26"/>
          <w:lang w:bidi="he-IL"/>
        </w:rPr>
        <w:t xml:space="preserve"> is intended</w:t>
      </w:r>
      <w:r w:rsidRPr="00D4590B">
        <w:rPr>
          <w:sz w:val="26"/>
          <w:szCs w:val="26"/>
          <w:lang w:bidi="he-IL"/>
        </w:rPr>
        <w:t>.</w:t>
      </w:r>
      <w:r w:rsidR="008515BC" w:rsidRPr="00D4590B">
        <w:rPr>
          <w:sz w:val="26"/>
          <w:szCs w:val="26"/>
          <w:lang w:bidi="he-IL"/>
        </w:rPr>
        <w:t xml:space="preserve"> </w:t>
      </w:r>
      <w:r w:rsidR="00383A40" w:rsidRPr="00D4590B">
        <w:rPr>
          <w:sz w:val="26"/>
          <w:szCs w:val="26"/>
        </w:rPr>
        <w:t xml:space="preserve">However, if </w:t>
      </w:r>
      <w:proofErr w:type="spellStart"/>
      <w:r w:rsidRPr="00D4590B">
        <w:rPr>
          <w:sz w:val="26"/>
          <w:szCs w:val="26"/>
        </w:rPr>
        <w:t>Radak</w:t>
      </w:r>
      <w:proofErr w:type="spellEnd"/>
      <w:r w:rsidRPr="00D4590B">
        <w:rPr>
          <w:sz w:val="26"/>
          <w:szCs w:val="26"/>
        </w:rPr>
        <w:t xml:space="preserve"> is the author, it is far mo</w:t>
      </w:r>
      <w:r w:rsidR="00AE2728" w:rsidRPr="00D4590B">
        <w:rPr>
          <w:sz w:val="26"/>
          <w:szCs w:val="26"/>
        </w:rPr>
        <w:t>re plausible that he would refer</w:t>
      </w:r>
      <w:r w:rsidRPr="00D4590B">
        <w:rPr>
          <w:sz w:val="26"/>
          <w:szCs w:val="26"/>
        </w:rPr>
        <w:t xml:space="preserve"> to his earlier composition more elliptically, relying on the reader to recognize that </w:t>
      </w:r>
      <w:r w:rsidRPr="00D4590B">
        <w:rPr>
          <w:rFonts w:hint="cs"/>
          <w:sz w:val="26"/>
          <w:szCs w:val="26"/>
          <w:rtl/>
          <w:lang w:bidi="he-IL"/>
        </w:rPr>
        <w:t>חלק הדקדוק</w:t>
      </w:r>
      <w:r w:rsidRPr="00D4590B">
        <w:rPr>
          <w:sz w:val="26"/>
          <w:szCs w:val="26"/>
          <w:lang w:bidi="he-IL"/>
        </w:rPr>
        <w:t xml:space="preserve"> alludes to a section of the writer’s own </w:t>
      </w:r>
      <w:r w:rsidR="00383A40" w:rsidRPr="00D4590B">
        <w:rPr>
          <w:sz w:val="26"/>
          <w:szCs w:val="26"/>
          <w:lang w:bidi="he-IL"/>
        </w:rPr>
        <w:t xml:space="preserve">philological </w:t>
      </w:r>
      <w:r w:rsidRPr="00D4590B">
        <w:rPr>
          <w:sz w:val="26"/>
          <w:szCs w:val="26"/>
          <w:lang w:bidi="he-IL"/>
        </w:rPr>
        <w:t>work.</w:t>
      </w:r>
      <w:r w:rsidR="008515BC" w:rsidRPr="00D4590B">
        <w:rPr>
          <w:sz w:val="26"/>
          <w:szCs w:val="26"/>
          <w:lang w:bidi="he-IL"/>
        </w:rPr>
        <w:t xml:space="preserve"> </w:t>
      </w:r>
      <w:r w:rsidRPr="00D4590B">
        <w:rPr>
          <w:sz w:val="26"/>
          <w:szCs w:val="26"/>
          <w:lang w:bidi="he-IL"/>
        </w:rPr>
        <w:t xml:space="preserve">Indeed, this is even less surprising if </w:t>
      </w:r>
      <w:proofErr w:type="spellStart"/>
      <w:r w:rsidRPr="00D4590B">
        <w:rPr>
          <w:i/>
          <w:iCs/>
          <w:sz w:val="26"/>
          <w:szCs w:val="26"/>
          <w:lang w:bidi="he-IL"/>
        </w:rPr>
        <w:t>Mikhlol-Shorashim</w:t>
      </w:r>
      <w:proofErr w:type="spellEnd"/>
      <w:r w:rsidR="0073028A" w:rsidRPr="00D4590B">
        <w:rPr>
          <w:sz w:val="26"/>
          <w:szCs w:val="26"/>
          <w:lang w:bidi="he-IL"/>
        </w:rPr>
        <w:t xml:space="preserve"> was </w:t>
      </w:r>
      <w:proofErr w:type="spellStart"/>
      <w:r w:rsidR="0073028A" w:rsidRPr="00D4590B">
        <w:rPr>
          <w:sz w:val="26"/>
          <w:szCs w:val="26"/>
          <w:lang w:bidi="he-IL"/>
        </w:rPr>
        <w:t>Radak’s</w:t>
      </w:r>
      <w:proofErr w:type="spellEnd"/>
      <w:r w:rsidR="0073028A" w:rsidRPr="00D4590B">
        <w:rPr>
          <w:sz w:val="26"/>
          <w:szCs w:val="26"/>
          <w:lang w:bidi="he-IL"/>
        </w:rPr>
        <w:t xml:space="preserve"> only </w:t>
      </w:r>
      <w:r w:rsidRPr="00D4590B">
        <w:rPr>
          <w:sz w:val="26"/>
          <w:szCs w:val="26"/>
          <w:lang w:bidi="he-IL"/>
        </w:rPr>
        <w:t>work</w:t>
      </w:r>
      <w:r w:rsidR="0073028A" w:rsidRPr="00D4590B">
        <w:rPr>
          <w:sz w:val="26"/>
          <w:szCs w:val="26"/>
          <w:lang w:bidi="he-IL"/>
        </w:rPr>
        <w:t xml:space="preserve"> in circulation</w:t>
      </w:r>
      <w:r w:rsidR="00B35923" w:rsidRPr="00D4590B">
        <w:rPr>
          <w:sz w:val="26"/>
          <w:szCs w:val="26"/>
          <w:lang w:bidi="he-IL"/>
        </w:rPr>
        <w:t xml:space="preserve"> when the commentary was written.</w:t>
      </w:r>
    </w:p>
    <w:p w:rsidR="00975572" w:rsidRPr="00D4590B" w:rsidRDefault="00975572" w:rsidP="00343293">
      <w:pPr>
        <w:spacing w:line="300" w:lineRule="exact"/>
        <w:ind w:firstLine="284"/>
        <w:jc w:val="both"/>
        <w:rPr>
          <w:sz w:val="26"/>
          <w:szCs w:val="26"/>
          <w:lang w:bidi="he-IL"/>
        </w:rPr>
      </w:pPr>
      <w:r w:rsidRPr="00D4590B">
        <w:rPr>
          <w:sz w:val="26"/>
          <w:szCs w:val="26"/>
          <w:lang w:bidi="he-IL"/>
        </w:rPr>
        <w:t xml:space="preserve">Even more tellingly, in </w:t>
      </w:r>
      <w:r w:rsidRPr="00D4590B">
        <w:rPr>
          <w:i/>
          <w:iCs/>
          <w:sz w:val="26"/>
          <w:szCs w:val="26"/>
          <w:lang w:bidi="he-IL"/>
        </w:rPr>
        <w:t>Shorashim</w:t>
      </w:r>
      <w:r w:rsidRPr="00D4590B">
        <w:rPr>
          <w:sz w:val="26"/>
          <w:szCs w:val="26"/>
          <w:lang w:bidi="he-IL"/>
        </w:rPr>
        <w:t xml:space="preserve">, </w:t>
      </w:r>
      <w:proofErr w:type="spellStart"/>
      <w:r w:rsidRPr="00D4590B">
        <w:rPr>
          <w:sz w:val="26"/>
          <w:szCs w:val="26"/>
          <w:lang w:bidi="he-IL"/>
        </w:rPr>
        <w:t>Radak</w:t>
      </w:r>
      <w:proofErr w:type="spellEnd"/>
      <w:r w:rsidRPr="00D4590B">
        <w:rPr>
          <w:sz w:val="26"/>
          <w:szCs w:val="26"/>
          <w:lang w:bidi="he-IL"/>
        </w:rPr>
        <w:t xml:space="preserve"> </w:t>
      </w:r>
      <w:r w:rsidRPr="00D4590B">
        <w:rPr>
          <w:i/>
          <w:iCs/>
          <w:sz w:val="26"/>
          <w:szCs w:val="26"/>
          <w:lang w:bidi="he-IL"/>
        </w:rPr>
        <w:t>regularly</w:t>
      </w:r>
      <w:r w:rsidRPr="00D4590B">
        <w:rPr>
          <w:sz w:val="26"/>
          <w:szCs w:val="26"/>
          <w:lang w:bidi="he-IL"/>
        </w:rPr>
        <w:t xml:space="preserve"> refers to </w:t>
      </w:r>
      <w:proofErr w:type="spellStart"/>
      <w:r w:rsidRPr="00D4590B">
        <w:rPr>
          <w:i/>
          <w:iCs/>
          <w:sz w:val="26"/>
          <w:szCs w:val="26"/>
          <w:lang w:bidi="he-IL"/>
        </w:rPr>
        <w:t>Mikhlol</w:t>
      </w:r>
      <w:proofErr w:type="spellEnd"/>
      <w:r w:rsidRPr="00D4590B">
        <w:rPr>
          <w:sz w:val="26"/>
          <w:szCs w:val="26"/>
          <w:lang w:bidi="he-IL"/>
        </w:rPr>
        <w:t xml:space="preserve"> as just </w:t>
      </w:r>
      <w:r w:rsidRPr="00D4590B">
        <w:rPr>
          <w:rFonts w:hint="cs"/>
          <w:sz w:val="26"/>
          <w:szCs w:val="26"/>
          <w:rtl/>
          <w:lang w:bidi="he-IL"/>
        </w:rPr>
        <w:t>חלק הדקדוק</w:t>
      </w:r>
      <w:r w:rsidR="007F2C70" w:rsidRPr="00D4590B">
        <w:rPr>
          <w:sz w:val="26"/>
          <w:szCs w:val="26"/>
          <w:lang w:bidi="he-IL"/>
        </w:rPr>
        <w:t xml:space="preserve"> (indeed, in at least one case,</w:t>
      </w:r>
      <w:r w:rsidR="00982581" w:rsidRPr="00D4590B">
        <w:rPr>
          <w:sz w:val="26"/>
          <w:szCs w:val="26"/>
          <w:lang w:bidi="he-IL"/>
        </w:rPr>
        <w:t xml:space="preserve"> </w:t>
      </w:r>
      <w:r w:rsidR="007F2C70" w:rsidRPr="00D4590B">
        <w:rPr>
          <w:sz w:val="26"/>
          <w:szCs w:val="26"/>
          <w:lang w:bidi="he-IL"/>
        </w:rPr>
        <w:t>he employs</w:t>
      </w:r>
      <w:r w:rsidRPr="00D4590B">
        <w:rPr>
          <w:sz w:val="26"/>
          <w:szCs w:val="26"/>
          <w:lang w:bidi="he-IL"/>
        </w:rPr>
        <w:t xml:space="preserve"> the </w:t>
      </w:r>
      <w:r w:rsidR="00383A40" w:rsidRPr="00D4590B">
        <w:rPr>
          <w:sz w:val="26"/>
          <w:szCs w:val="26"/>
          <w:lang w:bidi="he-IL"/>
        </w:rPr>
        <w:t xml:space="preserve">same </w:t>
      </w:r>
      <w:r w:rsidRPr="00D4590B">
        <w:rPr>
          <w:sz w:val="26"/>
          <w:szCs w:val="26"/>
          <w:lang w:bidi="he-IL"/>
        </w:rPr>
        <w:t xml:space="preserve">word </w:t>
      </w:r>
      <w:r w:rsidRPr="00D4590B">
        <w:rPr>
          <w:rFonts w:hint="cs"/>
          <w:sz w:val="26"/>
          <w:szCs w:val="26"/>
          <w:rtl/>
          <w:lang w:bidi="he-IL"/>
        </w:rPr>
        <w:t>ודקדוקו</w:t>
      </w:r>
      <w:r w:rsidR="00383A40" w:rsidRPr="00D4590B">
        <w:rPr>
          <w:sz w:val="26"/>
          <w:szCs w:val="26"/>
          <w:lang w:bidi="he-IL"/>
        </w:rPr>
        <w:t xml:space="preserve"> </w:t>
      </w:r>
      <w:r w:rsidR="007F2C70" w:rsidRPr="00D4590B">
        <w:rPr>
          <w:sz w:val="26"/>
          <w:szCs w:val="26"/>
          <w:lang w:bidi="he-IL"/>
        </w:rPr>
        <w:t>that appears</w:t>
      </w:r>
      <w:r w:rsidR="00BF53AF" w:rsidRPr="00D4590B">
        <w:rPr>
          <w:sz w:val="26"/>
          <w:szCs w:val="26"/>
          <w:lang w:bidi="he-IL"/>
        </w:rPr>
        <w:t xml:space="preserve"> in this one</w:t>
      </w:r>
      <w:r w:rsidR="00982581" w:rsidRPr="00D4590B">
        <w:rPr>
          <w:sz w:val="26"/>
          <w:szCs w:val="26"/>
          <w:lang w:bidi="he-IL"/>
        </w:rPr>
        <w:t xml:space="preserve"> reference in the</w:t>
      </w:r>
      <w:r w:rsidRPr="00D4590B">
        <w:rPr>
          <w:sz w:val="26"/>
          <w:szCs w:val="26"/>
          <w:lang w:bidi="he-IL"/>
        </w:rPr>
        <w:t xml:space="preserve"> Proverbs</w:t>
      </w:r>
      <w:r w:rsidR="00982581" w:rsidRPr="00D4590B">
        <w:rPr>
          <w:sz w:val="26"/>
          <w:szCs w:val="26"/>
          <w:lang w:bidi="he-IL"/>
        </w:rPr>
        <w:t xml:space="preserve"> commentary</w:t>
      </w:r>
      <w:r w:rsidRPr="00D4590B">
        <w:rPr>
          <w:rStyle w:val="a4"/>
          <w:sz w:val="26"/>
          <w:szCs w:val="26"/>
          <w:lang w:bidi="he-IL"/>
        </w:rPr>
        <w:footnoteReference w:id="39"/>
      </w:r>
      <w:r w:rsidRPr="00D4590B">
        <w:rPr>
          <w:sz w:val="26"/>
          <w:szCs w:val="26"/>
          <w:lang w:bidi="he-IL"/>
        </w:rPr>
        <w:t xml:space="preserve">), </w:t>
      </w:r>
      <w:r w:rsidR="00254639" w:rsidRPr="00D4590B">
        <w:rPr>
          <w:sz w:val="26"/>
          <w:szCs w:val="26"/>
          <w:lang w:bidi="he-IL"/>
        </w:rPr>
        <w:t xml:space="preserve">since </w:t>
      </w:r>
      <w:proofErr w:type="spellStart"/>
      <w:r w:rsidR="00254639" w:rsidRPr="00D4590B">
        <w:rPr>
          <w:i/>
          <w:iCs/>
          <w:sz w:val="26"/>
          <w:szCs w:val="26"/>
          <w:lang w:bidi="he-IL"/>
        </w:rPr>
        <w:t>Mikhlol</w:t>
      </w:r>
      <w:proofErr w:type="spellEnd"/>
      <w:r w:rsidR="00254639" w:rsidRPr="00D4590B">
        <w:rPr>
          <w:sz w:val="26"/>
          <w:szCs w:val="26"/>
          <w:lang w:bidi="he-IL"/>
        </w:rPr>
        <w:t xml:space="preserve"> originally included </w:t>
      </w:r>
      <w:r w:rsidR="00254639" w:rsidRPr="00D4590B">
        <w:rPr>
          <w:i/>
          <w:iCs/>
          <w:sz w:val="26"/>
          <w:szCs w:val="26"/>
          <w:lang w:bidi="he-IL"/>
        </w:rPr>
        <w:t>Shorashim</w:t>
      </w:r>
      <w:r w:rsidRPr="00D4590B">
        <w:rPr>
          <w:sz w:val="26"/>
          <w:szCs w:val="26"/>
          <w:lang w:bidi="he-IL"/>
        </w:rPr>
        <w:t xml:space="preserve"> (known as </w:t>
      </w:r>
      <w:r w:rsidRPr="00D4590B">
        <w:rPr>
          <w:rFonts w:hint="cs"/>
          <w:sz w:val="26"/>
          <w:szCs w:val="26"/>
          <w:rtl/>
          <w:lang w:bidi="he-IL"/>
        </w:rPr>
        <w:t>חלק הענין</w:t>
      </w:r>
      <w:r w:rsidRPr="00D4590B">
        <w:rPr>
          <w:sz w:val="26"/>
          <w:szCs w:val="26"/>
          <w:lang w:bidi="he-IL"/>
        </w:rPr>
        <w:t>—“the section on meaning”).</w:t>
      </w:r>
      <w:r w:rsidR="00B01BE0">
        <w:rPr>
          <w:sz w:val="26"/>
          <w:szCs w:val="26"/>
          <w:lang w:bidi="he-IL"/>
        </w:rPr>
        <w:t xml:space="preserve"> </w:t>
      </w:r>
      <w:r w:rsidRPr="00D4590B">
        <w:rPr>
          <w:sz w:val="26"/>
          <w:szCs w:val="26"/>
          <w:lang w:bidi="he-IL"/>
        </w:rPr>
        <w:t xml:space="preserve">If the Proverbs commentary is </w:t>
      </w:r>
      <w:proofErr w:type="spellStart"/>
      <w:r w:rsidRPr="00D4590B">
        <w:rPr>
          <w:sz w:val="26"/>
          <w:szCs w:val="26"/>
          <w:lang w:bidi="he-IL"/>
        </w:rPr>
        <w:t>Radak’s</w:t>
      </w:r>
      <w:proofErr w:type="spellEnd"/>
      <w:r w:rsidRPr="00D4590B">
        <w:rPr>
          <w:sz w:val="26"/>
          <w:szCs w:val="26"/>
          <w:lang w:bidi="he-IL"/>
        </w:rPr>
        <w:t xml:space="preserve"> first </w:t>
      </w:r>
      <w:r w:rsidR="00254639" w:rsidRPr="00D4590B">
        <w:rPr>
          <w:sz w:val="26"/>
          <w:szCs w:val="26"/>
          <w:lang w:bidi="he-IL"/>
        </w:rPr>
        <w:t>exegetic</w:t>
      </w:r>
      <w:r w:rsidR="00CE6145" w:rsidRPr="00D4590B">
        <w:rPr>
          <w:sz w:val="26"/>
          <w:szCs w:val="26"/>
          <w:lang w:bidi="he-IL"/>
        </w:rPr>
        <w:t>al</w:t>
      </w:r>
      <w:r w:rsidR="00254639" w:rsidRPr="00D4590B">
        <w:rPr>
          <w:sz w:val="26"/>
          <w:szCs w:val="26"/>
          <w:lang w:bidi="he-IL"/>
        </w:rPr>
        <w:t xml:space="preserve"> work</w:t>
      </w:r>
      <w:r w:rsidRPr="00D4590B">
        <w:rPr>
          <w:sz w:val="26"/>
          <w:szCs w:val="26"/>
          <w:lang w:bidi="he-IL"/>
        </w:rPr>
        <w:t xml:space="preserve">, then it need not strike us as odd that he would have continued to use the phrase </w:t>
      </w:r>
      <w:r w:rsidRPr="00D4590B">
        <w:rPr>
          <w:rFonts w:hint="cs"/>
          <w:sz w:val="26"/>
          <w:szCs w:val="26"/>
          <w:rtl/>
          <w:lang w:bidi="he-IL"/>
        </w:rPr>
        <w:t>חלק הדקדוק</w:t>
      </w:r>
      <w:r w:rsidRPr="00D4590B">
        <w:rPr>
          <w:sz w:val="26"/>
          <w:szCs w:val="26"/>
          <w:lang w:bidi="he-IL"/>
        </w:rPr>
        <w:t xml:space="preserve"> to refer to his grammatical treatise.</w:t>
      </w:r>
      <w:r w:rsidR="008515BC" w:rsidRPr="00D4590B">
        <w:rPr>
          <w:sz w:val="26"/>
          <w:szCs w:val="26"/>
          <w:lang w:bidi="he-IL"/>
        </w:rPr>
        <w:t xml:space="preserve"> </w:t>
      </w:r>
      <w:r w:rsidRPr="00D4590B">
        <w:rPr>
          <w:sz w:val="26"/>
          <w:szCs w:val="26"/>
          <w:lang w:bidi="he-IL"/>
        </w:rPr>
        <w:t xml:space="preserve">Only in subsequent works, after his literary output had begun to grow, did he employ the term </w:t>
      </w:r>
      <w:r w:rsidRPr="00D4590B">
        <w:rPr>
          <w:rFonts w:hint="cs"/>
          <w:sz w:val="26"/>
          <w:szCs w:val="26"/>
          <w:rtl/>
          <w:lang w:bidi="he-IL"/>
        </w:rPr>
        <w:t>ספר מכלול</w:t>
      </w:r>
      <w:r w:rsidRPr="00D4590B">
        <w:rPr>
          <w:sz w:val="26"/>
          <w:szCs w:val="26"/>
          <w:lang w:bidi="he-IL"/>
        </w:rPr>
        <w:t xml:space="preserve"> to specify more clearly </w:t>
      </w:r>
      <w:r w:rsidR="00254639" w:rsidRPr="00D4590B">
        <w:rPr>
          <w:sz w:val="26"/>
          <w:szCs w:val="26"/>
          <w:lang w:bidi="he-IL"/>
        </w:rPr>
        <w:t>the</w:t>
      </w:r>
      <w:r w:rsidRPr="00D4590B">
        <w:rPr>
          <w:sz w:val="26"/>
          <w:szCs w:val="26"/>
          <w:lang w:bidi="he-IL"/>
        </w:rPr>
        <w:t xml:space="preserve"> </w:t>
      </w:r>
      <w:r w:rsidR="00383A40" w:rsidRPr="00D4590B">
        <w:rPr>
          <w:sz w:val="26"/>
          <w:szCs w:val="26"/>
          <w:lang w:bidi="he-IL"/>
        </w:rPr>
        <w:t xml:space="preserve">reference </w:t>
      </w:r>
      <w:r w:rsidRPr="00D4590B">
        <w:rPr>
          <w:sz w:val="26"/>
          <w:szCs w:val="26"/>
          <w:lang w:bidi="he-IL"/>
        </w:rPr>
        <w:t xml:space="preserve">to his </w:t>
      </w:r>
      <w:r w:rsidR="00383A40" w:rsidRPr="00D4590B">
        <w:rPr>
          <w:sz w:val="26"/>
          <w:szCs w:val="26"/>
          <w:lang w:bidi="he-IL"/>
        </w:rPr>
        <w:t xml:space="preserve">philological </w:t>
      </w:r>
      <w:r w:rsidRPr="00D4590B">
        <w:rPr>
          <w:sz w:val="26"/>
          <w:szCs w:val="26"/>
          <w:lang w:bidi="he-IL"/>
        </w:rPr>
        <w:t>work.</w:t>
      </w:r>
      <w:r w:rsidR="008515BC" w:rsidRPr="00D4590B">
        <w:rPr>
          <w:sz w:val="26"/>
          <w:szCs w:val="26"/>
          <w:lang w:bidi="he-IL"/>
        </w:rPr>
        <w:t xml:space="preserve"> </w:t>
      </w:r>
      <w:r w:rsidR="00383A40" w:rsidRPr="00D4590B">
        <w:rPr>
          <w:sz w:val="26"/>
          <w:szCs w:val="26"/>
          <w:lang w:bidi="he-IL"/>
        </w:rPr>
        <w:t>This</w:t>
      </w:r>
      <w:r w:rsidRPr="00D4590B">
        <w:rPr>
          <w:sz w:val="26"/>
          <w:szCs w:val="26"/>
          <w:lang w:bidi="he-IL"/>
        </w:rPr>
        <w:t xml:space="preserve"> </w:t>
      </w:r>
      <w:r w:rsidR="00CE6145" w:rsidRPr="00D4590B">
        <w:rPr>
          <w:sz w:val="26"/>
          <w:szCs w:val="26"/>
          <w:lang w:bidi="he-IL"/>
        </w:rPr>
        <w:t>option</w:t>
      </w:r>
      <w:r w:rsidR="00383A40" w:rsidRPr="00D4590B">
        <w:rPr>
          <w:sz w:val="26"/>
          <w:szCs w:val="26"/>
          <w:lang w:bidi="he-IL"/>
        </w:rPr>
        <w:t xml:space="preserve"> </w:t>
      </w:r>
      <w:r w:rsidRPr="00D4590B">
        <w:rPr>
          <w:sz w:val="26"/>
          <w:szCs w:val="26"/>
          <w:lang w:bidi="he-IL"/>
        </w:rPr>
        <w:t xml:space="preserve">is </w:t>
      </w:r>
      <w:r w:rsidR="00CE6145" w:rsidRPr="00D4590B">
        <w:rPr>
          <w:sz w:val="26"/>
          <w:szCs w:val="26"/>
          <w:lang w:bidi="he-IL"/>
        </w:rPr>
        <w:t xml:space="preserve">decidedly </w:t>
      </w:r>
      <w:r w:rsidRPr="00D4590B">
        <w:rPr>
          <w:sz w:val="26"/>
          <w:szCs w:val="26"/>
          <w:lang w:bidi="he-IL"/>
        </w:rPr>
        <w:t xml:space="preserve">more reasonable than that a different author referred to </w:t>
      </w:r>
      <w:proofErr w:type="spellStart"/>
      <w:r w:rsidRPr="00D4590B">
        <w:rPr>
          <w:i/>
          <w:iCs/>
          <w:sz w:val="26"/>
          <w:szCs w:val="26"/>
          <w:lang w:bidi="he-IL"/>
        </w:rPr>
        <w:t>Mikhlol</w:t>
      </w:r>
      <w:proofErr w:type="spellEnd"/>
      <w:r w:rsidRPr="00D4590B">
        <w:rPr>
          <w:sz w:val="26"/>
          <w:szCs w:val="26"/>
          <w:lang w:bidi="he-IL"/>
        </w:rPr>
        <w:t xml:space="preserve"> merely as </w:t>
      </w:r>
      <w:r w:rsidRPr="00D4590B">
        <w:rPr>
          <w:rFonts w:hint="cs"/>
          <w:sz w:val="26"/>
          <w:szCs w:val="26"/>
          <w:rtl/>
          <w:lang w:bidi="he-IL"/>
        </w:rPr>
        <w:t>חלק הדקדוק</w:t>
      </w:r>
      <w:r w:rsidR="00472BDB" w:rsidRPr="00D4590B">
        <w:rPr>
          <w:sz w:val="26"/>
          <w:szCs w:val="26"/>
          <w:lang w:bidi="he-IL"/>
        </w:rPr>
        <w:t>,</w:t>
      </w:r>
      <w:r w:rsidR="009C7FD6" w:rsidRPr="00D4590B">
        <w:rPr>
          <w:sz w:val="26"/>
          <w:szCs w:val="26"/>
          <w:lang w:bidi="he-IL"/>
        </w:rPr>
        <w:t xml:space="preserve"> without mentioning the name of the work</w:t>
      </w:r>
      <w:r w:rsidRPr="00D4590B">
        <w:rPr>
          <w:sz w:val="26"/>
          <w:szCs w:val="26"/>
          <w:lang w:bidi="he-IL"/>
        </w:rPr>
        <w:t>.</w:t>
      </w:r>
    </w:p>
    <w:p w:rsidR="00975572" w:rsidRPr="00D4590B" w:rsidRDefault="00975572" w:rsidP="00FF0B7D">
      <w:pPr>
        <w:spacing w:line="300" w:lineRule="exact"/>
        <w:ind w:firstLine="284"/>
        <w:jc w:val="both"/>
        <w:rPr>
          <w:sz w:val="26"/>
          <w:szCs w:val="26"/>
          <w:rtl/>
          <w:lang w:bidi="he-IL"/>
        </w:rPr>
      </w:pPr>
      <w:r w:rsidRPr="00D4590B">
        <w:rPr>
          <w:sz w:val="26"/>
          <w:szCs w:val="26"/>
          <w:lang w:bidi="he-IL"/>
        </w:rPr>
        <w:t>There remains one more essential consideration.</w:t>
      </w:r>
      <w:r w:rsidR="00B35923" w:rsidRPr="00D4590B">
        <w:rPr>
          <w:sz w:val="26"/>
          <w:szCs w:val="26"/>
          <w:lang w:bidi="he-IL"/>
        </w:rPr>
        <w:t xml:space="preserve"> </w:t>
      </w:r>
      <w:r w:rsidRPr="00D4590B">
        <w:rPr>
          <w:sz w:val="26"/>
          <w:szCs w:val="26"/>
          <w:lang w:bidi="he-IL"/>
        </w:rPr>
        <w:t>As noted peripherally by Grunhaus,</w:t>
      </w:r>
      <w:r w:rsidRPr="00D4590B">
        <w:rPr>
          <w:rStyle w:val="a4"/>
          <w:sz w:val="26"/>
          <w:szCs w:val="26"/>
          <w:lang w:bidi="he-IL"/>
        </w:rPr>
        <w:footnoteReference w:id="40"/>
      </w:r>
      <w:r w:rsidRPr="00D4590B">
        <w:rPr>
          <w:sz w:val="26"/>
          <w:szCs w:val="26"/>
          <w:lang w:bidi="he-IL"/>
        </w:rPr>
        <w:t xml:space="preserve"> the first reference to </w:t>
      </w:r>
      <w:proofErr w:type="spellStart"/>
      <w:r w:rsidRPr="00D4590B">
        <w:rPr>
          <w:i/>
          <w:iCs/>
          <w:sz w:val="26"/>
          <w:szCs w:val="26"/>
          <w:lang w:bidi="he-IL"/>
        </w:rPr>
        <w:t>Mikhlol</w:t>
      </w:r>
      <w:proofErr w:type="spellEnd"/>
      <w:r w:rsidRPr="00D4590B">
        <w:rPr>
          <w:sz w:val="26"/>
          <w:szCs w:val="26"/>
          <w:lang w:bidi="he-IL"/>
        </w:rPr>
        <w:t xml:space="preserve"> in the Chronicles commentary, at I 1:7, is also nonstandard: it is the only other example where the term </w:t>
      </w:r>
      <w:proofErr w:type="spellStart"/>
      <w:r w:rsidRPr="00D4590B">
        <w:rPr>
          <w:i/>
          <w:iCs/>
          <w:sz w:val="26"/>
          <w:szCs w:val="26"/>
          <w:lang w:bidi="he-IL"/>
        </w:rPr>
        <w:t>Mikhlol</w:t>
      </w:r>
      <w:proofErr w:type="spellEnd"/>
      <w:r w:rsidRPr="00D4590B">
        <w:rPr>
          <w:sz w:val="26"/>
          <w:szCs w:val="26"/>
          <w:lang w:bidi="he-IL"/>
        </w:rPr>
        <w:t xml:space="preserve"> does not appear, and instead, as attested in a majority of manuscripts, the work is called </w:t>
      </w:r>
      <w:r w:rsidRPr="00D4590B">
        <w:rPr>
          <w:rFonts w:hint="cs"/>
          <w:sz w:val="26"/>
          <w:szCs w:val="26"/>
          <w:rtl/>
          <w:lang w:bidi="he-IL"/>
        </w:rPr>
        <w:t>ספר הדקדוק</w:t>
      </w:r>
      <w:r w:rsidRPr="00D4590B">
        <w:rPr>
          <w:sz w:val="26"/>
          <w:szCs w:val="26"/>
          <w:lang w:bidi="he-IL"/>
        </w:rPr>
        <w:t xml:space="preserve"> (“the grammar </w:t>
      </w:r>
      <w:r w:rsidRPr="00D4590B">
        <w:rPr>
          <w:sz w:val="26"/>
          <w:szCs w:val="26"/>
          <w:lang w:bidi="he-IL"/>
        </w:rPr>
        <w:lastRenderedPageBreak/>
        <w:t>book”).</w:t>
      </w:r>
      <w:r w:rsidR="00B01BE0">
        <w:rPr>
          <w:sz w:val="26"/>
          <w:szCs w:val="26"/>
          <w:lang w:bidi="he-IL"/>
        </w:rPr>
        <w:t xml:space="preserve"> </w:t>
      </w:r>
      <w:r w:rsidR="00254639" w:rsidRPr="00D4590B">
        <w:rPr>
          <w:sz w:val="26"/>
          <w:szCs w:val="26"/>
          <w:lang w:bidi="he-IL"/>
        </w:rPr>
        <w:t>Moreover</w:t>
      </w:r>
      <w:r w:rsidRPr="00D4590B">
        <w:rPr>
          <w:sz w:val="26"/>
          <w:szCs w:val="26"/>
          <w:lang w:bidi="he-IL"/>
        </w:rPr>
        <w:t>, in text-witnesses reflecting this commentary’s earliest</w:t>
      </w:r>
      <w:r w:rsidRPr="00D4590B">
        <w:rPr>
          <w:i/>
          <w:iCs/>
          <w:sz w:val="26"/>
          <w:szCs w:val="26"/>
          <w:lang w:bidi="he-IL"/>
        </w:rPr>
        <w:t xml:space="preserve"> </w:t>
      </w:r>
      <w:r w:rsidRPr="00D4590B">
        <w:rPr>
          <w:sz w:val="26"/>
          <w:szCs w:val="26"/>
          <w:lang w:bidi="he-IL"/>
        </w:rPr>
        <w:t xml:space="preserve">stage of composition, the term that appears is in fact </w:t>
      </w:r>
      <w:r w:rsidRPr="00D4590B">
        <w:rPr>
          <w:rFonts w:hint="cs"/>
          <w:sz w:val="26"/>
          <w:szCs w:val="26"/>
          <w:rtl/>
          <w:lang w:bidi="he-IL"/>
        </w:rPr>
        <w:t>חלק הדקדוק</w:t>
      </w:r>
      <w:r w:rsidRPr="00D4590B">
        <w:rPr>
          <w:sz w:val="26"/>
          <w:szCs w:val="26"/>
          <w:lang w:bidi="he-IL"/>
        </w:rPr>
        <w:t>, just as in the Proverbs commentary.</w:t>
      </w:r>
      <w:r w:rsidRPr="00D4590B">
        <w:rPr>
          <w:rStyle w:val="a4"/>
          <w:sz w:val="26"/>
          <w:szCs w:val="26"/>
          <w:lang w:bidi="he-IL"/>
        </w:rPr>
        <w:footnoteReference w:id="41"/>
      </w:r>
      <w:r w:rsidR="00B01BE0">
        <w:rPr>
          <w:sz w:val="26"/>
          <w:szCs w:val="26"/>
          <w:lang w:bidi="he-IL"/>
        </w:rPr>
        <w:t xml:space="preserve"> </w:t>
      </w:r>
      <w:r w:rsidRPr="00D4590B">
        <w:rPr>
          <w:sz w:val="26"/>
          <w:szCs w:val="26"/>
          <w:lang w:bidi="he-IL"/>
        </w:rPr>
        <w:t xml:space="preserve">This lends valuable support to our suggestion that only later did </w:t>
      </w:r>
      <w:proofErr w:type="spellStart"/>
      <w:r w:rsidRPr="00D4590B">
        <w:rPr>
          <w:sz w:val="26"/>
          <w:szCs w:val="26"/>
          <w:lang w:bidi="he-IL"/>
        </w:rPr>
        <w:t>Radak</w:t>
      </w:r>
      <w:proofErr w:type="spellEnd"/>
      <w:r w:rsidRPr="00D4590B">
        <w:rPr>
          <w:sz w:val="26"/>
          <w:szCs w:val="26"/>
          <w:lang w:bidi="he-IL"/>
        </w:rPr>
        <w:t xml:space="preserve"> begin to refer to his grammatical treatise </w:t>
      </w:r>
      <w:r w:rsidR="00952E49" w:rsidRPr="00D4590B">
        <w:rPr>
          <w:sz w:val="26"/>
          <w:szCs w:val="26"/>
          <w:lang w:bidi="he-IL"/>
        </w:rPr>
        <w:t>as</w:t>
      </w:r>
      <w:r w:rsidRPr="00D4590B">
        <w:rPr>
          <w:sz w:val="26"/>
          <w:szCs w:val="26"/>
          <w:lang w:bidi="he-IL"/>
        </w:rPr>
        <w:t xml:space="preserve"> </w:t>
      </w:r>
      <w:proofErr w:type="spellStart"/>
      <w:r w:rsidRPr="00D4590B">
        <w:rPr>
          <w:i/>
          <w:iCs/>
          <w:sz w:val="26"/>
          <w:szCs w:val="26"/>
          <w:lang w:bidi="he-IL"/>
        </w:rPr>
        <w:t>Mikhlol</w:t>
      </w:r>
      <w:proofErr w:type="spellEnd"/>
      <w:r w:rsidRPr="00D4590B">
        <w:rPr>
          <w:sz w:val="26"/>
          <w:szCs w:val="26"/>
          <w:lang w:bidi="he-IL"/>
        </w:rPr>
        <w:t>.</w:t>
      </w:r>
      <w:r w:rsidR="008515BC" w:rsidRPr="00D4590B">
        <w:rPr>
          <w:sz w:val="26"/>
          <w:szCs w:val="26"/>
          <w:lang w:bidi="he-IL"/>
        </w:rPr>
        <w:t xml:space="preserve"> </w:t>
      </w:r>
      <w:r w:rsidR="00952E49" w:rsidRPr="00D4590B">
        <w:rPr>
          <w:sz w:val="26"/>
          <w:szCs w:val="26"/>
          <w:lang w:bidi="he-IL"/>
        </w:rPr>
        <w:t>Th</w:t>
      </w:r>
      <w:r w:rsidR="00CE6145" w:rsidRPr="00D4590B">
        <w:rPr>
          <w:sz w:val="26"/>
          <w:szCs w:val="26"/>
          <w:lang w:bidi="he-IL"/>
        </w:rPr>
        <w:t>at is,</w:t>
      </w:r>
      <w:r w:rsidRPr="00D4590B">
        <w:rPr>
          <w:sz w:val="26"/>
          <w:szCs w:val="26"/>
          <w:lang w:bidi="he-IL"/>
        </w:rPr>
        <w:t xml:space="preserve"> it is no</w:t>
      </w:r>
      <w:r w:rsidR="00952E49" w:rsidRPr="00D4590B">
        <w:rPr>
          <w:sz w:val="26"/>
          <w:szCs w:val="26"/>
          <w:lang w:bidi="he-IL"/>
        </w:rPr>
        <w:t>t</w:t>
      </w:r>
      <w:r w:rsidRPr="00D4590B">
        <w:rPr>
          <w:sz w:val="26"/>
          <w:szCs w:val="26"/>
          <w:lang w:bidi="he-IL"/>
        </w:rPr>
        <w:t xml:space="preserve"> coinciden</w:t>
      </w:r>
      <w:r w:rsidR="00952E49" w:rsidRPr="00D4590B">
        <w:rPr>
          <w:sz w:val="26"/>
          <w:szCs w:val="26"/>
          <w:lang w:bidi="he-IL"/>
        </w:rPr>
        <w:t xml:space="preserve">tal </w:t>
      </w:r>
      <w:r w:rsidRPr="00D4590B">
        <w:rPr>
          <w:sz w:val="26"/>
          <w:szCs w:val="26"/>
          <w:lang w:bidi="he-IL"/>
        </w:rPr>
        <w:t xml:space="preserve">that </w:t>
      </w:r>
      <w:r w:rsidR="00CE6145" w:rsidRPr="00D4590B">
        <w:rPr>
          <w:sz w:val="26"/>
          <w:szCs w:val="26"/>
          <w:lang w:bidi="he-IL"/>
        </w:rPr>
        <w:t xml:space="preserve">the term </w:t>
      </w:r>
      <w:proofErr w:type="spellStart"/>
      <w:r w:rsidR="00952E49" w:rsidRPr="00D4590B">
        <w:rPr>
          <w:i/>
          <w:iCs/>
          <w:sz w:val="26"/>
          <w:szCs w:val="26"/>
          <w:lang w:bidi="he-IL"/>
        </w:rPr>
        <w:t>Mikhlol</w:t>
      </w:r>
      <w:proofErr w:type="spellEnd"/>
      <w:r w:rsidR="00952E49" w:rsidRPr="00D4590B" w:rsidDel="00952E49">
        <w:rPr>
          <w:sz w:val="26"/>
          <w:szCs w:val="26"/>
          <w:lang w:bidi="he-IL"/>
        </w:rPr>
        <w:t xml:space="preserve"> </w:t>
      </w:r>
      <w:r w:rsidRPr="00D4590B">
        <w:rPr>
          <w:sz w:val="26"/>
          <w:szCs w:val="26"/>
          <w:lang w:bidi="he-IL"/>
        </w:rPr>
        <w:t xml:space="preserve">appears neither in this initial citation in </w:t>
      </w:r>
      <w:proofErr w:type="spellStart"/>
      <w:r w:rsidRPr="00D4590B">
        <w:rPr>
          <w:sz w:val="26"/>
          <w:szCs w:val="26"/>
          <w:lang w:bidi="he-IL"/>
        </w:rPr>
        <w:t>Radak’s</w:t>
      </w:r>
      <w:proofErr w:type="spellEnd"/>
      <w:r w:rsidRPr="00D4590B">
        <w:rPr>
          <w:sz w:val="26"/>
          <w:szCs w:val="26"/>
          <w:lang w:bidi="he-IL"/>
        </w:rPr>
        <w:t xml:space="preserve"> </w:t>
      </w:r>
      <w:r w:rsidR="004E7991">
        <w:rPr>
          <w:sz w:val="26"/>
          <w:szCs w:val="26"/>
          <w:lang w:bidi="he-IL"/>
        </w:rPr>
        <w:t>commentary on</w:t>
      </w:r>
      <w:r w:rsidRPr="00D4590B">
        <w:rPr>
          <w:sz w:val="26"/>
          <w:szCs w:val="26"/>
          <w:lang w:bidi="he-IL"/>
        </w:rPr>
        <w:t xml:space="preserve"> Chronicles nor in the Proverbs commentary which, if we are correct, was likewise written at an early stage of </w:t>
      </w:r>
      <w:proofErr w:type="spellStart"/>
      <w:r w:rsidRPr="00D4590B">
        <w:rPr>
          <w:sz w:val="26"/>
          <w:szCs w:val="26"/>
          <w:lang w:bidi="he-IL"/>
        </w:rPr>
        <w:t>Radak’s</w:t>
      </w:r>
      <w:proofErr w:type="spellEnd"/>
      <w:r w:rsidRPr="00D4590B">
        <w:rPr>
          <w:sz w:val="26"/>
          <w:szCs w:val="26"/>
          <w:lang w:bidi="he-IL"/>
        </w:rPr>
        <w:t xml:space="preserve"> career.</w:t>
      </w:r>
      <w:r w:rsidR="008515BC" w:rsidRPr="00D4590B">
        <w:rPr>
          <w:sz w:val="26"/>
          <w:szCs w:val="26"/>
          <w:lang w:bidi="he-IL"/>
        </w:rPr>
        <w:t xml:space="preserve"> </w:t>
      </w:r>
      <w:r w:rsidR="00CE6145" w:rsidRPr="00D4590B">
        <w:rPr>
          <w:sz w:val="26"/>
          <w:szCs w:val="26"/>
          <w:lang w:bidi="he-IL"/>
        </w:rPr>
        <w:t>And furthermore</w:t>
      </w:r>
      <w:r w:rsidRPr="00D4590B">
        <w:rPr>
          <w:sz w:val="26"/>
          <w:szCs w:val="26"/>
          <w:lang w:bidi="he-IL"/>
        </w:rPr>
        <w:t xml:space="preserve">, the Chronicles commentary in its </w:t>
      </w:r>
      <w:r w:rsidRPr="00D4590B">
        <w:rPr>
          <w:i/>
          <w:iCs/>
          <w:sz w:val="26"/>
          <w:szCs w:val="26"/>
          <w:lang w:bidi="he-IL"/>
        </w:rPr>
        <w:t>earliest</w:t>
      </w:r>
      <w:r w:rsidRPr="00D4590B">
        <w:rPr>
          <w:sz w:val="26"/>
          <w:szCs w:val="26"/>
          <w:lang w:bidi="he-IL"/>
        </w:rPr>
        <w:t xml:space="preserve"> form refers to </w:t>
      </w:r>
      <w:proofErr w:type="spellStart"/>
      <w:r w:rsidRPr="00D4590B">
        <w:rPr>
          <w:i/>
          <w:iCs/>
          <w:sz w:val="26"/>
          <w:szCs w:val="26"/>
          <w:lang w:bidi="he-IL"/>
        </w:rPr>
        <w:t>Mikhlol</w:t>
      </w:r>
      <w:proofErr w:type="spellEnd"/>
      <w:r w:rsidRPr="00D4590B">
        <w:rPr>
          <w:i/>
          <w:iCs/>
          <w:sz w:val="26"/>
          <w:szCs w:val="26"/>
          <w:lang w:bidi="he-IL"/>
        </w:rPr>
        <w:t xml:space="preserve"> </w:t>
      </w:r>
      <w:r w:rsidRPr="00D4590B">
        <w:rPr>
          <w:sz w:val="26"/>
          <w:szCs w:val="26"/>
          <w:lang w:bidi="he-IL"/>
        </w:rPr>
        <w:t xml:space="preserve">with the </w:t>
      </w:r>
      <w:r w:rsidR="00DB120A" w:rsidRPr="00D4590B">
        <w:rPr>
          <w:sz w:val="26"/>
          <w:szCs w:val="26"/>
          <w:lang w:bidi="he-IL"/>
        </w:rPr>
        <w:t xml:space="preserve">very </w:t>
      </w:r>
      <w:r w:rsidRPr="00D4590B">
        <w:rPr>
          <w:sz w:val="26"/>
          <w:szCs w:val="26"/>
          <w:lang w:bidi="he-IL"/>
        </w:rPr>
        <w:t xml:space="preserve">same oblique phrase </w:t>
      </w:r>
      <w:r w:rsidRPr="00D4590B">
        <w:rPr>
          <w:rFonts w:hint="cs"/>
          <w:sz w:val="26"/>
          <w:szCs w:val="26"/>
          <w:rtl/>
          <w:lang w:bidi="he-IL"/>
        </w:rPr>
        <w:t>חלק הדקדוק</w:t>
      </w:r>
      <w:r w:rsidR="00952E49" w:rsidRPr="00D4590B">
        <w:rPr>
          <w:sz w:val="26"/>
          <w:szCs w:val="26"/>
          <w:lang w:bidi="he-IL"/>
        </w:rPr>
        <w:t xml:space="preserve"> </w:t>
      </w:r>
      <w:r w:rsidRPr="00D4590B">
        <w:rPr>
          <w:sz w:val="26"/>
          <w:szCs w:val="26"/>
          <w:lang w:bidi="he-IL"/>
        </w:rPr>
        <w:t xml:space="preserve">that appears in the </w:t>
      </w:r>
      <w:r w:rsidR="004E7991">
        <w:rPr>
          <w:sz w:val="26"/>
          <w:szCs w:val="26"/>
          <w:lang w:bidi="he-IL"/>
        </w:rPr>
        <w:t>commentary on</w:t>
      </w:r>
      <w:r w:rsidRPr="00D4590B">
        <w:rPr>
          <w:sz w:val="26"/>
          <w:szCs w:val="26"/>
          <w:lang w:bidi="he-IL"/>
        </w:rPr>
        <w:t xml:space="preserve"> Proverbs.</w:t>
      </w:r>
    </w:p>
    <w:p w:rsidR="00E663C7" w:rsidRDefault="00E663C7" w:rsidP="00D4590B">
      <w:pPr>
        <w:spacing w:line="300" w:lineRule="exact"/>
        <w:jc w:val="both"/>
        <w:rPr>
          <w:rFonts w:hint="cs"/>
          <w:i/>
          <w:iCs/>
          <w:sz w:val="26"/>
          <w:szCs w:val="26"/>
          <w:rtl/>
          <w:lang w:bidi="he-IL"/>
        </w:rPr>
      </w:pPr>
    </w:p>
    <w:p w:rsidR="00975572" w:rsidRPr="00D4590B" w:rsidRDefault="00975572" w:rsidP="00D4590B">
      <w:pPr>
        <w:spacing w:line="300" w:lineRule="exact"/>
        <w:jc w:val="both"/>
        <w:rPr>
          <w:i/>
          <w:iCs/>
          <w:sz w:val="26"/>
          <w:szCs w:val="26"/>
          <w:lang w:bidi="he-IL"/>
        </w:rPr>
      </w:pPr>
      <w:r w:rsidRPr="00D4590B">
        <w:rPr>
          <w:i/>
          <w:iCs/>
          <w:sz w:val="26"/>
          <w:szCs w:val="26"/>
          <w:lang w:bidi="he-IL"/>
        </w:rPr>
        <w:t xml:space="preserve">Proverbs 5:19-20 and Shorashim Entry </w:t>
      </w:r>
      <w:r w:rsidRPr="00D4590B">
        <w:rPr>
          <w:rFonts w:hint="cs"/>
          <w:i/>
          <w:iCs/>
          <w:sz w:val="26"/>
          <w:szCs w:val="26"/>
          <w:rtl/>
          <w:lang w:bidi="he-IL"/>
        </w:rPr>
        <w:t>שגה</w:t>
      </w:r>
    </w:p>
    <w:p w:rsidR="00975572" w:rsidRPr="00D4590B" w:rsidRDefault="00975572" w:rsidP="00D4590B">
      <w:pPr>
        <w:spacing w:line="300" w:lineRule="exact"/>
        <w:jc w:val="both"/>
        <w:rPr>
          <w:sz w:val="26"/>
          <w:szCs w:val="26"/>
          <w:lang w:bidi="he-IL"/>
        </w:rPr>
      </w:pPr>
      <w:r w:rsidRPr="00D4590B">
        <w:rPr>
          <w:sz w:val="26"/>
          <w:szCs w:val="26"/>
          <w:lang w:bidi="he-IL"/>
        </w:rPr>
        <w:t xml:space="preserve">Talmage briefly alludes to another important similarity to </w:t>
      </w:r>
      <w:proofErr w:type="spellStart"/>
      <w:r w:rsidRPr="00D4590B">
        <w:rPr>
          <w:sz w:val="26"/>
          <w:szCs w:val="26"/>
          <w:lang w:bidi="he-IL"/>
        </w:rPr>
        <w:t>Radak’s</w:t>
      </w:r>
      <w:proofErr w:type="spellEnd"/>
      <w:r w:rsidRPr="00D4590B">
        <w:rPr>
          <w:sz w:val="26"/>
          <w:szCs w:val="26"/>
          <w:lang w:bidi="he-IL"/>
        </w:rPr>
        <w:t xml:space="preserve"> philological works.</w:t>
      </w:r>
      <w:r w:rsidR="00B01BE0">
        <w:rPr>
          <w:sz w:val="26"/>
          <w:szCs w:val="26"/>
          <w:lang w:bidi="he-IL"/>
        </w:rPr>
        <w:t xml:space="preserve"> </w:t>
      </w:r>
      <w:r w:rsidRPr="00D4590B">
        <w:rPr>
          <w:sz w:val="26"/>
          <w:szCs w:val="26"/>
          <w:lang w:bidi="he-IL"/>
        </w:rPr>
        <w:t xml:space="preserve">This involves the entry </w:t>
      </w:r>
      <w:r w:rsidRPr="00D4590B">
        <w:rPr>
          <w:rFonts w:hint="cs"/>
          <w:sz w:val="26"/>
          <w:szCs w:val="26"/>
          <w:rtl/>
          <w:lang w:bidi="he-IL"/>
        </w:rPr>
        <w:t>שׁגה</w:t>
      </w:r>
      <w:r w:rsidRPr="00D4590B">
        <w:rPr>
          <w:sz w:val="26"/>
          <w:szCs w:val="26"/>
          <w:lang w:bidi="he-IL"/>
        </w:rPr>
        <w:t xml:space="preserve"> in </w:t>
      </w:r>
      <w:r w:rsidRPr="00D4590B">
        <w:rPr>
          <w:i/>
          <w:iCs/>
          <w:sz w:val="26"/>
          <w:szCs w:val="26"/>
          <w:lang w:bidi="he-IL"/>
        </w:rPr>
        <w:t>Shorashim</w:t>
      </w:r>
      <w:r w:rsidRPr="00D4590B">
        <w:rPr>
          <w:sz w:val="26"/>
          <w:szCs w:val="26"/>
          <w:lang w:bidi="he-IL"/>
        </w:rPr>
        <w:t xml:space="preserve">, and an analogous comment </w:t>
      </w:r>
      <w:r w:rsidR="00952E49" w:rsidRPr="00D4590B">
        <w:rPr>
          <w:sz w:val="26"/>
          <w:szCs w:val="26"/>
          <w:lang w:bidi="he-IL"/>
        </w:rPr>
        <w:t xml:space="preserve">in </w:t>
      </w:r>
      <w:r w:rsidRPr="00D4590B">
        <w:rPr>
          <w:sz w:val="26"/>
          <w:szCs w:val="26"/>
          <w:lang w:bidi="he-IL"/>
        </w:rPr>
        <w:t>Proverbs 5:19-20</w:t>
      </w:r>
      <w:r w:rsidR="00952E49" w:rsidRPr="00D4590B">
        <w:rPr>
          <w:sz w:val="26"/>
          <w:szCs w:val="26"/>
          <w:lang w:bidi="he-IL"/>
        </w:rPr>
        <w:t>,</w:t>
      </w:r>
      <w:r w:rsidRPr="00D4590B">
        <w:rPr>
          <w:sz w:val="26"/>
          <w:szCs w:val="26"/>
          <w:lang w:bidi="he-IL"/>
        </w:rPr>
        <w:t xml:space="preserve"> addressing the lines </w:t>
      </w:r>
      <w:r w:rsidRPr="00D4590B">
        <w:rPr>
          <w:rFonts w:hint="cs"/>
          <w:sz w:val="26"/>
          <w:szCs w:val="26"/>
          <w:rtl/>
          <w:lang w:bidi="he-IL"/>
        </w:rPr>
        <w:t>באהבתה תשגה תמיד \ ולמה תשגה בני בזרה</w:t>
      </w:r>
      <w:r w:rsidRPr="00D4590B">
        <w:rPr>
          <w:sz w:val="26"/>
          <w:szCs w:val="26"/>
          <w:lang w:bidi="he-IL"/>
        </w:rPr>
        <w:t xml:space="preserve"> (“in her love </w:t>
      </w:r>
      <w:proofErr w:type="spellStart"/>
      <w:r w:rsidRPr="00D4590B">
        <w:rPr>
          <w:i/>
          <w:iCs/>
          <w:sz w:val="26"/>
          <w:szCs w:val="26"/>
          <w:lang w:bidi="he-IL"/>
        </w:rPr>
        <w:t>tishgeh</w:t>
      </w:r>
      <w:proofErr w:type="spellEnd"/>
      <w:r w:rsidRPr="00D4590B">
        <w:rPr>
          <w:sz w:val="26"/>
          <w:szCs w:val="26"/>
          <w:lang w:bidi="he-IL"/>
        </w:rPr>
        <w:t xml:space="preserve"> constantly / Why, my son, </w:t>
      </w:r>
      <w:proofErr w:type="spellStart"/>
      <w:r w:rsidRPr="00D4590B">
        <w:rPr>
          <w:i/>
          <w:iCs/>
          <w:sz w:val="26"/>
          <w:szCs w:val="26"/>
          <w:lang w:bidi="he-IL"/>
        </w:rPr>
        <w:t>tishgeh</w:t>
      </w:r>
      <w:proofErr w:type="spellEnd"/>
      <w:r w:rsidRPr="00D4590B">
        <w:rPr>
          <w:sz w:val="26"/>
          <w:szCs w:val="26"/>
          <w:lang w:bidi="he-IL"/>
        </w:rPr>
        <w:t xml:space="preserve"> with a foreign woman”).</w:t>
      </w:r>
      <w:r w:rsidRPr="00D4590B">
        <w:rPr>
          <w:rStyle w:val="a4"/>
          <w:sz w:val="26"/>
          <w:szCs w:val="26"/>
          <w:lang w:bidi="he-IL"/>
        </w:rPr>
        <w:footnoteReference w:id="42"/>
      </w:r>
      <w:r w:rsidR="00B01BE0">
        <w:rPr>
          <w:sz w:val="26"/>
          <w:szCs w:val="26"/>
          <w:lang w:bidi="he-IL"/>
        </w:rPr>
        <w:t xml:space="preserve"> </w:t>
      </w:r>
      <w:r w:rsidRPr="00D4590B">
        <w:rPr>
          <w:sz w:val="26"/>
          <w:szCs w:val="26"/>
          <w:lang w:bidi="he-IL"/>
        </w:rPr>
        <w:t xml:space="preserve">Regrettably, Talmage chose not to present the actual texts side by side or to elaborate upon the parallel, and in turn, Grunhaus dismisses the matter in a single sentence: “While the same opinion of Rabbi Jonah [ibn </w:t>
      </w:r>
      <w:proofErr w:type="spellStart"/>
      <w:r w:rsidRPr="00D4590B">
        <w:rPr>
          <w:sz w:val="26"/>
          <w:szCs w:val="26"/>
          <w:lang w:bidi="he-IL"/>
        </w:rPr>
        <w:t>Janah</w:t>
      </w:r>
      <w:proofErr w:type="spellEnd"/>
      <w:r w:rsidRPr="00D4590B">
        <w:rPr>
          <w:sz w:val="26"/>
          <w:szCs w:val="26"/>
          <w:lang w:bidi="he-IL"/>
        </w:rPr>
        <w:t xml:space="preserve">] is considered similarly in both places, this only proves that the author of </w:t>
      </w:r>
      <w:r w:rsidRPr="00D4590B">
        <w:rPr>
          <w:i/>
          <w:iCs/>
          <w:sz w:val="26"/>
          <w:szCs w:val="26"/>
          <w:lang w:bidi="he-IL"/>
        </w:rPr>
        <w:t>the commentary</w:t>
      </w:r>
      <w:r w:rsidRPr="00D4590B">
        <w:rPr>
          <w:sz w:val="26"/>
          <w:szCs w:val="26"/>
          <w:lang w:bidi="he-IL"/>
        </w:rPr>
        <w:t xml:space="preserve"> had seen the entry in the </w:t>
      </w:r>
      <w:r w:rsidRPr="00D4590B">
        <w:rPr>
          <w:i/>
          <w:iCs/>
          <w:sz w:val="26"/>
          <w:szCs w:val="26"/>
          <w:lang w:bidi="he-IL"/>
        </w:rPr>
        <w:t>Shorashim</w:t>
      </w:r>
      <w:r w:rsidRPr="00D4590B">
        <w:rPr>
          <w:sz w:val="26"/>
          <w:szCs w:val="26"/>
          <w:lang w:bidi="he-IL"/>
        </w:rPr>
        <w:t>, not that he had written it himself.”</w:t>
      </w:r>
      <w:r w:rsidRPr="00D4590B">
        <w:rPr>
          <w:rStyle w:val="a4"/>
          <w:sz w:val="26"/>
          <w:szCs w:val="26"/>
          <w:lang w:bidi="he-IL"/>
        </w:rPr>
        <w:footnoteReference w:id="43"/>
      </w:r>
      <w:r w:rsidR="008515BC" w:rsidRPr="00D4590B">
        <w:rPr>
          <w:sz w:val="26"/>
          <w:szCs w:val="26"/>
          <w:lang w:bidi="he-IL"/>
        </w:rPr>
        <w:t xml:space="preserve"> </w:t>
      </w:r>
      <w:r w:rsidRPr="00D4590B">
        <w:rPr>
          <w:sz w:val="26"/>
          <w:szCs w:val="26"/>
          <w:lang w:bidi="he-IL"/>
        </w:rPr>
        <w:t>In reality, however, a closer look at the sources shows the correlation to be decidedly more instructive than this remark would suggest.</w:t>
      </w:r>
    </w:p>
    <w:p w:rsidR="00975572" w:rsidRDefault="00975572" w:rsidP="00FF0B7D">
      <w:pPr>
        <w:spacing w:line="300" w:lineRule="exact"/>
        <w:ind w:firstLine="284"/>
        <w:jc w:val="both"/>
        <w:rPr>
          <w:rFonts w:hint="cs"/>
          <w:sz w:val="26"/>
          <w:szCs w:val="26"/>
          <w:rtl/>
          <w:lang w:bidi="he-IL"/>
        </w:rPr>
      </w:pPr>
      <w:r w:rsidRPr="00D4590B">
        <w:rPr>
          <w:sz w:val="26"/>
          <w:szCs w:val="26"/>
          <w:lang w:bidi="he-IL"/>
        </w:rPr>
        <w:t xml:space="preserve">The relevant part of the entry in </w:t>
      </w:r>
      <w:r w:rsidRPr="00D4590B">
        <w:rPr>
          <w:i/>
          <w:iCs/>
          <w:sz w:val="26"/>
          <w:szCs w:val="26"/>
          <w:lang w:bidi="he-IL"/>
        </w:rPr>
        <w:t>Shorashim</w:t>
      </w:r>
      <w:r w:rsidRPr="00D4590B">
        <w:rPr>
          <w:sz w:val="26"/>
          <w:szCs w:val="26"/>
          <w:lang w:bidi="he-IL"/>
        </w:rPr>
        <w:t xml:space="preserve"> reads as follows:</w:t>
      </w:r>
    </w:p>
    <w:p w:rsidR="00E663C7" w:rsidRPr="00D4590B" w:rsidRDefault="00E663C7" w:rsidP="00D4590B">
      <w:pPr>
        <w:spacing w:line="300" w:lineRule="exact"/>
        <w:ind w:firstLine="360"/>
        <w:jc w:val="both"/>
        <w:rPr>
          <w:rFonts w:hint="cs"/>
          <w:sz w:val="26"/>
          <w:szCs w:val="26"/>
          <w:lang w:bidi="he-IL"/>
        </w:rPr>
      </w:pPr>
    </w:p>
    <w:p w:rsidR="00975572" w:rsidRPr="00D4590B" w:rsidRDefault="00975572" w:rsidP="00343293">
      <w:pPr>
        <w:bidi/>
        <w:spacing w:line="300" w:lineRule="exact"/>
        <w:ind w:right="720"/>
        <w:jc w:val="both"/>
        <w:rPr>
          <w:sz w:val="26"/>
          <w:szCs w:val="26"/>
          <w:lang w:bidi="he-IL"/>
        </w:rPr>
      </w:pPr>
      <w:r w:rsidRPr="00D4590B">
        <w:rPr>
          <w:rFonts w:hint="cs"/>
          <w:sz w:val="26"/>
          <w:szCs w:val="26"/>
          <w:rtl/>
          <w:lang w:bidi="he-IL"/>
        </w:rPr>
        <w:t>ורבי יונה הרחיק ענין באהבתה תשגה תמיד מענין זה מאד לפי שבעיניו ענין הפסוק על ענין החכמה.</w:t>
      </w:r>
      <w:r w:rsidR="008515BC" w:rsidRPr="00D4590B">
        <w:rPr>
          <w:rFonts w:hint="cs"/>
          <w:sz w:val="26"/>
          <w:szCs w:val="26"/>
          <w:rtl/>
          <w:lang w:bidi="he-IL"/>
        </w:rPr>
        <w:t xml:space="preserve"> </w:t>
      </w:r>
      <w:r w:rsidRPr="00D4590B">
        <w:rPr>
          <w:rFonts w:hint="cs"/>
          <w:sz w:val="26"/>
          <w:szCs w:val="26"/>
          <w:rtl/>
          <w:lang w:bidi="he-IL"/>
        </w:rPr>
        <w:t>והנכון כי ענין הפסוק מדבר על אשתו כמו שאמר למעלה</w:t>
      </w:r>
      <w:r w:rsidR="00DB47FA">
        <w:rPr>
          <w:rFonts w:hint="cs"/>
          <w:sz w:val="26"/>
          <w:szCs w:val="26"/>
          <w:rtl/>
          <w:lang w:bidi="he-IL"/>
        </w:rPr>
        <w:t xml:space="preserve">... </w:t>
      </w:r>
      <w:r w:rsidRPr="00D4590B">
        <w:rPr>
          <w:rFonts w:hint="cs"/>
          <w:sz w:val="26"/>
          <w:szCs w:val="26"/>
          <w:rtl/>
          <w:lang w:bidi="he-IL"/>
        </w:rPr>
        <w:t xml:space="preserve">ואף על פי שעל דרך המשל יתכן שידבר על החכמה, המליצה היא על אשת האדם וכונת </w:t>
      </w:r>
      <w:r w:rsidRPr="00D4590B">
        <w:rPr>
          <w:rFonts w:hint="cs"/>
          <w:sz w:val="26"/>
          <w:szCs w:val="26"/>
          <w:rtl/>
          <w:lang w:bidi="he-IL"/>
        </w:rPr>
        <w:lastRenderedPageBreak/>
        <w:t>המחבר לשני הענינים, ואם כן הטוב והישר שיהיה תשגה תמיד מענין שגגה כמו שפירשנו.</w:t>
      </w:r>
    </w:p>
    <w:p w:rsidR="00975572" w:rsidRDefault="00975572" w:rsidP="00E663C7">
      <w:pPr>
        <w:spacing w:line="300" w:lineRule="exact"/>
        <w:ind w:left="720"/>
        <w:jc w:val="both"/>
        <w:rPr>
          <w:rFonts w:hint="cs"/>
          <w:sz w:val="26"/>
          <w:szCs w:val="26"/>
          <w:rtl/>
          <w:lang w:bidi="he-IL"/>
        </w:rPr>
      </w:pPr>
      <w:r w:rsidRPr="00D4590B">
        <w:rPr>
          <w:sz w:val="26"/>
          <w:szCs w:val="26"/>
          <w:lang w:bidi="he-IL"/>
        </w:rPr>
        <w:t xml:space="preserve">Rabbi Jonah explained “in her love </w:t>
      </w:r>
      <w:proofErr w:type="spellStart"/>
      <w:r w:rsidRPr="00D4590B">
        <w:rPr>
          <w:i/>
          <w:iCs/>
          <w:sz w:val="26"/>
          <w:szCs w:val="26"/>
          <w:lang w:bidi="he-IL"/>
        </w:rPr>
        <w:t>tishgeh</w:t>
      </w:r>
      <w:proofErr w:type="spellEnd"/>
      <w:r w:rsidRPr="00D4590B">
        <w:rPr>
          <w:sz w:val="26"/>
          <w:szCs w:val="26"/>
          <w:lang w:bidi="he-IL"/>
        </w:rPr>
        <w:t xml:space="preserve"> constantly” far differently, since in his opinion the topic of the verse concerns wisdom.</w:t>
      </w:r>
      <w:r w:rsidR="008515BC" w:rsidRPr="00D4590B">
        <w:rPr>
          <w:sz w:val="26"/>
          <w:szCs w:val="26"/>
          <w:lang w:bidi="he-IL"/>
        </w:rPr>
        <w:t xml:space="preserve"> </w:t>
      </w:r>
      <w:r w:rsidRPr="00D4590B">
        <w:rPr>
          <w:sz w:val="26"/>
          <w:szCs w:val="26"/>
          <w:lang w:bidi="he-IL"/>
        </w:rPr>
        <w:t>But in truth, the topic of the verse concerns [an individual’s] wife as it says above….</w:t>
      </w:r>
      <w:r w:rsidR="00B01BE0">
        <w:rPr>
          <w:sz w:val="26"/>
          <w:szCs w:val="26"/>
          <w:lang w:bidi="he-IL"/>
        </w:rPr>
        <w:t xml:space="preserve"> </w:t>
      </w:r>
      <w:r w:rsidRPr="00D4590B">
        <w:rPr>
          <w:sz w:val="26"/>
          <w:szCs w:val="26"/>
          <w:lang w:bidi="he-IL"/>
        </w:rPr>
        <w:t>And even though metaphorically it is possible that it concerns wisdom, the language denotes a person’s wife, so that the author’s intention would include both matters.</w:t>
      </w:r>
      <w:r w:rsidR="008515BC" w:rsidRPr="00D4590B">
        <w:rPr>
          <w:sz w:val="26"/>
          <w:szCs w:val="26"/>
          <w:lang w:bidi="he-IL"/>
        </w:rPr>
        <w:t xml:space="preserve"> </w:t>
      </w:r>
      <w:r w:rsidRPr="00D4590B">
        <w:rPr>
          <w:sz w:val="26"/>
          <w:szCs w:val="26"/>
          <w:lang w:bidi="he-IL"/>
        </w:rPr>
        <w:t>Therefore, it is best to assume that “</w:t>
      </w:r>
      <w:proofErr w:type="spellStart"/>
      <w:r w:rsidRPr="00D4590B">
        <w:rPr>
          <w:i/>
          <w:iCs/>
          <w:sz w:val="26"/>
          <w:szCs w:val="26"/>
          <w:lang w:bidi="he-IL"/>
        </w:rPr>
        <w:t>tishgeh</w:t>
      </w:r>
      <w:proofErr w:type="spellEnd"/>
      <w:r w:rsidRPr="00D4590B">
        <w:rPr>
          <w:sz w:val="26"/>
          <w:szCs w:val="26"/>
          <w:lang w:bidi="he-IL"/>
        </w:rPr>
        <w:t xml:space="preserve"> constantly” has the sense of </w:t>
      </w:r>
      <w:r w:rsidRPr="00D4590B">
        <w:rPr>
          <w:rFonts w:hint="cs"/>
          <w:sz w:val="26"/>
          <w:szCs w:val="26"/>
          <w:rtl/>
          <w:lang w:bidi="he-IL"/>
        </w:rPr>
        <w:t>שגגה</w:t>
      </w:r>
      <w:r w:rsidRPr="00D4590B">
        <w:rPr>
          <w:sz w:val="26"/>
          <w:szCs w:val="26"/>
          <w:lang w:bidi="he-IL"/>
        </w:rPr>
        <w:t xml:space="preserve"> [fault], as we have explained.</w:t>
      </w:r>
    </w:p>
    <w:p w:rsidR="00E663C7" w:rsidRPr="00D4590B" w:rsidRDefault="00E663C7" w:rsidP="00E663C7">
      <w:pPr>
        <w:spacing w:line="300" w:lineRule="exact"/>
        <w:ind w:left="720"/>
        <w:jc w:val="both"/>
        <w:rPr>
          <w:rFonts w:hint="cs"/>
          <w:sz w:val="26"/>
          <w:szCs w:val="26"/>
          <w:lang w:bidi="he-IL"/>
        </w:rPr>
      </w:pPr>
    </w:p>
    <w:p w:rsidR="00975572" w:rsidRDefault="00975572" w:rsidP="00D4590B">
      <w:pPr>
        <w:spacing w:line="300" w:lineRule="exact"/>
        <w:jc w:val="both"/>
        <w:rPr>
          <w:rFonts w:hint="cs"/>
          <w:sz w:val="26"/>
          <w:szCs w:val="26"/>
          <w:rtl/>
          <w:lang w:bidi="he-IL"/>
        </w:rPr>
      </w:pPr>
      <w:r w:rsidRPr="00D4590B">
        <w:rPr>
          <w:sz w:val="26"/>
          <w:szCs w:val="26"/>
          <w:lang w:bidi="he-IL"/>
        </w:rPr>
        <w:t xml:space="preserve">In the comment on Proverbs, the author begins with the suggestion that </w:t>
      </w:r>
      <w:r w:rsidRPr="00D4590B">
        <w:rPr>
          <w:rFonts w:hint="cs"/>
          <w:sz w:val="26"/>
          <w:szCs w:val="26"/>
          <w:rtl/>
          <w:lang w:bidi="he-IL"/>
        </w:rPr>
        <w:t>שגה</w:t>
      </w:r>
      <w:r w:rsidRPr="00D4590B">
        <w:rPr>
          <w:sz w:val="26"/>
          <w:szCs w:val="26"/>
          <w:lang w:bidi="he-IL"/>
        </w:rPr>
        <w:t xml:space="preserve"> is the equivalent of </w:t>
      </w:r>
      <w:r w:rsidRPr="00D4590B">
        <w:rPr>
          <w:rFonts w:hint="cs"/>
          <w:sz w:val="26"/>
          <w:szCs w:val="26"/>
          <w:rtl/>
          <w:lang w:bidi="he-IL"/>
        </w:rPr>
        <w:t>עסק</w:t>
      </w:r>
      <w:r w:rsidRPr="00D4590B">
        <w:rPr>
          <w:sz w:val="26"/>
          <w:szCs w:val="26"/>
          <w:lang w:bidi="he-IL"/>
        </w:rPr>
        <w:t xml:space="preserve">, denoting involvement, a view highlighted by </w:t>
      </w:r>
      <w:proofErr w:type="spellStart"/>
      <w:r w:rsidRPr="00D4590B">
        <w:rPr>
          <w:sz w:val="26"/>
          <w:szCs w:val="26"/>
          <w:lang w:bidi="he-IL"/>
        </w:rPr>
        <w:t>Rashi</w:t>
      </w:r>
      <w:proofErr w:type="spellEnd"/>
      <w:r w:rsidRPr="00D4590B">
        <w:rPr>
          <w:sz w:val="26"/>
          <w:szCs w:val="26"/>
          <w:lang w:bidi="he-IL"/>
        </w:rPr>
        <w:t xml:space="preserve"> </w:t>
      </w:r>
      <w:r w:rsidRPr="00D4590B">
        <w:rPr>
          <w:i/>
          <w:iCs/>
          <w:sz w:val="26"/>
          <w:szCs w:val="26"/>
          <w:lang w:bidi="he-IL"/>
        </w:rPr>
        <w:t>ad loc</w:t>
      </w:r>
      <w:r w:rsidRPr="00D4590B">
        <w:rPr>
          <w:sz w:val="26"/>
          <w:szCs w:val="26"/>
          <w:lang w:bidi="he-IL"/>
        </w:rPr>
        <w:t xml:space="preserve">. and cited at the end of the entry in </w:t>
      </w:r>
      <w:r w:rsidRPr="00D4590B">
        <w:rPr>
          <w:i/>
          <w:iCs/>
          <w:sz w:val="26"/>
          <w:szCs w:val="26"/>
          <w:lang w:bidi="he-IL"/>
        </w:rPr>
        <w:t>Shorashim</w:t>
      </w:r>
      <w:r w:rsidRPr="00D4590B">
        <w:rPr>
          <w:sz w:val="26"/>
          <w:szCs w:val="26"/>
          <w:lang w:bidi="he-IL"/>
        </w:rPr>
        <w:t>.</w:t>
      </w:r>
      <w:r w:rsidR="008515BC" w:rsidRPr="00D4590B">
        <w:rPr>
          <w:sz w:val="26"/>
          <w:szCs w:val="26"/>
          <w:lang w:bidi="he-IL"/>
        </w:rPr>
        <w:t xml:space="preserve"> </w:t>
      </w:r>
      <w:r w:rsidRPr="00D4590B">
        <w:rPr>
          <w:sz w:val="26"/>
          <w:szCs w:val="26"/>
          <w:lang w:bidi="he-IL"/>
        </w:rPr>
        <w:t>He then remarks:</w:t>
      </w:r>
    </w:p>
    <w:p w:rsidR="00E663C7" w:rsidRPr="00D4590B" w:rsidRDefault="00E663C7" w:rsidP="00D4590B">
      <w:pPr>
        <w:spacing w:line="300" w:lineRule="exact"/>
        <w:jc w:val="both"/>
        <w:rPr>
          <w:rFonts w:hint="cs"/>
          <w:sz w:val="26"/>
          <w:szCs w:val="26"/>
          <w:lang w:bidi="he-IL"/>
        </w:rPr>
      </w:pPr>
    </w:p>
    <w:p w:rsidR="00975572" w:rsidRPr="00D4590B" w:rsidRDefault="00975572" w:rsidP="00584876">
      <w:pPr>
        <w:bidi/>
        <w:spacing w:line="300" w:lineRule="exact"/>
        <w:ind w:right="720"/>
        <w:jc w:val="both"/>
        <w:rPr>
          <w:sz w:val="26"/>
          <w:szCs w:val="26"/>
          <w:rtl/>
          <w:lang w:bidi="he-IL"/>
        </w:rPr>
      </w:pPr>
      <w:r w:rsidRPr="00D4590B">
        <w:rPr>
          <w:rFonts w:hint="cs"/>
          <w:sz w:val="26"/>
          <w:szCs w:val="26"/>
          <w:rtl/>
          <w:lang w:bidi="he-IL"/>
        </w:rPr>
        <w:t>ור' יונה פירשו דרך משל על החכמה, ואפשר שמחבר הספר חברו על שתי הכונות</w:t>
      </w:r>
      <w:r w:rsidR="00DB47FA">
        <w:rPr>
          <w:rFonts w:hint="cs"/>
          <w:sz w:val="26"/>
          <w:szCs w:val="26"/>
          <w:rtl/>
          <w:lang w:bidi="he-IL"/>
        </w:rPr>
        <w:t xml:space="preserve">. </w:t>
      </w:r>
      <w:r w:rsidRPr="00D4590B">
        <w:rPr>
          <w:rFonts w:hint="cs"/>
          <w:sz w:val="26"/>
          <w:szCs w:val="26"/>
          <w:rtl/>
          <w:lang w:bidi="he-IL"/>
        </w:rPr>
        <w:t>אבל מן הנראה שהוא דבר על האשה, ואמר שהעסק עם האשה היא שגייה, ואף על פי כן אמר טוב שתשגה באשתך משתשגה בזרה.</w:t>
      </w:r>
    </w:p>
    <w:p w:rsidR="00975572" w:rsidRDefault="00975572" w:rsidP="00E663C7">
      <w:pPr>
        <w:spacing w:line="300" w:lineRule="exact"/>
        <w:ind w:left="720"/>
        <w:jc w:val="both"/>
        <w:rPr>
          <w:rFonts w:hint="cs"/>
          <w:sz w:val="26"/>
          <w:szCs w:val="26"/>
          <w:rtl/>
          <w:lang w:bidi="he-IL"/>
        </w:rPr>
      </w:pPr>
      <w:r w:rsidRPr="00D4590B">
        <w:rPr>
          <w:sz w:val="26"/>
          <w:szCs w:val="26"/>
          <w:lang w:bidi="he-IL"/>
        </w:rPr>
        <w:t>But Rabbi Jonah explained it metaphorically, so that it concerns wisdom.</w:t>
      </w:r>
      <w:r w:rsidR="004D504E" w:rsidRPr="00D4590B">
        <w:rPr>
          <w:sz w:val="26"/>
          <w:szCs w:val="26"/>
          <w:lang w:bidi="he-IL"/>
        </w:rPr>
        <w:t xml:space="preserve"> </w:t>
      </w:r>
      <w:r w:rsidRPr="00D4590B">
        <w:rPr>
          <w:sz w:val="26"/>
          <w:szCs w:val="26"/>
          <w:lang w:bidi="he-IL"/>
        </w:rPr>
        <w:t>It is possible that the author of the book wrote it with both intentions.</w:t>
      </w:r>
      <w:r w:rsidR="004D504E" w:rsidRPr="00D4590B">
        <w:rPr>
          <w:sz w:val="26"/>
          <w:szCs w:val="26"/>
          <w:lang w:bidi="he-IL"/>
        </w:rPr>
        <w:t xml:space="preserve"> </w:t>
      </w:r>
      <w:r w:rsidRPr="00D4590B">
        <w:rPr>
          <w:sz w:val="26"/>
          <w:szCs w:val="26"/>
          <w:lang w:bidi="he-IL"/>
        </w:rPr>
        <w:t>But it appears that he is referring to women: he says that to be involved with women is to transgress [</w:t>
      </w:r>
      <w:r w:rsidRPr="00D4590B">
        <w:rPr>
          <w:rFonts w:hint="cs"/>
          <w:sz w:val="26"/>
          <w:szCs w:val="26"/>
          <w:rtl/>
          <w:lang w:bidi="he-IL"/>
        </w:rPr>
        <w:t>שגייה</w:t>
      </w:r>
      <w:r w:rsidRPr="00D4590B">
        <w:rPr>
          <w:sz w:val="26"/>
          <w:szCs w:val="26"/>
          <w:lang w:bidi="he-IL"/>
        </w:rPr>
        <w:t>], but adds that it is still better for you to transgress with your wife than with a foreign woman.</w:t>
      </w:r>
    </w:p>
    <w:p w:rsidR="00E663C7" w:rsidRPr="00D4590B" w:rsidRDefault="00E663C7" w:rsidP="00D4590B">
      <w:pPr>
        <w:spacing w:line="300" w:lineRule="exact"/>
        <w:ind w:left="360" w:right="360"/>
        <w:jc w:val="both"/>
        <w:rPr>
          <w:rFonts w:hint="cs"/>
          <w:sz w:val="26"/>
          <w:szCs w:val="26"/>
          <w:lang w:bidi="he-IL"/>
        </w:rPr>
      </w:pPr>
    </w:p>
    <w:p w:rsidR="00975572" w:rsidRPr="00D4590B" w:rsidRDefault="005A0691" w:rsidP="000863DA">
      <w:pPr>
        <w:spacing w:line="300" w:lineRule="exact"/>
        <w:jc w:val="both"/>
        <w:rPr>
          <w:sz w:val="26"/>
          <w:szCs w:val="26"/>
          <w:lang w:bidi="he-IL"/>
        </w:rPr>
      </w:pPr>
      <w:r w:rsidRPr="00D4590B">
        <w:rPr>
          <w:sz w:val="26"/>
          <w:szCs w:val="26"/>
          <w:lang w:bidi="he-IL"/>
        </w:rPr>
        <w:t>The similarities</w:t>
      </w:r>
      <w:r w:rsidR="00975572" w:rsidRPr="00D4590B">
        <w:rPr>
          <w:sz w:val="26"/>
          <w:szCs w:val="26"/>
          <w:lang w:bidi="he-IL"/>
        </w:rPr>
        <w:t xml:space="preserve"> </w:t>
      </w:r>
      <w:r w:rsidRPr="00D4590B">
        <w:rPr>
          <w:sz w:val="26"/>
          <w:szCs w:val="26"/>
          <w:lang w:bidi="he-IL"/>
        </w:rPr>
        <w:t>between these two passages are</w:t>
      </w:r>
      <w:r w:rsidR="00CE7DCC" w:rsidRPr="00D4590B">
        <w:rPr>
          <w:sz w:val="26"/>
          <w:szCs w:val="26"/>
          <w:lang w:bidi="he-IL"/>
        </w:rPr>
        <w:t xml:space="preserve"> especially </w:t>
      </w:r>
      <w:r w:rsidR="00975572" w:rsidRPr="00D4590B">
        <w:rPr>
          <w:sz w:val="26"/>
          <w:szCs w:val="26"/>
          <w:lang w:bidi="he-IL"/>
        </w:rPr>
        <w:t>striking</w:t>
      </w:r>
      <w:r w:rsidR="00CE7DCC" w:rsidRPr="00D4590B">
        <w:rPr>
          <w:sz w:val="26"/>
          <w:szCs w:val="26"/>
          <w:lang w:bidi="he-IL"/>
        </w:rPr>
        <w:t>: a</w:t>
      </w:r>
      <w:r w:rsidR="008A4F7E" w:rsidRPr="00D4590B">
        <w:rPr>
          <w:sz w:val="26"/>
          <w:szCs w:val="26"/>
          <w:lang w:bidi="he-IL"/>
        </w:rPr>
        <w:t xml:space="preserve"> citation of</w:t>
      </w:r>
      <w:r w:rsidR="00CE7DCC" w:rsidRPr="00D4590B">
        <w:rPr>
          <w:sz w:val="26"/>
          <w:szCs w:val="26"/>
          <w:lang w:bidi="he-IL"/>
        </w:rPr>
        <w:t xml:space="preserve"> Ibn </w:t>
      </w:r>
      <w:proofErr w:type="spellStart"/>
      <w:r w:rsidR="00CE7DCC" w:rsidRPr="00D4590B">
        <w:rPr>
          <w:sz w:val="26"/>
          <w:szCs w:val="26"/>
          <w:lang w:bidi="he-IL"/>
        </w:rPr>
        <w:t>Jana</w:t>
      </w:r>
      <w:r w:rsidR="000863DA" w:rsidRPr="00D4590B">
        <w:rPr>
          <w:sz w:val="26"/>
          <w:szCs w:val="26"/>
          <w:lang w:bidi="he-IL"/>
        </w:rPr>
        <w:t>h</w:t>
      </w:r>
      <w:proofErr w:type="spellEnd"/>
      <w:r w:rsidR="000863DA" w:rsidRPr="00D4590B">
        <w:rPr>
          <w:sz w:val="26"/>
          <w:szCs w:val="26"/>
          <w:lang w:bidi="he-IL"/>
        </w:rPr>
        <w:t></w:t>
      </w:r>
      <w:r w:rsidR="008A4F7E" w:rsidRPr="00D4590B">
        <w:rPr>
          <w:sz w:val="26"/>
          <w:szCs w:val="26"/>
          <w:lang w:bidi="he-IL"/>
        </w:rPr>
        <w:t xml:space="preserve"> by name</w:t>
      </w:r>
      <w:r w:rsidR="000431D5" w:rsidRPr="00D4590B">
        <w:rPr>
          <w:sz w:val="26"/>
          <w:szCs w:val="26"/>
          <w:lang w:bidi="he-IL"/>
        </w:rPr>
        <w:t>;</w:t>
      </w:r>
      <w:r w:rsidR="00B50C1A" w:rsidRPr="00D4590B">
        <w:rPr>
          <w:sz w:val="26"/>
          <w:szCs w:val="26"/>
          <w:lang w:bidi="he-IL"/>
        </w:rPr>
        <w:t xml:space="preserve"> </w:t>
      </w:r>
      <w:r w:rsidR="00515B46" w:rsidRPr="00D4590B">
        <w:rPr>
          <w:sz w:val="26"/>
          <w:szCs w:val="26"/>
          <w:lang w:bidi="he-IL"/>
        </w:rPr>
        <w:t>the assertion</w:t>
      </w:r>
      <w:r w:rsidR="00B50C1A" w:rsidRPr="00D4590B">
        <w:rPr>
          <w:sz w:val="26"/>
          <w:szCs w:val="26"/>
          <w:lang w:bidi="he-IL"/>
        </w:rPr>
        <w:t xml:space="preserve"> that</w:t>
      </w:r>
      <w:r w:rsidR="000431D5" w:rsidRPr="00D4590B">
        <w:rPr>
          <w:sz w:val="26"/>
          <w:szCs w:val="26"/>
          <w:lang w:bidi="he-IL"/>
        </w:rPr>
        <w:t>,</w:t>
      </w:r>
      <w:r w:rsidR="00B50C1A" w:rsidRPr="00D4590B">
        <w:rPr>
          <w:sz w:val="26"/>
          <w:szCs w:val="26"/>
          <w:lang w:bidi="he-IL"/>
        </w:rPr>
        <w:t xml:space="preserve"> </w:t>
      </w:r>
      <w:r w:rsidR="000431D5" w:rsidRPr="00D4590B">
        <w:rPr>
          <w:sz w:val="26"/>
          <w:szCs w:val="26"/>
          <w:lang w:bidi="he-IL"/>
        </w:rPr>
        <w:t xml:space="preserve">along with the literal meaning, </w:t>
      </w:r>
      <w:r w:rsidR="00B50C1A" w:rsidRPr="00D4590B">
        <w:rPr>
          <w:sz w:val="26"/>
          <w:szCs w:val="26"/>
          <w:lang w:bidi="he-IL"/>
        </w:rPr>
        <w:t xml:space="preserve">the author </w:t>
      </w:r>
      <w:r w:rsidR="008B387E" w:rsidRPr="00D4590B">
        <w:rPr>
          <w:sz w:val="26"/>
          <w:szCs w:val="26"/>
          <w:lang w:bidi="he-IL"/>
        </w:rPr>
        <w:t xml:space="preserve">of Proverbs </w:t>
      </w:r>
      <w:r w:rsidR="00B50C1A" w:rsidRPr="00D4590B">
        <w:rPr>
          <w:sz w:val="26"/>
          <w:szCs w:val="26"/>
          <w:lang w:bidi="he-IL"/>
        </w:rPr>
        <w:t xml:space="preserve">might have </w:t>
      </w:r>
      <w:r w:rsidR="007B5E3C" w:rsidRPr="00D4590B">
        <w:rPr>
          <w:sz w:val="26"/>
          <w:szCs w:val="26"/>
          <w:lang w:bidi="he-IL"/>
        </w:rPr>
        <w:t xml:space="preserve">had </w:t>
      </w:r>
      <w:r w:rsidR="000431D5" w:rsidRPr="00D4590B">
        <w:rPr>
          <w:sz w:val="26"/>
          <w:szCs w:val="26"/>
          <w:lang w:bidi="he-IL"/>
        </w:rPr>
        <w:t>in mind the</w:t>
      </w:r>
      <w:r w:rsidR="00B50C1A" w:rsidRPr="00D4590B">
        <w:rPr>
          <w:sz w:val="26"/>
          <w:szCs w:val="26"/>
          <w:lang w:bidi="he-IL"/>
        </w:rPr>
        <w:t xml:space="preserve"> </w:t>
      </w:r>
      <w:r w:rsidR="000431D5" w:rsidRPr="00D4590B">
        <w:rPr>
          <w:sz w:val="26"/>
          <w:szCs w:val="26"/>
          <w:lang w:bidi="he-IL"/>
        </w:rPr>
        <w:t xml:space="preserve">metaphoric one proposed by </w:t>
      </w:r>
      <w:r w:rsidR="008A4F7E" w:rsidRPr="00D4590B">
        <w:rPr>
          <w:sz w:val="26"/>
          <w:szCs w:val="26"/>
          <w:lang w:bidi="he-IL"/>
        </w:rPr>
        <w:t xml:space="preserve">Ibn </w:t>
      </w:r>
      <w:proofErr w:type="spellStart"/>
      <w:r w:rsidR="008A4F7E" w:rsidRPr="00D4590B">
        <w:rPr>
          <w:sz w:val="26"/>
          <w:szCs w:val="26"/>
          <w:lang w:bidi="he-IL"/>
        </w:rPr>
        <w:t>Janah</w:t>
      </w:r>
      <w:proofErr w:type="spellEnd"/>
      <w:r w:rsidR="008A4F7E" w:rsidRPr="00D4590B">
        <w:rPr>
          <w:sz w:val="26"/>
          <w:szCs w:val="26"/>
          <w:lang w:bidi="he-IL"/>
        </w:rPr>
        <w:t></w:t>
      </w:r>
      <w:r w:rsidR="000431D5" w:rsidRPr="00D4590B">
        <w:rPr>
          <w:sz w:val="26"/>
          <w:szCs w:val="26"/>
          <w:lang w:bidi="he-IL"/>
        </w:rPr>
        <w:t>;</w:t>
      </w:r>
      <w:r w:rsidR="008A4F7E" w:rsidRPr="00D4590B">
        <w:rPr>
          <w:sz w:val="26"/>
          <w:szCs w:val="26"/>
          <w:lang w:bidi="he-IL"/>
        </w:rPr>
        <w:t xml:space="preserve"> and</w:t>
      </w:r>
      <w:r w:rsidR="008B387E" w:rsidRPr="00D4590B">
        <w:rPr>
          <w:sz w:val="26"/>
          <w:szCs w:val="26"/>
          <w:lang w:bidi="he-IL"/>
        </w:rPr>
        <w:t xml:space="preserve"> </w:t>
      </w:r>
      <w:r w:rsidR="000431D5" w:rsidRPr="00D4590B">
        <w:rPr>
          <w:sz w:val="26"/>
          <w:szCs w:val="26"/>
          <w:lang w:bidi="he-IL"/>
        </w:rPr>
        <w:t xml:space="preserve">finally, </w:t>
      </w:r>
      <w:r w:rsidR="008B387E" w:rsidRPr="00D4590B">
        <w:rPr>
          <w:sz w:val="26"/>
          <w:szCs w:val="26"/>
          <w:lang w:bidi="he-IL"/>
        </w:rPr>
        <w:t xml:space="preserve">an expression of preference for </w:t>
      </w:r>
      <w:r w:rsidR="000431D5" w:rsidRPr="00D4590B">
        <w:rPr>
          <w:sz w:val="26"/>
          <w:szCs w:val="26"/>
          <w:lang w:bidi="he-IL"/>
        </w:rPr>
        <w:t>a</w:t>
      </w:r>
      <w:r w:rsidR="008B387E" w:rsidRPr="00D4590B">
        <w:rPr>
          <w:sz w:val="26"/>
          <w:szCs w:val="26"/>
          <w:lang w:bidi="he-IL"/>
        </w:rPr>
        <w:t xml:space="preserve"> particular literal</w:t>
      </w:r>
      <w:r w:rsidR="00975572" w:rsidRPr="00D4590B">
        <w:rPr>
          <w:sz w:val="26"/>
          <w:szCs w:val="26"/>
          <w:lang w:bidi="he-IL"/>
        </w:rPr>
        <w:t xml:space="preserve"> </w:t>
      </w:r>
      <w:r w:rsidR="008B387E" w:rsidRPr="00D4590B">
        <w:rPr>
          <w:sz w:val="26"/>
          <w:szCs w:val="26"/>
          <w:lang w:bidi="he-IL"/>
        </w:rPr>
        <w:t>interpretation</w:t>
      </w:r>
      <w:r w:rsidR="00C43419" w:rsidRPr="00D4590B">
        <w:rPr>
          <w:sz w:val="26"/>
          <w:szCs w:val="26"/>
          <w:lang w:bidi="he-IL"/>
        </w:rPr>
        <w:t xml:space="preserve"> of the verse which presumes that </w:t>
      </w:r>
      <w:proofErr w:type="spellStart"/>
      <w:r w:rsidR="00C43419" w:rsidRPr="00D4590B">
        <w:rPr>
          <w:i/>
          <w:iCs/>
          <w:sz w:val="26"/>
          <w:szCs w:val="26"/>
          <w:lang w:bidi="he-IL"/>
        </w:rPr>
        <w:t>tishgeh</w:t>
      </w:r>
      <w:proofErr w:type="spellEnd"/>
      <w:r w:rsidR="00C43419" w:rsidRPr="00D4590B">
        <w:rPr>
          <w:sz w:val="26"/>
          <w:szCs w:val="26"/>
          <w:lang w:bidi="he-IL"/>
        </w:rPr>
        <w:t xml:space="preserve"> has the sense of fault/transgression</w:t>
      </w:r>
      <w:r w:rsidR="008B387E" w:rsidRPr="00D4590B">
        <w:rPr>
          <w:sz w:val="26"/>
          <w:szCs w:val="26"/>
          <w:lang w:bidi="he-IL"/>
        </w:rPr>
        <w:t>.</w:t>
      </w:r>
      <w:r w:rsidR="008515BC" w:rsidRPr="00D4590B">
        <w:rPr>
          <w:sz w:val="26"/>
          <w:szCs w:val="26"/>
          <w:lang w:bidi="he-IL"/>
        </w:rPr>
        <w:t xml:space="preserve"> </w:t>
      </w:r>
      <w:r w:rsidR="00F01F08" w:rsidRPr="00D4590B">
        <w:rPr>
          <w:sz w:val="26"/>
          <w:szCs w:val="26"/>
          <w:lang w:bidi="he-IL"/>
        </w:rPr>
        <w:t>This is</w:t>
      </w:r>
      <w:r w:rsidR="00701395" w:rsidRPr="00D4590B">
        <w:rPr>
          <w:sz w:val="26"/>
          <w:szCs w:val="26"/>
          <w:lang w:bidi="he-IL"/>
        </w:rPr>
        <w:t xml:space="preserve"> surely</w:t>
      </w:r>
      <w:r w:rsidR="00A827A1" w:rsidRPr="00D4590B">
        <w:rPr>
          <w:sz w:val="26"/>
          <w:szCs w:val="26"/>
          <w:lang w:bidi="he-IL"/>
        </w:rPr>
        <w:t xml:space="preserve"> more than a matter</w:t>
      </w:r>
      <w:r w:rsidR="00622646" w:rsidRPr="00D4590B">
        <w:rPr>
          <w:sz w:val="26"/>
          <w:szCs w:val="26"/>
          <w:lang w:bidi="he-IL"/>
        </w:rPr>
        <w:t xml:space="preserve"> of Ibn </w:t>
      </w:r>
      <w:proofErr w:type="spellStart"/>
      <w:r w:rsidR="00622646" w:rsidRPr="00D4590B">
        <w:rPr>
          <w:sz w:val="26"/>
          <w:szCs w:val="26"/>
          <w:lang w:bidi="he-IL"/>
        </w:rPr>
        <w:t>Janah</w:t>
      </w:r>
      <w:proofErr w:type="spellEnd"/>
      <w:r w:rsidR="00622646" w:rsidRPr="00D4590B">
        <w:rPr>
          <w:sz w:val="26"/>
          <w:szCs w:val="26"/>
          <w:lang w:bidi="he-IL"/>
        </w:rPr>
        <w:t>’s position having been</w:t>
      </w:r>
      <w:r w:rsidR="00F01F08" w:rsidRPr="00D4590B">
        <w:rPr>
          <w:sz w:val="26"/>
          <w:szCs w:val="26"/>
          <w:lang w:bidi="he-IL"/>
        </w:rPr>
        <w:t xml:space="preserve"> “considered similarly in both places</w:t>
      </w:r>
      <w:r w:rsidR="00701395" w:rsidRPr="00D4590B">
        <w:rPr>
          <w:sz w:val="26"/>
          <w:szCs w:val="26"/>
          <w:lang w:bidi="he-IL"/>
        </w:rPr>
        <w:t>”: if</w:t>
      </w:r>
      <w:r w:rsidR="00975572" w:rsidRPr="00D4590B">
        <w:rPr>
          <w:sz w:val="26"/>
          <w:szCs w:val="26"/>
          <w:lang w:bidi="he-IL"/>
        </w:rPr>
        <w:t xml:space="preserve"> </w:t>
      </w:r>
      <w:proofErr w:type="spellStart"/>
      <w:r w:rsidR="00701395" w:rsidRPr="00D4590B">
        <w:rPr>
          <w:sz w:val="26"/>
          <w:szCs w:val="26"/>
          <w:lang w:bidi="he-IL"/>
        </w:rPr>
        <w:t>Radak</w:t>
      </w:r>
      <w:proofErr w:type="spellEnd"/>
      <w:r w:rsidR="00701395" w:rsidRPr="00D4590B">
        <w:rPr>
          <w:sz w:val="26"/>
          <w:szCs w:val="26"/>
          <w:lang w:bidi="he-IL"/>
        </w:rPr>
        <w:t xml:space="preserve"> is not the author of </w:t>
      </w:r>
      <w:r w:rsidR="00975572" w:rsidRPr="00D4590B">
        <w:rPr>
          <w:sz w:val="26"/>
          <w:szCs w:val="26"/>
          <w:lang w:bidi="he-IL"/>
        </w:rPr>
        <w:t>the Proverbs commentary</w:t>
      </w:r>
      <w:r w:rsidR="00C814CA" w:rsidRPr="00D4590B">
        <w:rPr>
          <w:sz w:val="26"/>
          <w:szCs w:val="26"/>
          <w:lang w:bidi="he-IL"/>
        </w:rPr>
        <w:t xml:space="preserve">, this comment on </w:t>
      </w:r>
      <w:smartTag w:uri="urn:schemas-microsoft-com:office:smarttags" w:element="time">
        <w:smartTagPr>
          <w:attr w:name="Minute" w:val="19"/>
          <w:attr w:name="Hour" w:val="5"/>
        </w:smartTagPr>
        <w:r w:rsidR="00C814CA" w:rsidRPr="00D4590B">
          <w:rPr>
            <w:sz w:val="26"/>
            <w:szCs w:val="26"/>
            <w:lang w:bidi="he-IL"/>
          </w:rPr>
          <w:t>5:19</w:t>
        </w:r>
      </w:smartTag>
      <w:r w:rsidR="00C814CA" w:rsidRPr="00D4590B">
        <w:rPr>
          <w:sz w:val="26"/>
          <w:szCs w:val="26"/>
          <w:lang w:bidi="he-IL"/>
        </w:rPr>
        <w:t>-20</w:t>
      </w:r>
      <w:r w:rsidR="00D31F19" w:rsidRPr="00D4590B">
        <w:rPr>
          <w:sz w:val="26"/>
          <w:szCs w:val="26"/>
          <w:lang w:bidi="he-IL"/>
        </w:rPr>
        <w:t xml:space="preserve"> could only</w:t>
      </w:r>
      <w:r w:rsidR="007B5E3C" w:rsidRPr="00D4590B">
        <w:rPr>
          <w:sz w:val="26"/>
          <w:szCs w:val="26"/>
          <w:lang w:bidi="he-IL"/>
        </w:rPr>
        <w:t xml:space="preserve"> be described as a systematic adaptation of </w:t>
      </w:r>
      <w:r w:rsidR="007B5E3C" w:rsidRPr="00D4590B">
        <w:rPr>
          <w:i/>
          <w:iCs/>
          <w:sz w:val="26"/>
          <w:szCs w:val="26"/>
          <w:lang w:bidi="he-IL"/>
        </w:rPr>
        <w:t>Shorashim</w:t>
      </w:r>
      <w:r w:rsidR="007B5E3C" w:rsidRPr="00D4590B">
        <w:rPr>
          <w:sz w:val="26"/>
          <w:szCs w:val="26"/>
          <w:lang w:bidi="he-IL"/>
        </w:rPr>
        <w:t xml:space="preserve"> without any form of acknowledgment.</w:t>
      </w:r>
      <w:r w:rsidR="00E520DB" w:rsidRPr="00D4590B">
        <w:rPr>
          <w:sz w:val="26"/>
          <w:szCs w:val="26"/>
          <w:lang w:bidi="he-IL"/>
        </w:rPr>
        <w:t xml:space="preserve"> </w:t>
      </w:r>
      <w:r w:rsidR="002B14C7" w:rsidRPr="00D4590B">
        <w:rPr>
          <w:sz w:val="26"/>
          <w:szCs w:val="26"/>
          <w:lang w:bidi="he-IL"/>
        </w:rPr>
        <w:t>And n</w:t>
      </w:r>
      <w:r w:rsidR="00EA5A52" w:rsidRPr="00D4590B">
        <w:rPr>
          <w:sz w:val="26"/>
          <w:szCs w:val="26"/>
          <w:lang w:bidi="he-IL"/>
        </w:rPr>
        <w:t xml:space="preserve">otwithstanding the author’s </w:t>
      </w:r>
      <w:r w:rsidR="00EA5A52" w:rsidRPr="00D4590B">
        <w:rPr>
          <w:sz w:val="26"/>
          <w:szCs w:val="26"/>
          <w:lang w:bidi="he-IL"/>
        </w:rPr>
        <w:lastRenderedPageBreak/>
        <w:t>preference for anonymity</w:t>
      </w:r>
      <w:r w:rsidR="002B14C7" w:rsidRPr="00D4590B">
        <w:rPr>
          <w:sz w:val="26"/>
          <w:szCs w:val="26"/>
          <w:lang w:bidi="he-IL"/>
        </w:rPr>
        <w:t>, there is no borrowing</w:t>
      </w:r>
      <w:r w:rsidR="00EA5A52" w:rsidRPr="00D4590B">
        <w:rPr>
          <w:sz w:val="26"/>
          <w:szCs w:val="26"/>
          <w:lang w:bidi="he-IL"/>
        </w:rPr>
        <w:t xml:space="preserve"> of this s</w:t>
      </w:r>
      <w:r w:rsidR="002B14C7" w:rsidRPr="00D4590B">
        <w:rPr>
          <w:sz w:val="26"/>
          <w:szCs w:val="26"/>
          <w:lang w:bidi="he-IL"/>
        </w:rPr>
        <w:t>cale elsewhere in the work</w:t>
      </w:r>
      <w:r w:rsidR="00F021BB" w:rsidRPr="00D4590B">
        <w:rPr>
          <w:sz w:val="26"/>
          <w:szCs w:val="26"/>
          <w:lang w:bidi="he-IL"/>
        </w:rPr>
        <w:t>,</w:t>
      </w:r>
      <w:r w:rsidR="002B14C7" w:rsidRPr="00D4590B">
        <w:rPr>
          <w:sz w:val="26"/>
          <w:szCs w:val="26"/>
          <w:lang w:bidi="he-IL"/>
        </w:rPr>
        <w:t xml:space="preserve"> acknowledged or not.</w:t>
      </w:r>
      <w:r w:rsidR="003A6427" w:rsidRPr="00D4590B">
        <w:rPr>
          <w:rStyle w:val="a4"/>
          <w:sz w:val="26"/>
          <w:szCs w:val="26"/>
          <w:lang w:bidi="he-IL"/>
        </w:rPr>
        <w:footnoteReference w:id="44"/>
      </w:r>
    </w:p>
    <w:p w:rsidR="00975572" w:rsidRPr="00D4590B" w:rsidRDefault="00975572" w:rsidP="00DB47FA">
      <w:pPr>
        <w:spacing w:line="300" w:lineRule="exact"/>
        <w:ind w:firstLine="284"/>
        <w:jc w:val="both"/>
        <w:rPr>
          <w:sz w:val="26"/>
          <w:szCs w:val="26"/>
          <w:lang w:bidi="he-IL"/>
        </w:rPr>
      </w:pPr>
      <w:r w:rsidRPr="00D4590B">
        <w:rPr>
          <w:sz w:val="26"/>
          <w:szCs w:val="26"/>
          <w:lang w:bidi="he-IL"/>
        </w:rPr>
        <w:t xml:space="preserve">What is more, the phrase </w:t>
      </w:r>
      <w:r w:rsidRPr="00D4590B">
        <w:rPr>
          <w:rFonts w:hint="cs"/>
          <w:sz w:val="26"/>
          <w:szCs w:val="26"/>
          <w:rtl/>
          <w:lang w:bidi="he-IL"/>
        </w:rPr>
        <w:t>וכונת המחבר לשני הענינים</w:t>
      </w:r>
      <w:r w:rsidRPr="00D4590B">
        <w:rPr>
          <w:sz w:val="26"/>
          <w:szCs w:val="26"/>
          <w:lang w:bidi="he-IL"/>
        </w:rPr>
        <w:t xml:space="preserve"> in </w:t>
      </w:r>
      <w:r w:rsidRPr="00D4590B">
        <w:rPr>
          <w:i/>
          <w:iCs/>
          <w:sz w:val="26"/>
          <w:szCs w:val="26"/>
          <w:lang w:bidi="he-IL"/>
        </w:rPr>
        <w:t>Shorashim</w:t>
      </w:r>
      <w:r w:rsidRPr="00D4590B">
        <w:rPr>
          <w:sz w:val="26"/>
          <w:szCs w:val="26"/>
          <w:lang w:bidi="he-IL"/>
        </w:rPr>
        <w:t>, which parallels</w:t>
      </w:r>
      <w:r w:rsidR="00DB47FA">
        <w:rPr>
          <w:sz w:val="26"/>
          <w:szCs w:val="26"/>
          <w:lang w:bidi="he-IL"/>
        </w:rPr>
        <w:t xml:space="preserve"> </w:t>
      </w:r>
      <w:r w:rsidRPr="00D4590B">
        <w:rPr>
          <w:rFonts w:hint="cs"/>
          <w:sz w:val="26"/>
          <w:szCs w:val="26"/>
          <w:rtl/>
          <w:lang w:bidi="he-IL"/>
        </w:rPr>
        <w:t>ואפשר שמחבר הספר חברו על שתי הכונות</w:t>
      </w:r>
      <w:r w:rsidRPr="00D4590B">
        <w:rPr>
          <w:sz w:val="26"/>
          <w:szCs w:val="26"/>
          <w:lang w:bidi="he-IL"/>
        </w:rPr>
        <w:t xml:space="preserve"> in the comment on Proverbs,</w:t>
      </w:r>
      <w:r w:rsidR="00583293" w:rsidRPr="00D4590B">
        <w:rPr>
          <w:rStyle w:val="a4"/>
          <w:sz w:val="26"/>
          <w:szCs w:val="26"/>
          <w:lang w:bidi="he-IL"/>
        </w:rPr>
        <w:footnoteReference w:id="45"/>
      </w:r>
      <w:r w:rsidRPr="00D4590B">
        <w:rPr>
          <w:i/>
          <w:iCs/>
          <w:sz w:val="26"/>
          <w:szCs w:val="26"/>
          <w:lang w:bidi="he-IL"/>
        </w:rPr>
        <w:t xml:space="preserve"> </w:t>
      </w:r>
      <w:r w:rsidRPr="00D4590B">
        <w:rPr>
          <w:sz w:val="26"/>
          <w:szCs w:val="26"/>
          <w:lang w:bidi="he-IL"/>
        </w:rPr>
        <w:t xml:space="preserve">recalls a similar phrase cited above in the introduction to the commentary: </w:t>
      </w:r>
      <w:r w:rsidRPr="00D4590B">
        <w:rPr>
          <w:rFonts w:hint="cs"/>
          <w:sz w:val="26"/>
          <w:szCs w:val="26"/>
          <w:rtl/>
          <w:lang w:bidi="he-IL"/>
        </w:rPr>
        <w:t>כפי הכונה האחת משתי הכונות שחברו שלמה ע"ה</w:t>
      </w:r>
      <w:r w:rsidRPr="00D4590B">
        <w:rPr>
          <w:sz w:val="26"/>
          <w:szCs w:val="26"/>
          <w:lang w:bidi="he-IL"/>
        </w:rPr>
        <w:t>.</w:t>
      </w:r>
      <w:r w:rsidR="00B01BE0">
        <w:rPr>
          <w:sz w:val="26"/>
          <w:szCs w:val="26"/>
          <w:lang w:bidi="he-IL"/>
        </w:rPr>
        <w:t xml:space="preserve"> </w:t>
      </w:r>
      <w:r w:rsidRPr="00D4590B">
        <w:rPr>
          <w:sz w:val="26"/>
          <w:szCs w:val="26"/>
          <w:lang w:bidi="he-IL"/>
        </w:rPr>
        <w:t>All of these formulations allude to the book’s two intended layers of meaning—the literal one a</w:t>
      </w:r>
      <w:r w:rsidR="007A2325" w:rsidRPr="00D4590B">
        <w:rPr>
          <w:sz w:val="26"/>
          <w:szCs w:val="26"/>
          <w:lang w:bidi="he-IL"/>
        </w:rPr>
        <w:t>nd the metaphoric one.</w:t>
      </w:r>
      <w:r w:rsidR="008515BC" w:rsidRPr="00D4590B">
        <w:rPr>
          <w:sz w:val="26"/>
          <w:szCs w:val="26"/>
          <w:lang w:bidi="he-IL"/>
        </w:rPr>
        <w:t xml:space="preserve"> </w:t>
      </w:r>
      <w:r w:rsidR="007A2325" w:rsidRPr="00D4590B">
        <w:rPr>
          <w:sz w:val="26"/>
          <w:szCs w:val="26"/>
          <w:lang w:bidi="he-IL"/>
        </w:rPr>
        <w:t xml:space="preserve">Indeed, </w:t>
      </w:r>
      <w:r w:rsidRPr="00D4590B">
        <w:rPr>
          <w:sz w:val="26"/>
          <w:szCs w:val="26"/>
          <w:lang w:bidi="he-IL"/>
        </w:rPr>
        <w:t>this duality informs the author’s fundamental approach to Proverbs, even if his primary objective is to explain the text’s literal meaning specifically.</w:t>
      </w:r>
      <w:r w:rsidRPr="00D4590B">
        <w:rPr>
          <w:rStyle w:val="a4"/>
          <w:sz w:val="26"/>
          <w:szCs w:val="26"/>
          <w:lang w:bidi="he-IL"/>
        </w:rPr>
        <w:footnoteReference w:id="46"/>
      </w:r>
      <w:r w:rsidR="00B01BE0">
        <w:rPr>
          <w:sz w:val="26"/>
          <w:szCs w:val="26"/>
          <w:lang w:bidi="he-IL"/>
        </w:rPr>
        <w:t xml:space="preserve"> </w:t>
      </w:r>
      <w:r w:rsidRPr="00D4590B">
        <w:rPr>
          <w:sz w:val="26"/>
          <w:szCs w:val="26"/>
          <w:lang w:bidi="he-IL"/>
        </w:rPr>
        <w:t xml:space="preserve">If the comment at </w:t>
      </w:r>
      <w:smartTag w:uri="urn:schemas-microsoft-com:office:smarttags" w:element="time">
        <w:smartTagPr>
          <w:attr w:name="Minute" w:val="19"/>
          <w:attr w:name="Hour" w:val="5"/>
        </w:smartTagPr>
        <w:r w:rsidRPr="00D4590B">
          <w:rPr>
            <w:sz w:val="26"/>
            <w:szCs w:val="26"/>
            <w:lang w:bidi="he-IL"/>
          </w:rPr>
          <w:t>5:19</w:t>
        </w:r>
      </w:smartTag>
      <w:r w:rsidRPr="00D4590B">
        <w:rPr>
          <w:sz w:val="26"/>
          <w:szCs w:val="26"/>
          <w:lang w:bidi="he-IL"/>
        </w:rPr>
        <w:t>-20</w:t>
      </w:r>
      <w:r w:rsidR="004D504E" w:rsidRPr="00D4590B">
        <w:rPr>
          <w:sz w:val="26"/>
          <w:szCs w:val="26"/>
          <w:lang w:bidi="he-IL"/>
        </w:rPr>
        <w:t xml:space="preserve"> </w:t>
      </w:r>
      <w:r w:rsidRPr="00D4590B">
        <w:rPr>
          <w:sz w:val="26"/>
          <w:szCs w:val="26"/>
          <w:lang w:bidi="he-IL"/>
        </w:rPr>
        <w:t xml:space="preserve">is really another author’s adaptation of </w:t>
      </w:r>
      <w:r w:rsidRPr="00D4590B">
        <w:rPr>
          <w:i/>
          <w:iCs/>
          <w:sz w:val="26"/>
          <w:szCs w:val="26"/>
          <w:lang w:bidi="he-IL"/>
        </w:rPr>
        <w:t>Shorashim</w:t>
      </w:r>
      <w:r w:rsidRPr="00D4590B">
        <w:rPr>
          <w:sz w:val="26"/>
          <w:szCs w:val="26"/>
          <w:lang w:bidi="he-IL"/>
        </w:rPr>
        <w:t xml:space="preserve">, it would appear to follow that without attribution, this author derived from this </w:t>
      </w:r>
      <w:r w:rsidRPr="00D4590B">
        <w:rPr>
          <w:i/>
          <w:iCs/>
          <w:sz w:val="26"/>
          <w:szCs w:val="26"/>
          <w:lang w:bidi="he-IL"/>
        </w:rPr>
        <w:t>one</w:t>
      </w:r>
      <w:r w:rsidRPr="00D4590B">
        <w:rPr>
          <w:sz w:val="26"/>
          <w:szCs w:val="26"/>
          <w:lang w:bidi="he-IL"/>
        </w:rPr>
        <w:t xml:space="preserve"> entry in </w:t>
      </w:r>
      <w:r w:rsidRPr="00D4590B">
        <w:rPr>
          <w:i/>
          <w:iCs/>
          <w:sz w:val="26"/>
          <w:szCs w:val="26"/>
          <w:lang w:bidi="he-IL"/>
        </w:rPr>
        <w:t>Shorashim</w:t>
      </w:r>
      <w:r w:rsidRPr="00D4590B">
        <w:rPr>
          <w:sz w:val="26"/>
          <w:szCs w:val="26"/>
          <w:lang w:bidi="he-IL"/>
        </w:rPr>
        <w:t xml:space="preserve"> the distinctive language by which he characterizes his dual approach </w:t>
      </w:r>
      <w:r w:rsidRPr="00D4590B">
        <w:rPr>
          <w:i/>
          <w:iCs/>
          <w:sz w:val="26"/>
          <w:szCs w:val="26"/>
          <w:lang w:bidi="he-IL"/>
        </w:rPr>
        <w:t xml:space="preserve">to the entire </w:t>
      </w:r>
      <w:r w:rsidR="00E520DB" w:rsidRPr="00D4590B">
        <w:rPr>
          <w:i/>
          <w:iCs/>
          <w:sz w:val="26"/>
          <w:szCs w:val="26"/>
          <w:lang w:bidi="he-IL"/>
        </w:rPr>
        <w:t xml:space="preserve">Book </w:t>
      </w:r>
      <w:r w:rsidRPr="00D4590B">
        <w:rPr>
          <w:i/>
          <w:iCs/>
          <w:sz w:val="26"/>
          <w:szCs w:val="26"/>
          <w:lang w:bidi="he-IL"/>
        </w:rPr>
        <w:t>of Proverbs</w:t>
      </w:r>
      <w:r w:rsidRPr="00D4590B">
        <w:rPr>
          <w:sz w:val="26"/>
          <w:szCs w:val="26"/>
          <w:lang w:bidi="he-IL"/>
        </w:rPr>
        <w:t>.</w:t>
      </w:r>
      <w:r w:rsidRPr="00D4590B">
        <w:rPr>
          <w:rStyle w:val="a4"/>
          <w:sz w:val="26"/>
          <w:szCs w:val="26"/>
          <w:lang w:bidi="he-IL"/>
        </w:rPr>
        <w:footnoteReference w:id="47"/>
      </w:r>
      <w:r w:rsidR="00B01BE0">
        <w:rPr>
          <w:sz w:val="26"/>
          <w:szCs w:val="26"/>
          <w:lang w:bidi="he-IL"/>
        </w:rPr>
        <w:t xml:space="preserve"> </w:t>
      </w:r>
      <w:r w:rsidRPr="00D4590B">
        <w:rPr>
          <w:sz w:val="26"/>
          <w:szCs w:val="26"/>
          <w:lang w:bidi="he-IL"/>
        </w:rPr>
        <w:t>There seems to be only one remotely credible alternative to this most unlikely conclusion.</w:t>
      </w:r>
      <w:r w:rsidR="008515BC" w:rsidRPr="00D4590B">
        <w:rPr>
          <w:sz w:val="26"/>
          <w:szCs w:val="26"/>
          <w:lang w:bidi="he-IL"/>
        </w:rPr>
        <w:t xml:space="preserve"> </w:t>
      </w:r>
      <w:r w:rsidRPr="00D4590B">
        <w:rPr>
          <w:sz w:val="26"/>
          <w:szCs w:val="26"/>
          <w:lang w:bidi="he-IL"/>
        </w:rPr>
        <w:t xml:space="preserve">That is, one might speculate that this terminology was more widely employed by </w:t>
      </w:r>
      <w:proofErr w:type="spellStart"/>
      <w:r w:rsidRPr="00D4590B">
        <w:rPr>
          <w:sz w:val="26"/>
          <w:szCs w:val="26"/>
          <w:lang w:bidi="he-IL"/>
        </w:rPr>
        <w:t>Radak</w:t>
      </w:r>
      <w:proofErr w:type="spellEnd"/>
      <w:r w:rsidRPr="00D4590B">
        <w:rPr>
          <w:sz w:val="26"/>
          <w:szCs w:val="26"/>
          <w:lang w:bidi="he-IL"/>
        </w:rPr>
        <w:t xml:space="preserve"> (or another figure within the same exegetical tradition) either orally or in writings no longer extant, so that it was not exclusively </w:t>
      </w:r>
      <w:r w:rsidRPr="00D4590B">
        <w:rPr>
          <w:i/>
          <w:iCs/>
          <w:sz w:val="26"/>
          <w:szCs w:val="26"/>
          <w:lang w:bidi="he-IL"/>
        </w:rPr>
        <w:t>Shorashim</w:t>
      </w:r>
      <w:r w:rsidRPr="00D4590B">
        <w:rPr>
          <w:sz w:val="26"/>
          <w:szCs w:val="26"/>
          <w:lang w:bidi="he-IL"/>
        </w:rPr>
        <w:t xml:space="preserve"> that </w:t>
      </w:r>
      <w:r w:rsidRPr="00D4590B">
        <w:rPr>
          <w:sz w:val="26"/>
          <w:szCs w:val="26"/>
          <w:lang w:bidi="he-IL"/>
        </w:rPr>
        <w:lastRenderedPageBreak/>
        <w:t xml:space="preserve">served as the Proverbs commentator’s </w:t>
      </w:r>
      <w:r w:rsidR="002C1A77" w:rsidRPr="00D4590B">
        <w:rPr>
          <w:sz w:val="26"/>
          <w:szCs w:val="26"/>
          <w:lang w:bidi="he-IL"/>
        </w:rPr>
        <w:t>source.</w:t>
      </w:r>
      <w:r w:rsidR="00E03A85" w:rsidRPr="00D4590B">
        <w:rPr>
          <w:sz w:val="26"/>
          <w:szCs w:val="26"/>
          <w:lang w:bidi="he-IL"/>
        </w:rPr>
        <w:t xml:space="preserve"> </w:t>
      </w:r>
      <w:r w:rsidR="002C1A77" w:rsidRPr="00D4590B">
        <w:rPr>
          <w:sz w:val="26"/>
          <w:szCs w:val="26"/>
          <w:lang w:bidi="he-IL"/>
        </w:rPr>
        <w:t>The far more persuasive option, of course,</w:t>
      </w:r>
      <w:r w:rsidRPr="00D4590B">
        <w:rPr>
          <w:sz w:val="26"/>
          <w:szCs w:val="26"/>
          <w:lang w:bidi="he-IL"/>
        </w:rPr>
        <w:t xml:space="preserve"> </w:t>
      </w:r>
      <w:r w:rsidR="002C1A77" w:rsidRPr="00D4590B">
        <w:rPr>
          <w:sz w:val="26"/>
          <w:szCs w:val="26"/>
          <w:lang w:bidi="he-IL"/>
        </w:rPr>
        <w:t xml:space="preserve">remains that </w:t>
      </w:r>
      <w:proofErr w:type="spellStart"/>
      <w:r w:rsidRPr="00D4590B">
        <w:rPr>
          <w:sz w:val="26"/>
          <w:szCs w:val="26"/>
          <w:lang w:bidi="he-IL"/>
        </w:rPr>
        <w:t>Radak</w:t>
      </w:r>
      <w:proofErr w:type="spellEnd"/>
      <w:r w:rsidRPr="00D4590B">
        <w:rPr>
          <w:sz w:val="26"/>
          <w:szCs w:val="26"/>
          <w:lang w:bidi="he-IL"/>
        </w:rPr>
        <w:t xml:space="preserve"> himself composed the </w:t>
      </w:r>
      <w:r w:rsidR="004E7991">
        <w:rPr>
          <w:sz w:val="26"/>
          <w:szCs w:val="26"/>
          <w:lang w:bidi="he-IL"/>
        </w:rPr>
        <w:t>commentary on</w:t>
      </w:r>
      <w:r w:rsidRPr="00D4590B">
        <w:rPr>
          <w:sz w:val="26"/>
          <w:szCs w:val="26"/>
          <w:lang w:bidi="he-IL"/>
        </w:rPr>
        <w:t xml:space="preserve"> Proverbs.</w:t>
      </w:r>
    </w:p>
    <w:p w:rsidR="00E663C7" w:rsidRDefault="00E663C7" w:rsidP="00D4590B">
      <w:pPr>
        <w:spacing w:line="300" w:lineRule="exact"/>
        <w:jc w:val="both"/>
        <w:rPr>
          <w:rFonts w:hint="cs"/>
          <w:i/>
          <w:iCs/>
          <w:sz w:val="26"/>
          <w:szCs w:val="26"/>
          <w:rtl/>
          <w:lang w:bidi="he-IL"/>
        </w:rPr>
      </w:pPr>
    </w:p>
    <w:p w:rsidR="00975572" w:rsidRPr="00D4590B" w:rsidRDefault="00975572" w:rsidP="00D4590B">
      <w:pPr>
        <w:spacing w:line="300" w:lineRule="exact"/>
        <w:jc w:val="both"/>
        <w:rPr>
          <w:sz w:val="26"/>
          <w:szCs w:val="26"/>
          <w:lang w:bidi="he-IL"/>
        </w:rPr>
      </w:pPr>
      <w:r w:rsidRPr="00D4590B">
        <w:rPr>
          <w:i/>
          <w:iCs/>
          <w:sz w:val="26"/>
          <w:szCs w:val="26"/>
          <w:lang w:bidi="he-IL"/>
        </w:rPr>
        <w:t xml:space="preserve">The Evidence of </w:t>
      </w:r>
      <w:proofErr w:type="spellStart"/>
      <w:r w:rsidR="007A3284" w:rsidRPr="00D4590B">
        <w:rPr>
          <w:sz w:val="26"/>
          <w:szCs w:val="26"/>
          <w:lang w:bidi="he-IL"/>
        </w:rPr>
        <w:t>Qav</w:t>
      </w:r>
      <w:proofErr w:type="spellEnd"/>
      <w:r w:rsidR="007A3284" w:rsidRPr="00D4590B">
        <w:rPr>
          <w:sz w:val="26"/>
          <w:szCs w:val="26"/>
          <w:lang w:bidi="he-IL"/>
        </w:rPr>
        <w:t xml:space="preserve"> </w:t>
      </w:r>
      <w:proofErr w:type="spellStart"/>
      <w:r w:rsidR="007A3284" w:rsidRPr="00D4590B">
        <w:rPr>
          <w:sz w:val="26"/>
          <w:szCs w:val="26"/>
          <w:lang w:bidi="he-IL"/>
        </w:rPr>
        <w:t>ve</w:t>
      </w:r>
      <w:proofErr w:type="spellEnd"/>
      <w:r w:rsidR="007A3284" w:rsidRPr="00D4590B">
        <w:rPr>
          <w:sz w:val="26"/>
          <w:szCs w:val="26"/>
          <w:lang w:bidi="he-IL"/>
        </w:rPr>
        <w:t>-Naq</w:t>
      </w:r>
      <w:r w:rsidRPr="00D4590B">
        <w:rPr>
          <w:sz w:val="26"/>
          <w:szCs w:val="26"/>
          <w:lang w:bidi="he-IL"/>
        </w:rPr>
        <w:t>i</w:t>
      </w:r>
    </w:p>
    <w:p w:rsidR="00975572" w:rsidRPr="00D4590B" w:rsidRDefault="00975572" w:rsidP="00D4590B">
      <w:pPr>
        <w:spacing w:line="300" w:lineRule="exact"/>
        <w:jc w:val="both"/>
        <w:rPr>
          <w:sz w:val="26"/>
          <w:szCs w:val="26"/>
        </w:rPr>
      </w:pPr>
      <w:r w:rsidRPr="00D4590B">
        <w:rPr>
          <w:sz w:val="26"/>
          <w:szCs w:val="26"/>
          <w:lang w:bidi="he-IL"/>
        </w:rPr>
        <w:t>Before assess</w:t>
      </w:r>
      <w:r w:rsidR="00F36729" w:rsidRPr="00D4590B">
        <w:rPr>
          <w:sz w:val="26"/>
          <w:szCs w:val="26"/>
          <w:lang w:bidi="he-IL"/>
        </w:rPr>
        <w:t>ing</w:t>
      </w:r>
      <w:r w:rsidRPr="00D4590B">
        <w:rPr>
          <w:sz w:val="26"/>
          <w:szCs w:val="26"/>
          <w:lang w:bidi="he-IL"/>
        </w:rPr>
        <w:t xml:space="preserve"> further similarities between the Proverbs commentary and </w:t>
      </w:r>
      <w:proofErr w:type="spellStart"/>
      <w:r w:rsidRPr="00D4590B">
        <w:rPr>
          <w:sz w:val="26"/>
          <w:szCs w:val="26"/>
          <w:lang w:bidi="he-IL"/>
        </w:rPr>
        <w:t>Radak’s</w:t>
      </w:r>
      <w:proofErr w:type="spellEnd"/>
      <w:r w:rsidRPr="00D4590B">
        <w:rPr>
          <w:sz w:val="26"/>
          <w:szCs w:val="26"/>
          <w:lang w:bidi="he-IL"/>
        </w:rPr>
        <w:t xml:space="preserve"> writings, we </w:t>
      </w:r>
      <w:r w:rsidR="00F36729" w:rsidRPr="00D4590B">
        <w:rPr>
          <w:sz w:val="26"/>
          <w:szCs w:val="26"/>
          <w:lang w:bidi="he-IL"/>
        </w:rPr>
        <w:t>now</w:t>
      </w:r>
      <w:r w:rsidR="00675317" w:rsidRPr="00D4590B">
        <w:rPr>
          <w:sz w:val="26"/>
          <w:szCs w:val="26"/>
          <w:lang w:bidi="he-IL"/>
        </w:rPr>
        <w:t xml:space="preserve"> </w:t>
      </w:r>
      <w:r w:rsidRPr="00D4590B">
        <w:rPr>
          <w:sz w:val="26"/>
          <w:szCs w:val="26"/>
          <w:lang w:bidi="he-IL"/>
        </w:rPr>
        <w:t>turn our attention to one proof of a different sort.</w:t>
      </w:r>
      <w:r w:rsidR="008515BC" w:rsidRPr="00D4590B">
        <w:rPr>
          <w:sz w:val="26"/>
          <w:szCs w:val="26"/>
          <w:lang w:bidi="he-IL"/>
        </w:rPr>
        <w:t xml:space="preserve"> </w:t>
      </w:r>
      <w:r w:rsidRPr="00D4590B">
        <w:rPr>
          <w:sz w:val="26"/>
          <w:szCs w:val="26"/>
          <w:lang w:bidi="he-IL"/>
        </w:rPr>
        <w:t xml:space="preserve">Talmage attempted to add credibility to the claim that </w:t>
      </w:r>
      <w:proofErr w:type="spellStart"/>
      <w:r w:rsidRPr="00D4590B">
        <w:rPr>
          <w:sz w:val="26"/>
          <w:szCs w:val="26"/>
          <w:lang w:bidi="he-IL"/>
        </w:rPr>
        <w:t>Radak</w:t>
      </w:r>
      <w:proofErr w:type="spellEnd"/>
      <w:r w:rsidRPr="00D4590B">
        <w:rPr>
          <w:sz w:val="26"/>
          <w:szCs w:val="26"/>
          <w:lang w:bidi="he-IL"/>
        </w:rPr>
        <w:t xml:space="preserve"> composed a </w:t>
      </w:r>
      <w:r w:rsidR="004E7991">
        <w:rPr>
          <w:sz w:val="26"/>
          <w:szCs w:val="26"/>
          <w:lang w:bidi="he-IL"/>
        </w:rPr>
        <w:t>commentary on</w:t>
      </w:r>
      <w:r w:rsidRPr="00D4590B">
        <w:rPr>
          <w:sz w:val="26"/>
          <w:szCs w:val="26"/>
          <w:lang w:bidi="he-IL"/>
        </w:rPr>
        <w:t xml:space="preserve"> Proverbs, based on the testimony of three later figures: Ibn </w:t>
      </w:r>
      <w:proofErr w:type="spellStart"/>
      <w:r w:rsidRPr="00D4590B">
        <w:rPr>
          <w:sz w:val="26"/>
          <w:szCs w:val="26"/>
          <w:lang w:bidi="he-IL"/>
        </w:rPr>
        <w:t>Melekh</w:t>
      </w:r>
      <w:proofErr w:type="spellEnd"/>
      <w:r w:rsidRPr="00D4590B">
        <w:rPr>
          <w:sz w:val="26"/>
          <w:szCs w:val="26"/>
          <w:lang w:bidi="he-IL"/>
        </w:rPr>
        <w:t xml:space="preserve">, R. David Ibn </w:t>
      </w:r>
      <w:proofErr w:type="spellStart"/>
      <w:r w:rsidRPr="00D4590B">
        <w:rPr>
          <w:sz w:val="26"/>
          <w:szCs w:val="26"/>
        </w:rPr>
        <w:t>Yah</w:t>
      </w:r>
      <w:r w:rsidRPr="00D4590B">
        <w:rPr>
          <w:sz w:val="26"/>
          <w:szCs w:val="26"/>
        </w:rPr>
        <w:t>ya</w:t>
      </w:r>
      <w:proofErr w:type="spellEnd"/>
      <w:r w:rsidRPr="00D4590B">
        <w:rPr>
          <w:sz w:val="26"/>
          <w:szCs w:val="26"/>
          <w:lang w:bidi="he-IL"/>
        </w:rPr>
        <w:t xml:space="preserve"> (d. 1524), and R. Gedaliah Ibn </w:t>
      </w:r>
      <w:proofErr w:type="spellStart"/>
      <w:r w:rsidRPr="00D4590B">
        <w:rPr>
          <w:sz w:val="26"/>
          <w:szCs w:val="26"/>
        </w:rPr>
        <w:t>Yah</w:t>
      </w:r>
      <w:r w:rsidRPr="00D4590B">
        <w:rPr>
          <w:sz w:val="26"/>
          <w:szCs w:val="26"/>
        </w:rPr>
        <w:t>ya</w:t>
      </w:r>
      <w:proofErr w:type="spellEnd"/>
      <w:r w:rsidRPr="00D4590B">
        <w:rPr>
          <w:sz w:val="26"/>
          <w:szCs w:val="26"/>
        </w:rPr>
        <w:t xml:space="preserve"> (1515-1587).</w:t>
      </w:r>
      <w:r w:rsidRPr="00D4590B">
        <w:rPr>
          <w:rStyle w:val="a4"/>
          <w:sz w:val="26"/>
          <w:szCs w:val="26"/>
        </w:rPr>
        <w:footnoteReference w:id="48"/>
      </w:r>
      <w:r w:rsidR="008515BC" w:rsidRPr="00D4590B">
        <w:rPr>
          <w:sz w:val="26"/>
          <w:szCs w:val="26"/>
        </w:rPr>
        <w:t xml:space="preserve"> </w:t>
      </w:r>
      <w:r w:rsidRPr="00D4590B">
        <w:rPr>
          <w:sz w:val="26"/>
          <w:szCs w:val="26"/>
        </w:rPr>
        <w:t>Grunhaus justly denies R. Gedaliah’s alleged reference to such a work.</w:t>
      </w:r>
      <w:r w:rsidRPr="00D4590B">
        <w:rPr>
          <w:rStyle w:val="a4"/>
          <w:sz w:val="26"/>
          <w:szCs w:val="26"/>
        </w:rPr>
        <w:footnoteReference w:id="49"/>
      </w:r>
      <w:r w:rsidR="008515BC" w:rsidRPr="00D4590B">
        <w:rPr>
          <w:sz w:val="26"/>
          <w:szCs w:val="26"/>
        </w:rPr>
        <w:t xml:space="preserve"> </w:t>
      </w:r>
      <w:r w:rsidR="00675317" w:rsidRPr="00D4590B">
        <w:rPr>
          <w:sz w:val="26"/>
          <w:szCs w:val="26"/>
        </w:rPr>
        <w:t>However</w:t>
      </w:r>
      <w:r w:rsidRPr="00D4590B">
        <w:rPr>
          <w:sz w:val="26"/>
          <w:szCs w:val="26"/>
        </w:rPr>
        <w:t>,</w:t>
      </w:r>
      <w:r w:rsidR="00675317" w:rsidRPr="00D4590B">
        <w:rPr>
          <w:sz w:val="26"/>
          <w:szCs w:val="26"/>
        </w:rPr>
        <w:t xml:space="preserve"> R. David’s reference</w:t>
      </w:r>
      <w:r w:rsidRPr="00D4590B">
        <w:rPr>
          <w:sz w:val="26"/>
          <w:szCs w:val="26"/>
        </w:rPr>
        <w:t xml:space="preserve"> in the introduction to his own </w:t>
      </w:r>
      <w:r w:rsidR="004E7991">
        <w:rPr>
          <w:sz w:val="26"/>
          <w:szCs w:val="26"/>
        </w:rPr>
        <w:t>commentary on</w:t>
      </w:r>
      <w:r w:rsidRPr="00D4590B">
        <w:rPr>
          <w:sz w:val="26"/>
          <w:szCs w:val="26"/>
        </w:rPr>
        <w:t xml:space="preserve"> Proverbs called </w:t>
      </w:r>
      <w:proofErr w:type="spellStart"/>
      <w:r w:rsidR="007A3284" w:rsidRPr="00D4590B">
        <w:rPr>
          <w:i/>
          <w:iCs/>
          <w:sz w:val="26"/>
          <w:szCs w:val="26"/>
        </w:rPr>
        <w:t>Qav</w:t>
      </w:r>
      <w:proofErr w:type="spellEnd"/>
      <w:r w:rsidR="007A3284" w:rsidRPr="00D4590B">
        <w:rPr>
          <w:i/>
          <w:iCs/>
          <w:sz w:val="26"/>
          <w:szCs w:val="26"/>
        </w:rPr>
        <w:t xml:space="preserve"> </w:t>
      </w:r>
      <w:proofErr w:type="spellStart"/>
      <w:r w:rsidR="007A3284" w:rsidRPr="00D4590B">
        <w:rPr>
          <w:i/>
          <w:iCs/>
          <w:sz w:val="26"/>
          <w:szCs w:val="26"/>
        </w:rPr>
        <w:t>ve</w:t>
      </w:r>
      <w:proofErr w:type="spellEnd"/>
      <w:r w:rsidR="007A3284" w:rsidRPr="00D4590B">
        <w:rPr>
          <w:i/>
          <w:iCs/>
          <w:sz w:val="26"/>
          <w:szCs w:val="26"/>
        </w:rPr>
        <w:t>-Naq</w:t>
      </w:r>
      <w:r w:rsidRPr="00D4590B">
        <w:rPr>
          <w:i/>
          <w:iCs/>
          <w:sz w:val="26"/>
          <w:szCs w:val="26"/>
        </w:rPr>
        <w:t>i</w:t>
      </w:r>
      <w:r w:rsidRPr="00D4590B">
        <w:rPr>
          <w:rStyle w:val="a4"/>
          <w:sz w:val="26"/>
          <w:szCs w:val="26"/>
        </w:rPr>
        <w:footnoteReference w:id="50"/>
      </w:r>
      <w:r w:rsidRPr="00D4590B">
        <w:rPr>
          <w:sz w:val="26"/>
          <w:szCs w:val="26"/>
        </w:rPr>
        <w:t xml:space="preserve"> is not so easily dismissed, and provides </w:t>
      </w:r>
      <w:r w:rsidR="00675317" w:rsidRPr="00D4590B">
        <w:rPr>
          <w:sz w:val="26"/>
          <w:szCs w:val="26"/>
        </w:rPr>
        <w:t xml:space="preserve">additional </w:t>
      </w:r>
      <w:r w:rsidR="00F36729" w:rsidRPr="00D4590B">
        <w:rPr>
          <w:sz w:val="26"/>
          <w:szCs w:val="26"/>
        </w:rPr>
        <w:t>evidence in favor of</w:t>
      </w:r>
      <w:r w:rsidR="00675317" w:rsidRPr="00D4590B">
        <w:rPr>
          <w:sz w:val="26"/>
          <w:szCs w:val="26"/>
        </w:rPr>
        <w:t xml:space="preserve"> </w:t>
      </w:r>
      <w:proofErr w:type="spellStart"/>
      <w:r w:rsidRPr="00D4590B">
        <w:rPr>
          <w:sz w:val="26"/>
          <w:szCs w:val="26"/>
        </w:rPr>
        <w:t>Radak’s</w:t>
      </w:r>
      <w:proofErr w:type="spellEnd"/>
      <w:r w:rsidRPr="00D4590B">
        <w:rPr>
          <w:sz w:val="26"/>
          <w:szCs w:val="26"/>
        </w:rPr>
        <w:t xml:space="preserve"> authorship of the commentary in question.</w:t>
      </w:r>
    </w:p>
    <w:p w:rsidR="00975572" w:rsidRDefault="00975572" w:rsidP="00FF0B7D">
      <w:pPr>
        <w:spacing w:line="300" w:lineRule="exact"/>
        <w:ind w:firstLine="284"/>
        <w:jc w:val="both"/>
        <w:rPr>
          <w:rFonts w:hint="cs"/>
          <w:sz w:val="26"/>
          <w:szCs w:val="26"/>
          <w:rtl/>
          <w:lang w:bidi="he-IL"/>
        </w:rPr>
      </w:pPr>
      <w:r w:rsidRPr="00D4590B">
        <w:rPr>
          <w:sz w:val="26"/>
          <w:szCs w:val="26"/>
        </w:rPr>
        <w:t xml:space="preserve">In his introduction to </w:t>
      </w:r>
      <w:proofErr w:type="spellStart"/>
      <w:r w:rsidR="007A3284" w:rsidRPr="00D4590B">
        <w:rPr>
          <w:i/>
          <w:iCs/>
          <w:sz w:val="26"/>
          <w:szCs w:val="26"/>
        </w:rPr>
        <w:t>Qav</w:t>
      </w:r>
      <w:proofErr w:type="spellEnd"/>
      <w:r w:rsidR="007A3284" w:rsidRPr="00D4590B">
        <w:rPr>
          <w:i/>
          <w:iCs/>
          <w:sz w:val="26"/>
          <w:szCs w:val="26"/>
        </w:rPr>
        <w:t xml:space="preserve"> </w:t>
      </w:r>
      <w:proofErr w:type="spellStart"/>
      <w:r w:rsidR="007A3284" w:rsidRPr="00D4590B">
        <w:rPr>
          <w:i/>
          <w:iCs/>
          <w:sz w:val="26"/>
          <w:szCs w:val="26"/>
        </w:rPr>
        <w:t>ve</w:t>
      </w:r>
      <w:proofErr w:type="spellEnd"/>
      <w:r w:rsidR="007A3284" w:rsidRPr="00D4590B">
        <w:rPr>
          <w:i/>
          <w:iCs/>
          <w:sz w:val="26"/>
          <w:szCs w:val="26"/>
        </w:rPr>
        <w:t>-Naq</w:t>
      </w:r>
      <w:r w:rsidRPr="00D4590B">
        <w:rPr>
          <w:i/>
          <w:iCs/>
          <w:sz w:val="26"/>
          <w:szCs w:val="26"/>
        </w:rPr>
        <w:t>i</w:t>
      </w:r>
      <w:r w:rsidRPr="00D4590B">
        <w:rPr>
          <w:sz w:val="26"/>
          <w:szCs w:val="26"/>
        </w:rPr>
        <w:t xml:space="preserve">, Ibn </w:t>
      </w:r>
      <w:proofErr w:type="spellStart"/>
      <w:r w:rsidRPr="00D4590B">
        <w:rPr>
          <w:sz w:val="26"/>
          <w:szCs w:val="26"/>
        </w:rPr>
        <w:t>Yah</w:t>
      </w:r>
      <w:r w:rsidRPr="00D4590B">
        <w:rPr>
          <w:sz w:val="26"/>
          <w:szCs w:val="26"/>
        </w:rPr>
        <w:t>ya</w:t>
      </w:r>
      <w:proofErr w:type="spellEnd"/>
      <w:r w:rsidRPr="00D4590B">
        <w:rPr>
          <w:sz w:val="26"/>
          <w:szCs w:val="26"/>
        </w:rPr>
        <w:t xml:space="preserve"> states that his objective is to cull material from prior works and present </w:t>
      </w:r>
      <w:r w:rsidR="00675317" w:rsidRPr="00D4590B">
        <w:rPr>
          <w:sz w:val="26"/>
          <w:szCs w:val="26"/>
        </w:rPr>
        <w:t xml:space="preserve">it </w:t>
      </w:r>
      <w:r w:rsidRPr="00D4590B">
        <w:rPr>
          <w:sz w:val="26"/>
          <w:szCs w:val="26"/>
        </w:rPr>
        <w:t xml:space="preserve">with clarity. Among rabbinic collections, these works include “the </w:t>
      </w:r>
      <w:proofErr w:type="spellStart"/>
      <w:r w:rsidRPr="00D4590B">
        <w:rPr>
          <w:i/>
          <w:iCs/>
          <w:sz w:val="26"/>
          <w:szCs w:val="26"/>
        </w:rPr>
        <w:t>Yal</w:t>
      </w:r>
      <w:r w:rsidR="00DC5E83" w:rsidRPr="00D4590B">
        <w:rPr>
          <w:i/>
          <w:iCs/>
          <w:sz w:val="26"/>
          <w:szCs w:val="26"/>
        </w:rPr>
        <w:t>q</w:t>
      </w:r>
      <w:r w:rsidRPr="00D4590B">
        <w:rPr>
          <w:i/>
          <w:iCs/>
          <w:sz w:val="26"/>
          <w:szCs w:val="26"/>
        </w:rPr>
        <w:t>ut</w:t>
      </w:r>
      <w:proofErr w:type="spellEnd"/>
      <w:r w:rsidRPr="00D4590B">
        <w:rPr>
          <w:sz w:val="26"/>
          <w:szCs w:val="26"/>
        </w:rPr>
        <w:t xml:space="preserve"> and others.”</w:t>
      </w:r>
      <w:r w:rsidR="008515BC" w:rsidRPr="00D4590B">
        <w:rPr>
          <w:sz w:val="26"/>
          <w:szCs w:val="26"/>
        </w:rPr>
        <w:t xml:space="preserve"> </w:t>
      </w:r>
      <w:r w:rsidRPr="00D4590B">
        <w:rPr>
          <w:sz w:val="26"/>
          <w:szCs w:val="26"/>
        </w:rPr>
        <w:t xml:space="preserve">As for </w:t>
      </w:r>
      <w:r w:rsidR="00206858" w:rsidRPr="00D4590B">
        <w:rPr>
          <w:sz w:val="26"/>
          <w:szCs w:val="26"/>
          <w:lang w:bidi="he-IL"/>
        </w:rPr>
        <w:t xml:space="preserve">Ibn </w:t>
      </w:r>
      <w:proofErr w:type="spellStart"/>
      <w:r w:rsidR="00206858" w:rsidRPr="00D4590B">
        <w:rPr>
          <w:sz w:val="26"/>
          <w:szCs w:val="26"/>
        </w:rPr>
        <w:t>Yah</w:t>
      </w:r>
      <w:r w:rsidR="00206858" w:rsidRPr="00D4590B">
        <w:rPr>
          <w:sz w:val="26"/>
          <w:szCs w:val="26"/>
        </w:rPr>
        <w:t>ya’s</w:t>
      </w:r>
      <w:proofErr w:type="spellEnd"/>
      <w:r w:rsidR="00206858" w:rsidRPr="00D4590B">
        <w:rPr>
          <w:sz w:val="26"/>
          <w:szCs w:val="26"/>
        </w:rPr>
        <w:t xml:space="preserve"> use of </w:t>
      </w:r>
      <w:r w:rsidRPr="00D4590B">
        <w:rPr>
          <w:sz w:val="26"/>
          <w:szCs w:val="26"/>
        </w:rPr>
        <w:t xml:space="preserve">medieval works, </w:t>
      </w:r>
      <w:r w:rsidR="00206858" w:rsidRPr="00D4590B">
        <w:rPr>
          <w:sz w:val="26"/>
          <w:szCs w:val="26"/>
        </w:rPr>
        <w:t>he provides</w:t>
      </w:r>
      <w:r w:rsidRPr="00D4590B">
        <w:rPr>
          <w:sz w:val="26"/>
          <w:szCs w:val="26"/>
        </w:rPr>
        <w:t xml:space="preserve"> the following </w:t>
      </w:r>
      <w:r w:rsidR="007C5146" w:rsidRPr="00D4590B">
        <w:rPr>
          <w:sz w:val="26"/>
          <w:szCs w:val="26"/>
        </w:rPr>
        <w:t xml:space="preserve">detailed </w:t>
      </w:r>
      <w:r w:rsidRPr="00D4590B">
        <w:rPr>
          <w:sz w:val="26"/>
          <w:szCs w:val="26"/>
        </w:rPr>
        <w:t>passage:</w:t>
      </w:r>
    </w:p>
    <w:p w:rsidR="00E663C7" w:rsidRPr="00D4590B" w:rsidRDefault="00E663C7" w:rsidP="00D4590B">
      <w:pPr>
        <w:spacing w:line="300" w:lineRule="exact"/>
        <w:ind w:firstLine="360"/>
        <w:jc w:val="both"/>
        <w:rPr>
          <w:rFonts w:hint="cs"/>
          <w:sz w:val="26"/>
          <w:szCs w:val="26"/>
          <w:lang w:bidi="he-IL"/>
        </w:rPr>
      </w:pPr>
    </w:p>
    <w:p w:rsidR="00975572" w:rsidRDefault="00975572" w:rsidP="00DB47FA">
      <w:pPr>
        <w:spacing w:line="300" w:lineRule="exact"/>
        <w:ind w:left="720"/>
        <w:jc w:val="both"/>
        <w:rPr>
          <w:rFonts w:hint="cs"/>
          <w:sz w:val="26"/>
          <w:szCs w:val="26"/>
          <w:rtl/>
          <w:lang w:bidi="he-IL"/>
        </w:rPr>
      </w:pPr>
      <w:r w:rsidRPr="00D4590B">
        <w:rPr>
          <w:sz w:val="26"/>
          <w:szCs w:val="26"/>
        </w:rPr>
        <w:t xml:space="preserve">I sought the works of the commentators, both old and new, including our teacher </w:t>
      </w:r>
      <w:proofErr w:type="spellStart"/>
      <w:r w:rsidRPr="00D4590B">
        <w:rPr>
          <w:sz w:val="26"/>
          <w:szCs w:val="26"/>
        </w:rPr>
        <w:t>Rashi</w:t>
      </w:r>
      <w:proofErr w:type="spellEnd"/>
      <w:r w:rsidRPr="00D4590B">
        <w:rPr>
          <w:sz w:val="26"/>
          <w:szCs w:val="26"/>
        </w:rPr>
        <w:t>…; …the sage R. Abraham Ibn Ezra; the masters of philology and interpreters of Scripture, the sage R. Joseph [</w:t>
      </w:r>
      <w:proofErr w:type="spellStart"/>
      <w:r w:rsidRPr="00D4590B">
        <w:rPr>
          <w:sz w:val="26"/>
          <w:szCs w:val="26"/>
        </w:rPr>
        <w:t>Kimh</w:t>
      </w:r>
      <w:r w:rsidRPr="00D4590B">
        <w:rPr>
          <w:sz w:val="26"/>
          <w:szCs w:val="26"/>
        </w:rPr>
        <w:t>i</w:t>
      </w:r>
      <w:proofErr w:type="spellEnd"/>
      <w:r w:rsidRPr="00D4590B">
        <w:rPr>
          <w:sz w:val="26"/>
          <w:szCs w:val="26"/>
        </w:rPr>
        <w:t>] and his son R. David, about whom it is said wittily, “If there is no flour (</w:t>
      </w:r>
      <w:proofErr w:type="spellStart"/>
      <w:r w:rsidR="007A3284" w:rsidRPr="00D4590B">
        <w:rPr>
          <w:i/>
          <w:iCs/>
          <w:sz w:val="26"/>
          <w:szCs w:val="26"/>
        </w:rPr>
        <w:t>q</w:t>
      </w:r>
      <w:r w:rsidRPr="00D4590B">
        <w:rPr>
          <w:i/>
          <w:iCs/>
          <w:sz w:val="26"/>
          <w:szCs w:val="26"/>
        </w:rPr>
        <w:t>emah</w:t>
      </w:r>
      <w:proofErr w:type="spellEnd"/>
      <w:r w:rsidRPr="00D4590B">
        <w:rPr>
          <w:sz w:val="26"/>
          <w:szCs w:val="26"/>
        </w:rPr>
        <w:t xml:space="preserve">) there is no Torah”; </w:t>
      </w:r>
      <w:proofErr w:type="spellStart"/>
      <w:r w:rsidRPr="00D4590B">
        <w:rPr>
          <w:sz w:val="26"/>
          <w:szCs w:val="26"/>
        </w:rPr>
        <w:t>Gersonides</w:t>
      </w:r>
      <w:proofErr w:type="spellEnd"/>
      <w:r w:rsidRPr="00D4590B">
        <w:rPr>
          <w:sz w:val="26"/>
          <w:szCs w:val="26"/>
        </w:rPr>
        <w:t xml:space="preserve">…; the sage R. </w:t>
      </w:r>
      <w:proofErr w:type="spellStart"/>
      <w:r w:rsidRPr="00D4590B">
        <w:rPr>
          <w:sz w:val="26"/>
          <w:szCs w:val="26"/>
        </w:rPr>
        <w:t>Sheshet</w:t>
      </w:r>
      <w:proofErr w:type="spellEnd"/>
      <w:r w:rsidRPr="00D4590B">
        <w:rPr>
          <w:sz w:val="26"/>
          <w:szCs w:val="26"/>
        </w:rPr>
        <w:t xml:space="preserve"> who resided in the land of Ishmael; R. Immanuel…; …the sage R. </w:t>
      </w:r>
      <w:proofErr w:type="spellStart"/>
      <w:r w:rsidRPr="00D4590B">
        <w:rPr>
          <w:sz w:val="26"/>
          <w:szCs w:val="26"/>
        </w:rPr>
        <w:t>Menah</w:t>
      </w:r>
      <w:r w:rsidRPr="00D4590B">
        <w:rPr>
          <w:sz w:val="26"/>
          <w:szCs w:val="26"/>
        </w:rPr>
        <w:t>em</w:t>
      </w:r>
      <w:proofErr w:type="spellEnd"/>
      <w:r w:rsidRPr="00D4590B">
        <w:rPr>
          <w:sz w:val="26"/>
          <w:szCs w:val="26"/>
        </w:rPr>
        <w:t xml:space="preserve"> ha-</w:t>
      </w:r>
      <w:proofErr w:type="spellStart"/>
      <w:r w:rsidRPr="00D4590B">
        <w:rPr>
          <w:sz w:val="26"/>
          <w:szCs w:val="26"/>
        </w:rPr>
        <w:t>Meiri</w:t>
      </w:r>
      <w:proofErr w:type="spellEnd"/>
      <w:r w:rsidRPr="00D4590B">
        <w:rPr>
          <w:sz w:val="26"/>
          <w:szCs w:val="26"/>
        </w:rPr>
        <w:t xml:space="preserve">…; and our master, the elder in wisdom and years of our day…the sage R. Joseph </w:t>
      </w:r>
      <w:proofErr w:type="spellStart"/>
      <w:r w:rsidR="00DB47FA" w:rsidRPr="004C2A49">
        <w:rPr>
          <w:sz w:val="26"/>
          <w:szCs w:val="26"/>
        </w:rPr>
        <w:t>H</w:t>
      </w:r>
      <w:r w:rsidR="00DB47FA" w:rsidRPr="004C2A49">
        <w:rPr>
          <w:sz w:val="26"/>
          <w:szCs w:val="26"/>
        </w:rPr>
        <w:t></w:t>
      </w:r>
      <w:r w:rsidRPr="00D4590B">
        <w:rPr>
          <w:sz w:val="26"/>
          <w:szCs w:val="26"/>
        </w:rPr>
        <w:t>ayyun</w:t>
      </w:r>
      <w:proofErr w:type="spellEnd"/>
      <w:r w:rsidRPr="00D4590B">
        <w:rPr>
          <w:sz w:val="26"/>
          <w:szCs w:val="26"/>
        </w:rPr>
        <w:t>.</w:t>
      </w:r>
    </w:p>
    <w:p w:rsidR="00E663C7" w:rsidRPr="00D4590B" w:rsidRDefault="00E663C7" w:rsidP="00D4590B">
      <w:pPr>
        <w:spacing w:line="300" w:lineRule="exact"/>
        <w:ind w:left="360" w:right="360"/>
        <w:jc w:val="both"/>
        <w:rPr>
          <w:rFonts w:hint="cs"/>
          <w:sz w:val="26"/>
          <w:szCs w:val="26"/>
          <w:lang w:bidi="he-IL"/>
        </w:rPr>
      </w:pPr>
    </w:p>
    <w:p w:rsidR="00975572" w:rsidRPr="00D4590B" w:rsidRDefault="00975572" w:rsidP="00D4590B">
      <w:pPr>
        <w:spacing w:line="300" w:lineRule="exact"/>
        <w:jc w:val="both"/>
        <w:rPr>
          <w:sz w:val="26"/>
          <w:szCs w:val="26"/>
          <w:lang w:bidi="he-IL"/>
        </w:rPr>
      </w:pPr>
      <w:r w:rsidRPr="00D4590B">
        <w:rPr>
          <w:sz w:val="26"/>
          <w:szCs w:val="26"/>
          <w:lang w:bidi="he-IL"/>
        </w:rPr>
        <w:t>Grunhaus notes</w:t>
      </w:r>
      <w:r w:rsidR="00FC3642" w:rsidRPr="00D4590B">
        <w:rPr>
          <w:sz w:val="26"/>
          <w:szCs w:val="26"/>
          <w:lang w:bidi="he-IL"/>
        </w:rPr>
        <w:t xml:space="preserve"> that </w:t>
      </w:r>
      <w:r w:rsidRPr="00D4590B">
        <w:rPr>
          <w:sz w:val="26"/>
          <w:szCs w:val="26"/>
          <w:lang w:bidi="he-IL"/>
        </w:rPr>
        <w:t xml:space="preserve">in the nineteenth century, Abraham Geiger allowed for the possibility that when Ibn </w:t>
      </w:r>
      <w:proofErr w:type="spellStart"/>
      <w:r w:rsidRPr="00D4590B">
        <w:rPr>
          <w:sz w:val="26"/>
          <w:szCs w:val="26"/>
        </w:rPr>
        <w:t>Yah</w:t>
      </w:r>
      <w:r w:rsidRPr="00D4590B">
        <w:rPr>
          <w:sz w:val="26"/>
          <w:szCs w:val="26"/>
        </w:rPr>
        <w:t>ya</w:t>
      </w:r>
      <w:proofErr w:type="spellEnd"/>
      <w:r w:rsidRPr="00D4590B">
        <w:rPr>
          <w:sz w:val="26"/>
          <w:szCs w:val="26"/>
          <w:lang w:bidi="he-IL"/>
        </w:rPr>
        <w:t xml:space="preserve"> mentions </w:t>
      </w:r>
      <w:proofErr w:type="spellStart"/>
      <w:r w:rsidRPr="00D4590B">
        <w:rPr>
          <w:sz w:val="26"/>
          <w:szCs w:val="26"/>
          <w:lang w:bidi="he-IL"/>
        </w:rPr>
        <w:t>Radak</w:t>
      </w:r>
      <w:proofErr w:type="spellEnd"/>
      <w:r w:rsidRPr="00D4590B">
        <w:rPr>
          <w:sz w:val="26"/>
          <w:szCs w:val="26"/>
          <w:lang w:bidi="he-IL"/>
        </w:rPr>
        <w:t xml:space="preserve">, he is referring </w:t>
      </w:r>
      <w:r w:rsidRPr="00D4590B">
        <w:rPr>
          <w:sz w:val="26"/>
          <w:szCs w:val="26"/>
          <w:lang w:bidi="he-IL"/>
        </w:rPr>
        <w:lastRenderedPageBreak/>
        <w:t xml:space="preserve">to </w:t>
      </w:r>
      <w:r w:rsidRPr="00D4590B">
        <w:rPr>
          <w:i/>
          <w:iCs/>
          <w:sz w:val="26"/>
          <w:szCs w:val="26"/>
          <w:lang w:bidi="he-IL"/>
        </w:rPr>
        <w:t>Shorashim</w:t>
      </w:r>
      <w:r w:rsidRPr="00D4590B">
        <w:rPr>
          <w:sz w:val="26"/>
          <w:szCs w:val="26"/>
          <w:lang w:bidi="he-IL"/>
        </w:rPr>
        <w:t xml:space="preserve">, rather than to a commentary as in the case </w:t>
      </w:r>
      <w:r w:rsidR="00206858" w:rsidRPr="00D4590B">
        <w:rPr>
          <w:sz w:val="26"/>
          <w:szCs w:val="26"/>
          <w:lang w:bidi="he-IL"/>
        </w:rPr>
        <w:t xml:space="preserve">of the </w:t>
      </w:r>
      <w:r w:rsidRPr="00D4590B">
        <w:rPr>
          <w:sz w:val="26"/>
          <w:szCs w:val="26"/>
          <w:lang w:bidi="he-IL"/>
        </w:rPr>
        <w:t>other</w:t>
      </w:r>
      <w:r w:rsidR="00206858" w:rsidRPr="00D4590B">
        <w:rPr>
          <w:sz w:val="26"/>
          <w:szCs w:val="26"/>
          <w:lang w:bidi="he-IL"/>
        </w:rPr>
        <w:t xml:space="preserve"> figures on his list</w:t>
      </w:r>
      <w:r w:rsidRPr="00D4590B">
        <w:rPr>
          <w:sz w:val="26"/>
          <w:szCs w:val="26"/>
          <w:lang w:bidi="he-IL"/>
        </w:rPr>
        <w:t>.</w:t>
      </w:r>
      <w:r w:rsidRPr="00D4590B">
        <w:rPr>
          <w:rStyle w:val="a4"/>
          <w:sz w:val="26"/>
          <w:szCs w:val="26"/>
          <w:lang w:bidi="he-IL"/>
        </w:rPr>
        <w:footnoteReference w:id="51"/>
      </w:r>
      <w:r w:rsidR="008515BC" w:rsidRPr="00D4590B">
        <w:rPr>
          <w:sz w:val="26"/>
          <w:szCs w:val="26"/>
          <w:lang w:bidi="he-IL"/>
        </w:rPr>
        <w:t xml:space="preserve"> </w:t>
      </w:r>
      <w:r w:rsidR="00FC3642" w:rsidRPr="00D4590B">
        <w:rPr>
          <w:sz w:val="26"/>
          <w:szCs w:val="26"/>
          <w:lang w:bidi="he-IL"/>
        </w:rPr>
        <w:t>However</w:t>
      </w:r>
      <w:r w:rsidRPr="00D4590B">
        <w:rPr>
          <w:sz w:val="26"/>
          <w:szCs w:val="26"/>
          <w:lang w:bidi="he-IL"/>
        </w:rPr>
        <w:t xml:space="preserve">, Geiger </w:t>
      </w:r>
      <w:r w:rsidR="00FC3642" w:rsidRPr="00D4590B">
        <w:rPr>
          <w:sz w:val="26"/>
          <w:szCs w:val="26"/>
          <w:lang w:bidi="he-IL"/>
        </w:rPr>
        <w:t xml:space="preserve">appropriately </w:t>
      </w:r>
      <w:r w:rsidRPr="00D4590B">
        <w:rPr>
          <w:sz w:val="26"/>
          <w:szCs w:val="26"/>
          <w:lang w:bidi="he-IL"/>
        </w:rPr>
        <w:t>raised</w:t>
      </w:r>
      <w:r w:rsidR="00C6412A" w:rsidRPr="00D4590B">
        <w:rPr>
          <w:sz w:val="26"/>
          <w:szCs w:val="26"/>
          <w:lang w:bidi="he-IL"/>
        </w:rPr>
        <w:t xml:space="preserve"> this option only begrudgingly</w:t>
      </w:r>
      <w:r w:rsidR="001A1625" w:rsidRPr="00D4590B">
        <w:rPr>
          <w:sz w:val="26"/>
          <w:szCs w:val="26"/>
          <w:lang w:bidi="he-IL"/>
        </w:rPr>
        <w:t xml:space="preserve">, </w:t>
      </w:r>
      <w:r w:rsidRPr="00D4590B">
        <w:rPr>
          <w:sz w:val="26"/>
          <w:szCs w:val="26"/>
          <w:lang w:bidi="he-IL"/>
        </w:rPr>
        <w:t xml:space="preserve">having been unable to locate a commentary of </w:t>
      </w:r>
      <w:proofErr w:type="spellStart"/>
      <w:r w:rsidRPr="00D4590B">
        <w:rPr>
          <w:sz w:val="26"/>
          <w:szCs w:val="26"/>
          <w:lang w:bidi="he-IL"/>
        </w:rPr>
        <w:t>Radak</w:t>
      </w:r>
      <w:proofErr w:type="spellEnd"/>
      <w:r w:rsidRPr="00D4590B">
        <w:rPr>
          <w:sz w:val="26"/>
          <w:szCs w:val="26"/>
          <w:lang w:bidi="he-IL"/>
        </w:rPr>
        <w:t xml:space="preserve"> </w:t>
      </w:r>
      <w:r w:rsidR="00855020">
        <w:rPr>
          <w:sz w:val="26"/>
          <w:szCs w:val="26"/>
          <w:lang w:bidi="he-IL"/>
        </w:rPr>
        <w:t>on</w:t>
      </w:r>
      <w:r w:rsidRPr="00D4590B">
        <w:rPr>
          <w:sz w:val="26"/>
          <w:szCs w:val="26"/>
          <w:lang w:bidi="he-IL"/>
        </w:rPr>
        <w:t xml:space="preserve"> Proverbs.</w:t>
      </w:r>
    </w:p>
    <w:p w:rsidR="007217B0" w:rsidRPr="00D4590B" w:rsidRDefault="00975572" w:rsidP="00FF0B7D">
      <w:pPr>
        <w:spacing w:line="300" w:lineRule="exact"/>
        <w:ind w:firstLine="284"/>
        <w:jc w:val="both"/>
        <w:rPr>
          <w:sz w:val="26"/>
          <w:szCs w:val="26"/>
        </w:rPr>
      </w:pPr>
      <w:r w:rsidRPr="00D4590B">
        <w:rPr>
          <w:sz w:val="26"/>
          <w:szCs w:val="26"/>
          <w:lang w:bidi="he-IL"/>
        </w:rPr>
        <w:t xml:space="preserve">More important, at least one distinctive interpretation in </w:t>
      </w:r>
      <w:proofErr w:type="spellStart"/>
      <w:r w:rsidR="00DC5E83" w:rsidRPr="00D4590B">
        <w:rPr>
          <w:i/>
          <w:iCs/>
          <w:sz w:val="26"/>
          <w:szCs w:val="26"/>
          <w:lang w:bidi="he-IL"/>
        </w:rPr>
        <w:t>Qav</w:t>
      </w:r>
      <w:proofErr w:type="spellEnd"/>
      <w:r w:rsidR="00DC5E83" w:rsidRPr="00D4590B">
        <w:rPr>
          <w:i/>
          <w:iCs/>
          <w:sz w:val="26"/>
          <w:szCs w:val="26"/>
          <w:lang w:bidi="he-IL"/>
        </w:rPr>
        <w:t xml:space="preserve"> </w:t>
      </w:r>
      <w:proofErr w:type="spellStart"/>
      <w:r w:rsidR="00DC5E83" w:rsidRPr="00D4590B">
        <w:rPr>
          <w:i/>
          <w:iCs/>
          <w:sz w:val="26"/>
          <w:szCs w:val="26"/>
          <w:lang w:bidi="he-IL"/>
        </w:rPr>
        <w:t>ve</w:t>
      </w:r>
      <w:proofErr w:type="spellEnd"/>
      <w:r w:rsidR="00DC5E83" w:rsidRPr="00D4590B">
        <w:rPr>
          <w:i/>
          <w:iCs/>
          <w:sz w:val="26"/>
          <w:szCs w:val="26"/>
          <w:lang w:bidi="he-IL"/>
        </w:rPr>
        <w:t>-Naq</w:t>
      </w:r>
      <w:r w:rsidRPr="00D4590B">
        <w:rPr>
          <w:i/>
          <w:iCs/>
          <w:sz w:val="26"/>
          <w:szCs w:val="26"/>
          <w:lang w:bidi="he-IL"/>
        </w:rPr>
        <w:t>i</w:t>
      </w:r>
      <w:r w:rsidRPr="00D4590B">
        <w:rPr>
          <w:sz w:val="26"/>
          <w:szCs w:val="26"/>
          <w:lang w:bidi="he-IL"/>
        </w:rPr>
        <w:t xml:space="preserve">, prefaced by the phrase “And some say,” appears in the commentary </w:t>
      </w:r>
      <w:r w:rsidR="006D3A4A" w:rsidRPr="00D4590B">
        <w:rPr>
          <w:sz w:val="26"/>
          <w:szCs w:val="26"/>
          <w:lang w:bidi="he-IL"/>
        </w:rPr>
        <w:t xml:space="preserve">on </w:t>
      </w:r>
      <w:r w:rsidRPr="00D4590B">
        <w:rPr>
          <w:sz w:val="26"/>
          <w:szCs w:val="26"/>
          <w:lang w:bidi="he-IL"/>
        </w:rPr>
        <w:t xml:space="preserve">Proverbs attributed to </w:t>
      </w:r>
      <w:proofErr w:type="spellStart"/>
      <w:r w:rsidRPr="00D4590B">
        <w:rPr>
          <w:sz w:val="26"/>
          <w:szCs w:val="26"/>
          <w:lang w:bidi="he-IL"/>
        </w:rPr>
        <w:t>Radak</w:t>
      </w:r>
      <w:proofErr w:type="spellEnd"/>
      <w:r w:rsidRPr="00D4590B">
        <w:rPr>
          <w:sz w:val="26"/>
          <w:szCs w:val="26"/>
          <w:lang w:bidi="he-IL"/>
        </w:rPr>
        <w:t xml:space="preserve">—and we have no evidence of its appearance in any of the other works that Ibn </w:t>
      </w:r>
      <w:proofErr w:type="spellStart"/>
      <w:r w:rsidRPr="00D4590B">
        <w:rPr>
          <w:sz w:val="26"/>
          <w:szCs w:val="26"/>
        </w:rPr>
        <w:t>Yah</w:t>
      </w:r>
      <w:r w:rsidRPr="00D4590B">
        <w:rPr>
          <w:sz w:val="26"/>
          <w:szCs w:val="26"/>
        </w:rPr>
        <w:t>ya</w:t>
      </w:r>
      <w:proofErr w:type="spellEnd"/>
      <w:r w:rsidRPr="00D4590B">
        <w:rPr>
          <w:sz w:val="26"/>
          <w:szCs w:val="26"/>
        </w:rPr>
        <w:t xml:space="preserve"> claims to have utilized.</w:t>
      </w:r>
      <w:r w:rsidR="008515BC" w:rsidRPr="00D4590B">
        <w:rPr>
          <w:sz w:val="26"/>
          <w:szCs w:val="26"/>
        </w:rPr>
        <w:t xml:space="preserve"> </w:t>
      </w:r>
      <w:r w:rsidR="001E6BE9" w:rsidRPr="00D4590B">
        <w:rPr>
          <w:sz w:val="26"/>
          <w:szCs w:val="26"/>
        </w:rPr>
        <w:t>In all probability,</w:t>
      </w:r>
      <w:r w:rsidR="007217B0" w:rsidRPr="00D4590B">
        <w:rPr>
          <w:sz w:val="26"/>
          <w:szCs w:val="26"/>
        </w:rPr>
        <w:t xml:space="preserve"> Ibn </w:t>
      </w:r>
      <w:proofErr w:type="spellStart"/>
      <w:r w:rsidR="007217B0" w:rsidRPr="00D4590B">
        <w:rPr>
          <w:sz w:val="26"/>
          <w:szCs w:val="26"/>
        </w:rPr>
        <w:t>Yah</w:t>
      </w:r>
      <w:r w:rsidR="00D762FD" w:rsidRPr="00D4590B">
        <w:rPr>
          <w:sz w:val="26"/>
          <w:szCs w:val="26"/>
        </w:rPr>
        <w:t>ya</w:t>
      </w:r>
      <w:proofErr w:type="spellEnd"/>
      <w:r w:rsidR="00D762FD" w:rsidRPr="00D4590B">
        <w:rPr>
          <w:sz w:val="26"/>
          <w:szCs w:val="26"/>
        </w:rPr>
        <w:t xml:space="preserve"> </w:t>
      </w:r>
      <w:r w:rsidR="001E6BE9" w:rsidRPr="00D4590B">
        <w:rPr>
          <w:sz w:val="26"/>
          <w:szCs w:val="26"/>
        </w:rPr>
        <w:t>derived this expla</w:t>
      </w:r>
      <w:r w:rsidR="005C3986" w:rsidRPr="00D4590B">
        <w:rPr>
          <w:sz w:val="26"/>
          <w:szCs w:val="26"/>
        </w:rPr>
        <w:t>nation from our commentary,</w:t>
      </w:r>
      <w:r w:rsidR="001E6BE9" w:rsidRPr="00D4590B">
        <w:rPr>
          <w:sz w:val="26"/>
          <w:szCs w:val="26"/>
        </w:rPr>
        <w:t xml:space="preserve"> and when he </w:t>
      </w:r>
      <w:r w:rsidR="00D762FD" w:rsidRPr="00D4590B">
        <w:rPr>
          <w:sz w:val="26"/>
          <w:szCs w:val="26"/>
        </w:rPr>
        <w:t>claims to have used</w:t>
      </w:r>
      <w:r w:rsidR="001E6BE9" w:rsidRPr="00D4590B">
        <w:rPr>
          <w:sz w:val="26"/>
          <w:szCs w:val="26"/>
        </w:rPr>
        <w:t xml:space="preserve"> </w:t>
      </w:r>
      <w:r w:rsidR="005C3986" w:rsidRPr="00D4590B">
        <w:rPr>
          <w:sz w:val="26"/>
          <w:szCs w:val="26"/>
        </w:rPr>
        <w:t xml:space="preserve">a commentary of </w:t>
      </w:r>
      <w:proofErr w:type="spellStart"/>
      <w:r w:rsidR="001E6BE9" w:rsidRPr="00D4590B">
        <w:rPr>
          <w:sz w:val="26"/>
          <w:szCs w:val="26"/>
        </w:rPr>
        <w:t>Radak</w:t>
      </w:r>
      <w:proofErr w:type="spellEnd"/>
      <w:r w:rsidR="001E6BE9" w:rsidRPr="00D4590B">
        <w:rPr>
          <w:sz w:val="26"/>
          <w:szCs w:val="26"/>
        </w:rPr>
        <w:t>,</w:t>
      </w:r>
      <w:r w:rsidR="00D762FD" w:rsidRPr="00D4590B">
        <w:rPr>
          <w:sz w:val="26"/>
          <w:szCs w:val="26"/>
        </w:rPr>
        <w:t xml:space="preserve"> </w:t>
      </w:r>
      <w:r w:rsidR="005C3986" w:rsidRPr="00D4590B">
        <w:rPr>
          <w:sz w:val="26"/>
          <w:szCs w:val="26"/>
        </w:rPr>
        <w:t>he is</w:t>
      </w:r>
      <w:r w:rsidR="007217B0" w:rsidRPr="00D4590B">
        <w:rPr>
          <w:sz w:val="26"/>
          <w:szCs w:val="26"/>
        </w:rPr>
        <w:t xml:space="preserve"> referring to our own.</w:t>
      </w:r>
    </w:p>
    <w:p w:rsidR="00975572" w:rsidRDefault="007217B0" w:rsidP="00FF0B7D">
      <w:pPr>
        <w:spacing w:line="300" w:lineRule="exact"/>
        <w:ind w:firstLine="284"/>
        <w:jc w:val="both"/>
        <w:rPr>
          <w:rFonts w:hint="cs"/>
          <w:sz w:val="26"/>
          <w:szCs w:val="26"/>
          <w:rtl/>
          <w:lang w:bidi="he-IL"/>
        </w:rPr>
      </w:pPr>
      <w:r w:rsidRPr="00D4590B">
        <w:rPr>
          <w:sz w:val="26"/>
          <w:szCs w:val="26"/>
        </w:rPr>
        <w:t>The</w:t>
      </w:r>
      <w:r w:rsidR="00975572" w:rsidRPr="00D4590B">
        <w:rPr>
          <w:sz w:val="26"/>
          <w:szCs w:val="26"/>
        </w:rPr>
        <w:t xml:space="preserve"> interpretation </w:t>
      </w:r>
      <w:r w:rsidRPr="00D4590B">
        <w:rPr>
          <w:sz w:val="26"/>
          <w:szCs w:val="26"/>
        </w:rPr>
        <w:t xml:space="preserve">in question </w:t>
      </w:r>
      <w:r w:rsidR="00975572" w:rsidRPr="00D4590B">
        <w:rPr>
          <w:sz w:val="26"/>
          <w:szCs w:val="26"/>
        </w:rPr>
        <w:t xml:space="preserve">addresses the obscure statement in Proverbs 15:24, </w:t>
      </w:r>
      <w:r w:rsidR="00975572" w:rsidRPr="00D4590B">
        <w:rPr>
          <w:rFonts w:hint="cs"/>
          <w:sz w:val="26"/>
          <w:szCs w:val="26"/>
          <w:rtl/>
          <w:lang w:bidi="he-IL"/>
        </w:rPr>
        <w:t>ארח חיים למעלה למשכיל למען סור משאול מטה</w:t>
      </w:r>
      <w:r w:rsidR="00975572" w:rsidRPr="00D4590B">
        <w:rPr>
          <w:sz w:val="26"/>
          <w:szCs w:val="26"/>
          <w:lang w:bidi="he-IL"/>
        </w:rPr>
        <w:t xml:space="preserve">—“The way of life of one who is intelligent is upward, so that he turns away from the </w:t>
      </w:r>
      <w:proofErr w:type="spellStart"/>
      <w:r w:rsidR="00975572" w:rsidRPr="00D4590B">
        <w:rPr>
          <w:sz w:val="26"/>
          <w:szCs w:val="26"/>
          <w:lang w:bidi="he-IL"/>
        </w:rPr>
        <w:t>Sheol</w:t>
      </w:r>
      <w:proofErr w:type="spellEnd"/>
      <w:r w:rsidR="00975572" w:rsidRPr="00D4590B">
        <w:rPr>
          <w:sz w:val="26"/>
          <w:szCs w:val="26"/>
          <w:lang w:bidi="he-IL"/>
        </w:rPr>
        <w:t xml:space="preserve"> below.”</w:t>
      </w:r>
      <w:r w:rsidR="00975572" w:rsidRPr="00D4590B">
        <w:rPr>
          <w:rStyle w:val="a4"/>
          <w:sz w:val="26"/>
          <w:szCs w:val="26"/>
        </w:rPr>
        <w:footnoteReference w:id="52"/>
      </w:r>
      <w:r w:rsidR="008515BC" w:rsidRPr="00D4590B">
        <w:rPr>
          <w:sz w:val="26"/>
          <w:szCs w:val="26"/>
          <w:lang w:bidi="he-IL"/>
        </w:rPr>
        <w:t xml:space="preserve"> </w:t>
      </w:r>
      <w:r w:rsidR="00975572" w:rsidRPr="00D4590B">
        <w:rPr>
          <w:sz w:val="26"/>
          <w:szCs w:val="26"/>
          <w:lang w:bidi="he-IL"/>
        </w:rPr>
        <w:t>Our Proverbs commentary reads as follows:</w:t>
      </w:r>
    </w:p>
    <w:p w:rsidR="00E663C7" w:rsidRPr="00D4590B" w:rsidRDefault="00E663C7" w:rsidP="00D4590B">
      <w:pPr>
        <w:spacing w:line="300" w:lineRule="exact"/>
        <w:ind w:firstLine="360"/>
        <w:jc w:val="both"/>
        <w:rPr>
          <w:rFonts w:hint="cs"/>
          <w:sz w:val="26"/>
          <w:szCs w:val="26"/>
          <w:lang w:bidi="he-IL"/>
        </w:rPr>
      </w:pPr>
    </w:p>
    <w:p w:rsidR="00975572" w:rsidRPr="00D4590B" w:rsidRDefault="00975572" w:rsidP="00584876">
      <w:pPr>
        <w:bidi/>
        <w:spacing w:line="300" w:lineRule="exact"/>
        <w:ind w:right="720"/>
        <w:jc w:val="both"/>
        <w:rPr>
          <w:sz w:val="26"/>
          <w:szCs w:val="26"/>
          <w:rtl/>
          <w:lang w:bidi="he-IL"/>
        </w:rPr>
      </w:pPr>
      <w:r w:rsidRPr="00D4590B">
        <w:rPr>
          <w:rFonts w:hint="cs"/>
          <w:sz w:val="26"/>
          <w:szCs w:val="26"/>
          <w:rtl/>
          <w:lang w:bidi="he-IL"/>
        </w:rPr>
        <w:t>המשכיל הוא מכוין דעתו ודרכיו בענין שתעלה נפשו למעלה אל מקום הכבוד, וזה הדרך מוכן לפני האדם המשכיל, והחכם המשכיל ידרוך זה הדרך כדי שלא תרד נפשו למטה לגיהנם.</w:t>
      </w:r>
    </w:p>
    <w:p w:rsidR="00975572" w:rsidRDefault="00975572" w:rsidP="00584876">
      <w:pPr>
        <w:spacing w:line="300" w:lineRule="exact"/>
        <w:ind w:left="720"/>
        <w:jc w:val="both"/>
        <w:rPr>
          <w:rFonts w:hint="cs"/>
          <w:sz w:val="26"/>
          <w:szCs w:val="26"/>
          <w:rtl/>
          <w:lang w:bidi="he-IL"/>
        </w:rPr>
      </w:pPr>
      <w:r w:rsidRPr="00D4590B">
        <w:rPr>
          <w:sz w:val="26"/>
          <w:szCs w:val="26"/>
          <w:lang w:bidi="he-IL"/>
        </w:rPr>
        <w:t>One who is intelligent directs his mind and his ways so that his soul will go upward to the place of honor.</w:t>
      </w:r>
      <w:r w:rsidR="008515BC" w:rsidRPr="00D4590B">
        <w:rPr>
          <w:sz w:val="26"/>
          <w:szCs w:val="26"/>
          <w:lang w:bidi="he-IL"/>
        </w:rPr>
        <w:t xml:space="preserve"> </w:t>
      </w:r>
      <w:r w:rsidRPr="00D4590B">
        <w:rPr>
          <w:sz w:val="26"/>
          <w:szCs w:val="26"/>
          <w:lang w:bidi="he-IL"/>
        </w:rPr>
        <w:t>This path is set before an intelligent person, and one who is wise and intelligent will follow this path so that his soul will not descend below, to Gehinnom.</w:t>
      </w:r>
    </w:p>
    <w:p w:rsidR="00E663C7" w:rsidRPr="00D4590B" w:rsidRDefault="00E663C7" w:rsidP="00D4590B">
      <w:pPr>
        <w:spacing w:line="300" w:lineRule="exact"/>
        <w:ind w:left="360" w:right="360"/>
        <w:jc w:val="both"/>
        <w:rPr>
          <w:rFonts w:hint="cs"/>
          <w:sz w:val="26"/>
          <w:szCs w:val="26"/>
          <w:lang w:bidi="he-IL"/>
        </w:rPr>
      </w:pPr>
    </w:p>
    <w:p w:rsidR="00975572" w:rsidRDefault="00975572" w:rsidP="00D4590B">
      <w:pPr>
        <w:spacing w:line="300" w:lineRule="exact"/>
        <w:jc w:val="both"/>
        <w:rPr>
          <w:rFonts w:hint="cs"/>
          <w:sz w:val="26"/>
          <w:szCs w:val="26"/>
          <w:rtl/>
          <w:lang w:bidi="he-IL"/>
        </w:rPr>
      </w:pPr>
      <w:r w:rsidRPr="00D4590B">
        <w:rPr>
          <w:sz w:val="26"/>
          <w:szCs w:val="26"/>
          <w:lang w:bidi="he-IL"/>
        </w:rPr>
        <w:t xml:space="preserve">Among the widely varied interpretations presented by Ibn </w:t>
      </w:r>
      <w:proofErr w:type="spellStart"/>
      <w:r w:rsidRPr="00D4590B">
        <w:rPr>
          <w:sz w:val="26"/>
          <w:szCs w:val="26"/>
        </w:rPr>
        <w:t>Yah</w:t>
      </w:r>
      <w:r w:rsidRPr="00D4590B">
        <w:rPr>
          <w:sz w:val="26"/>
          <w:szCs w:val="26"/>
        </w:rPr>
        <w:t>ya</w:t>
      </w:r>
      <w:proofErr w:type="spellEnd"/>
      <w:r w:rsidRPr="00D4590B">
        <w:rPr>
          <w:sz w:val="26"/>
          <w:szCs w:val="26"/>
        </w:rPr>
        <w:t>, he includes the following:</w:t>
      </w:r>
    </w:p>
    <w:p w:rsidR="00E663C7" w:rsidRPr="00D4590B" w:rsidRDefault="00E663C7" w:rsidP="00D4590B">
      <w:pPr>
        <w:spacing w:line="300" w:lineRule="exact"/>
        <w:jc w:val="both"/>
        <w:rPr>
          <w:rFonts w:hint="cs"/>
          <w:sz w:val="26"/>
          <w:szCs w:val="26"/>
          <w:lang w:bidi="he-IL"/>
        </w:rPr>
      </w:pPr>
    </w:p>
    <w:p w:rsidR="00975572" w:rsidRPr="00D4590B" w:rsidRDefault="00975572" w:rsidP="00584876">
      <w:pPr>
        <w:tabs>
          <w:tab w:val="right" w:pos="8280"/>
        </w:tabs>
        <w:bidi/>
        <w:spacing w:line="300" w:lineRule="exact"/>
        <w:ind w:right="720"/>
        <w:jc w:val="both"/>
        <w:rPr>
          <w:sz w:val="26"/>
          <w:szCs w:val="26"/>
          <w:rtl/>
          <w:lang w:bidi="he-IL"/>
        </w:rPr>
      </w:pPr>
      <w:r w:rsidRPr="00D4590B">
        <w:rPr>
          <w:rFonts w:hint="cs"/>
          <w:sz w:val="26"/>
          <w:szCs w:val="26"/>
          <w:rtl/>
          <w:lang w:bidi="he-IL"/>
        </w:rPr>
        <w:t xml:space="preserve">וי"א אורח חיים למעלה למשכלו </w:t>
      </w:r>
      <w:r w:rsidRPr="00D4590B">
        <w:rPr>
          <w:sz w:val="26"/>
          <w:szCs w:val="26"/>
          <w:rtl/>
          <w:lang w:bidi="he-IL"/>
        </w:rPr>
        <w:t>–</w:t>
      </w:r>
      <w:r w:rsidRPr="00D4590B">
        <w:rPr>
          <w:rFonts w:hint="cs"/>
          <w:sz w:val="26"/>
          <w:szCs w:val="26"/>
          <w:rtl/>
          <w:lang w:bidi="he-IL"/>
        </w:rPr>
        <w:t xml:space="preserve"> אם ילך בה יזכה לשבת בכסא כבוד של מעלה, וינצל משאול מטה והוא גיהנם.</w:t>
      </w:r>
    </w:p>
    <w:p w:rsidR="00975572" w:rsidRDefault="00975572" w:rsidP="00E663C7">
      <w:pPr>
        <w:spacing w:line="300" w:lineRule="exact"/>
        <w:ind w:left="720"/>
        <w:jc w:val="both"/>
        <w:rPr>
          <w:rFonts w:hint="cs"/>
          <w:sz w:val="26"/>
          <w:szCs w:val="26"/>
          <w:rtl/>
          <w:lang w:bidi="he-IL"/>
        </w:rPr>
      </w:pPr>
      <w:r w:rsidRPr="00D4590B">
        <w:rPr>
          <w:sz w:val="26"/>
          <w:szCs w:val="26"/>
          <w:lang w:bidi="he-IL"/>
        </w:rPr>
        <w:t>And some say:</w:t>
      </w:r>
      <w:r w:rsidR="008515BC" w:rsidRPr="00D4590B">
        <w:rPr>
          <w:sz w:val="26"/>
          <w:szCs w:val="26"/>
          <w:lang w:bidi="he-IL"/>
        </w:rPr>
        <w:t xml:space="preserve"> </w:t>
      </w:r>
      <w:r w:rsidRPr="00D4590B">
        <w:rPr>
          <w:sz w:val="26"/>
          <w:szCs w:val="26"/>
          <w:lang w:bidi="he-IL"/>
        </w:rPr>
        <w:t xml:space="preserve">“The way of life” of one who approaches it intelligently is “upward”: if he follows [this intelligent approach] he </w:t>
      </w:r>
      <w:r w:rsidRPr="00D4590B">
        <w:rPr>
          <w:sz w:val="26"/>
          <w:szCs w:val="26"/>
          <w:lang w:bidi="he-IL"/>
        </w:rPr>
        <w:lastRenderedPageBreak/>
        <w:t xml:space="preserve">will merit sitting in the chair of honor that is up above, and will be saved from </w:t>
      </w:r>
      <w:proofErr w:type="spellStart"/>
      <w:r w:rsidRPr="00D4590B">
        <w:rPr>
          <w:sz w:val="26"/>
          <w:szCs w:val="26"/>
          <w:lang w:bidi="he-IL"/>
        </w:rPr>
        <w:t>Sheol</w:t>
      </w:r>
      <w:proofErr w:type="spellEnd"/>
      <w:r w:rsidRPr="00D4590B">
        <w:rPr>
          <w:sz w:val="26"/>
          <w:szCs w:val="26"/>
          <w:lang w:bidi="he-IL"/>
        </w:rPr>
        <w:t xml:space="preserve"> below, that is, Gehinnom.</w:t>
      </w:r>
    </w:p>
    <w:p w:rsidR="00E663C7" w:rsidRPr="00D4590B" w:rsidRDefault="00E663C7" w:rsidP="00E663C7">
      <w:pPr>
        <w:spacing w:line="300" w:lineRule="exact"/>
        <w:ind w:left="720"/>
        <w:jc w:val="both"/>
        <w:rPr>
          <w:rFonts w:hint="cs"/>
          <w:sz w:val="26"/>
          <w:szCs w:val="26"/>
          <w:lang w:bidi="he-IL"/>
        </w:rPr>
      </w:pPr>
    </w:p>
    <w:p w:rsidR="00975572" w:rsidRPr="00D4590B" w:rsidRDefault="00975572" w:rsidP="00DB47FA">
      <w:pPr>
        <w:spacing w:line="300" w:lineRule="exact"/>
        <w:jc w:val="both"/>
        <w:rPr>
          <w:sz w:val="26"/>
          <w:szCs w:val="26"/>
        </w:rPr>
      </w:pPr>
      <w:r w:rsidRPr="00D4590B">
        <w:rPr>
          <w:sz w:val="26"/>
          <w:szCs w:val="26"/>
          <w:lang w:bidi="he-IL"/>
        </w:rPr>
        <w:t xml:space="preserve">Both the substance of Ibn </w:t>
      </w:r>
      <w:proofErr w:type="spellStart"/>
      <w:r w:rsidRPr="00D4590B">
        <w:rPr>
          <w:sz w:val="26"/>
          <w:szCs w:val="26"/>
        </w:rPr>
        <w:t>Yah</w:t>
      </w:r>
      <w:r w:rsidRPr="00D4590B">
        <w:rPr>
          <w:sz w:val="26"/>
          <w:szCs w:val="26"/>
        </w:rPr>
        <w:t>ya’s</w:t>
      </w:r>
      <w:proofErr w:type="spellEnd"/>
      <w:r w:rsidRPr="00D4590B">
        <w:rPr>
          <w:sz w:val="26"/>
          <w:szCs w:val="26"/>
        </w:rPr>
        <w:t xml:space="preserve"> citation and</w:t>
      </w:r>
      <w:r w:rsidRPr="00D4590B">
        <w:rPr>
          <w:sz w:val="26"/>
          <w:szCs w:val="26"/>
          <w:lang w:bidi="he-IL"/>
        </w:rPr>
        <w:t xml:space="preserve"> its language (“place/chair of honor,” “Geh</w:t>
      </w:r>
      <w:r w:rsidR="00614983" w:rsidRPr="00D4590B">
        <w:rPr>
          <w:sz w:val="26"/>
          <w:szCs w:val="26"/>
          <w:lang w:bidi="he-IL"/>
        </w:rPr>
        <w:t>i</w:t>
      </w:r>
      <w:r w:rsidR="00E552C0" w:rsidRPr="00D4590B">
        <w:rPr>
          <w:sz w:val="26"/>
          <w:szCs w:val="26"/>
          <w:lang w:bidi="he-IL"/>
        </w:rPr>
        <w:t>nnom”), make it highly probable</w:t>
      </w:r>
      <w:r w:rsidR="0052308D" w:rsidRPr="00D4590B">
        <w:rPr>
          <w:sz w:val="26"/>
          <w:szCs w:val="26"/>
          <w:lang w:bidi="he-IL"/>
        </w:rPr>
        <w:t xml:space="preserve"> that the reference is to our Proverbs commentary</w:t>
      </w:r>
      <w:r w:rsidRPr="00D4590B">
        <w:rPr>
          <w:sz w:val="26"/>
          <w:szCs w:val="26"/>
          <w:lang w:bidi="he-IL"/>
        </w:rPr>
        <w:t>.</w:t>
      </w:r>
      <w:r w:rsidR="008515BC" w:rsidRPr="00D4590B">
        <w:rPr>
          <w:sz w:val="26"/>
          <w:szCs w:val="26"/>
          <w:lang w:bidi="he-IL"/>
        </w:rPr>
        <w:t xml:space="preserve"> </w:t>
      </w:r>
      <w:r w:rsidRPr="00D4590B">
        <w:rPr>
          <w:sz w:val="26"/>
          <w:szCs w:val="26"/>
          <w:lang w:bidi="he-IL"/>
        </w:rPr>
        <w:t xml:space="preserve">To be sure, there is </w:t>
      </w:r>
      <w:r w:rsidR="00FC3642" w:rsidRPr="00D4590B">
        <w:rPr>
          <w:sz w:val="26"/>
          <w:szCs w:val="26"/>
          <w:lang w:bidi="he-IL"/>
        </w:rPr>
        <w:t xml:space="preserve">a </w:t>
      </w:r>
      <w:r w:rsidR="009F26C5" w:rsidRPr="00D4590B">
        <w:rPr>
          <w:sz w:val="26"/>
          <w:szCs w:val="26"/>
          <w:lang w:bidi="he-IL"/>
        </w:rPr>
        <w:t>minimal</w:t>
      </w:r>
      <w:r w:rsidRPr="00D4590B">
        <w:rPr>
          <w:sz w:val="26"/>
          <w:szCs w:val="26"/>
          <w:lang w:bidi="he-IL"/>
        </w:rPr>
        <w:t xml:space="preserve"> possibility that this unique interpretation—with its distinct terminology—passed </w:t>
      </w:r>
      <w:r w:rsidR="00E552C0" w:rsidRPr="00D4590B">
        <w:rPr>
          <w:sz w:val="26"/>
          <w:szCs w:val="26"/>
          <w:lang w:bidi="he-IL"/>
        </w:rPr>
        <w:t xml:space="preserve">from our commentary to Ibn </w:t>
      </w:r>
      <w:proofErr w:type="spellStart"/>
      <w:r w:rsidR="00E552C0" w:rsidRPr="00D4590B">
        <w:rPr>
          <w:sz w:val="26"/>
          <w:szCs w:val="26"/>
          <w:lang w:bidi="he-IL"/>
        </w:rPr>
        <w:t>Yah</w:t>
      </w:r>
      <w:r w:rsidR="00E552C0" w:rsidRPr="00D4590B">
        <w:rPr>
          <w:sz w:val="26"/>
          <w:szCs w:val="26"/>
          <w:lang w:bidi="he-IL"/>
        </w:rPr>
        <w:t>ya</w:t>
      </w:r>
      <w:proofErr w:type="spellEnd"/>
      <w:r w:rsidR="00E552C0" w:rsidRPr="00D4590B">
        <w:rPr>
          <w:sz w:val="26"/>
          <w:szCs w:val="26"/>
          <w:lang w:bidi="he-IL"/>
        </w:rPr>
        <w:t xml:space="preserve"> </w:t>
      </w:r>
      <w:r w:rsidRPr="00D4590B">
        <w:rPr>
          <w:sz w:val="26"/>
          <w:szCs w:val="26"/>
          <w:lang w:bidi="he-IL"/>
        </w:rPr>
        <w:t xml:space="preserve">through </w:t>
      </w:r>
      <w:proofErr w:type="spellStart"/>
      <w:r w:rsidR="00DB47FA" w:rsidRPr="004C2A49">
        <w:rPr>
          <w:sz w:val="26"/>
          <w:szCs w:val="26"/>
        </w:rPr>
        <w:t>H</w:t>
      </w:r>
      <w:r w:rsidR="00DB47FA" w:rsidRPr="004C2A49">
        <w:rPr>
          <w:sz w:val="26"/>
          <w:szCs w:val="26"/>
        </w:rPr>
        <w:t></w:t>
      </w:r>
      <w:r w:rsidRPr="00D4590B">
        <w:rPr>
          <w:sz w:val="26"/>
          <w:szCs w:val="26"/>
        </w:rPr>
        <w:t>ayyun</w:t>
      </w:r>
      <w:proofErr w:type="spellEnd"/>
      <w:r w:rsidRPr="00D4590B">
        <w:rPr>
          <w:sz w:val="26"/>
          <w:szCs w:val="26"/>
        </w:rPr>
        <w:t xml:space="preserve">, whose commentary is the only one on </w:t>
      </w:r>
      <w:r w:rsidRPr="00D4590B">
        <w:rPr>
          <w:sz w:val="26"/>
          <w:szCs w:val="26"/>
          <w:lang w:bidi="he-IL"/>
        </w:rPr>
        <w:t xml:space="preserve">Ibn </w:t>
      </w:r>
      <w:proofErr w:type="spellStart"/>
      <w:r w:rsidRPr="00D4590B">
        <w:rPr>
          <w:sz w:val="26"/>
          <w:szCs w:val="26"/>
        </w:rPr>
        <w:t>Yah</w:t>
      </w:r>
      <w:r w:rsidRPr="00D4590B">
        <w:rPr>
          <w:sz w:val="26"/>
          <w:szCs w:val="26"/>
        </w:rPr>
        <w:t>ya’s</w:t>
      </w:r>
      <w:proofErr w:type="spellEnd"/>
      <w:r w:rsidRPr="00D4590B">
        <w:rPr>
          <w:sz w:val="26"/>
          <w:szCs w:val="26"/>
        </w:rPr>
        <w:t xml:space="preserve"> list that is no l</w:t>
      </w:r>
      <w:r w:rsidR="006D153B" w:rsidRPr="00D4590B">
        <w:rPr>
          <w:sz w:val="26"/>
          <w:szCs w:val="26"/>
        </w:rPr>
        <w:t>onger extant.</w:t>
      </w:r>
      <w:r w:rsidR="008515BC" w:rsidRPr="00D4590B">
        <w:rPr>
          <w:sz w:val="26"/>
          <w:szCs w:val="26"/>
        </w:rPr>
        <w:t xml:space="preserve"> </w:t>
      </w:r>
      <w:r w:rsidR="006D153B" w:rsidRPr="00D4590B">
        <w:rPr>
          <w:sz w:val="26"/>
          <w:szCs w:val="26"/>
        </w:rPr>
        <w:t>It remains decidedly</w:t>
      </w:r>
      <w:r w:rsidRPr="00D4590B">
        <w:rPr>
          <w:sz w:val="26"/>
          <w:szCs w:val="26"/>
        </w:rPr>
        <w:t xml:space="preserve"> more likely, however, that Ibn </w:t>
      </w:r>
      <w:proofErr w:type="spellStart"/>
      <w:r w:rsidRPr="00D4590B">
        <w:rPr>
          <w:sz w:val="26"/>
          <w:szCs w:val="26"/>
        </w:rPr>
        <w:t>Yah</w:t>
      </w:r>
      <w:r w:rsidRPr="00D4590B">
        <w:rPr>
          <w:sz w:val="26"/>
          <w:szCs w:val="26"/>
        </w:rPr>
        <w:t>ya</w:t>
      </w:r>
      <w:proofErr w:type="spellEnd"/>
      <w:r w:rsidRPr="00D4590B">
        <w:rPr>
          <w:sz w:val="26"/>
          <w:szCs w:val="26"/>
        </w:rPr>
        <w:t xml:space="preserve"> derived this explanation directly from our commentary—it being the work of </w:t>
      </w:r>
      <w:proofErr w:type="spellStart"/>
      <w:r w:rsidRPr="00D4590B">
        <w:rPr>
          <w:sz w:val="26"/>
          <w:szCs w:val="26"/>
        </w:rPr>
        <w:t>Radak</w:t>
      </w:r>
      <w:proofErr w:type="spellEnd"/>
      <w:r w:rsidRPr="00D4590B">
        <w:rPr>
          <w:sz w:val="26"/>
          <w:szCs w:val="26"/>
        </w:rPr>
        <w:t xml:space="preserve"> that he had by his side.</w:t>
      </w:r>
      <w:r w:rsidRPr="00D4590B">
        <w:rPr>
          <w:rStyle w:val="a4"/>
          <w:sz w:val="26"/>
          <w:szCs w:val="26"/>
        </w:rPr>
        <w:footnoteReference w:id="53"/>
      </w:r>
    </w:p>
    <w:p w:rsidR="00E663C7" w:rsidRDefault="00E663C7" w:rsidP="00D4590B">
      <w:pPr>
        <w:spacing w:line="300" w:lineRule="exact"/>
        <w:jc w:val="both"/>
        <w:rPr>
          <w:rFonts w:hint="cs"/>
          <w:i/>
          <w:iCs/>
          <w:sz w:val="26"/>
          <w:szCs w:val="26"/>
          <w:rtl/>
          <w:lang w:bidi="he-IL"/>
        </w:rPr>
      </w:pPr>
    </w:p>
    <w:p w:rsidR="00975572" w:rsidRPr="00D4590B" w:rsidRDefault="00975572" w:rsidP="00D4590B">
      <w:pPr>
        <w:spacing w:line="300" w:lineRule="exact"/>
        <w:jc w:val="both"/>
        <w:rPr>
          <w:i/>
          <w:iCs/>
          <w:sz w:val="26"/>
          <w:szCs w:val="26"/>
          <w:lang w:bidi="he-IL"/>
        </w:rPr>
      </w:pPr>
      <w:proofErr w:type="spellStart"/>
      <w:r w:rsidRPr="00D4590B">
        <w:rPr>
          <w:i/>
          <w:iCs/>
          <w:sz w:val="26"/>
          <w:szCs w:val="26"/>
          <w:lang w:bidi="he-IL"/>
        </w:rPr>
        <w:t>Radak</w:t>
      </w:r>
      <w:proofErr w:type="spellEnd"/>
      <w:r w:rsidRPr="00D4590B">
        <w:rPr>
          <w:i/>
          <w:iCs/>
          <w:sz w:val="26"/>
          <w:szCs w:val="26"/>
          <w:lang w:bidi="he-IL"/>
        </w:rPr>
        <w:t xml:space="preserve"> </w:t>
      </w:r>
      <w:r w:rsidR="00160626" w:rsidRPr="00D4590B">
        <w:rPr>
          <w:i/>
          <w:iCs/>
          <w:sz w:val="26"/>
          <w:szCs w:val="26"/>
          <w:lang w:bidi="he-IL"/>
        </w:rPr>
        <w:t xml:space="preserve">on </w:t>
      </w:r>
      <w:r w:rsidRPr="00D4590B">
        <w:rPr>
          <w:i/>
          <w:iCs/>
          <w:sz w:val="26"/>
          <w:szCs w:val="26"/>
          <w:lang w:bidi="he-IL"/>
        </w:rPr>
        <w:t>Psalms 19:11</w:t>
      </w:r>
    </w:p>
    <w:p w:rsidR="00975572" w:rsidRDefault="00F24286" w:rsidP="00D4590B">
      <w:pPr>
        <w:spacing w:line="300" w:lineRule="exact"/>
        <w:jc w:val="both"/>
        <w:rPr>
          <w:rFonts w:hint="cs"/>
          <w:sz w:val="26"/>
          <w:szCs w:val="26"/>
          <w:rtl/>
          <w:lang w:bidi="he-IL"/>
        </w:rPr>
      </w:pPr>
      <w:r w:rsidRPr="00D4590B">
        <w:rPr>
          <w:sz w:val="26"/>
          <w:szCs w:val="26"/>
          <w:lang w:bidi="he-IL"/>
        </w:rPr>
        <w:t xml:space="preserve">Before </w:t>
      </w:r>
      <w:r w:rsidR="00370291" w:rsidRPr="00D4590B">
        <w:rPr>
          <w:sz w:val="26"/>
          <w:szCs w:val="26"/>
          <w:lang w:bidi="he-IL"/>
        </w:rPr>
        <w:t xml:space="preserve">we </w:t>
      </w:r>
      <w:r w:rsidRPr="00D4590B">
        <w:rPr>
          <w:sz w:val="26"/>
          <w:szCs w:val="26"/>
          <w:lang w:bidi="he-IL"/>
        </w:rPr>
        <w:t xml:space="preserve">turn our attention to the crucial matter of the terminology found in the Proverbs commentary and its consistency with that of </w:t>
      </w:r>
      <w:proofErr w:type="spellStart"/>
      <w:r w:rsidRPr="00D4590B">
        <w:rPr>
          <w:sz w:val="26"/>
          <w:szCs w:val="26"/>
          <w:lang w:bidi="he-IL"/>
        </w:rPr>
        <w:t>Radak</w:t>
      </w:r>
      <w:proofErr w:type="spellEnd"/>
      <w:r w:rsidRPr="00D4590B">
        <w:rPr>
          <w:sz w:val="26"/>
          <w:szCs w:val="26"/>
          <w:lang w:bidi="he-IL"/>
        </w:rPr>
        <w:t xml:space="preserve">, </w:t>
      </w:r>
      <w:r w:rsidR="0042669B" w:rsidRPr="00D4590B">
        <w:rPr>
          <w:sz w:val="26"/>
          <w:szCs w:val="26"/>
          <w:lang w:bidi="he-IL"/>
        </w:rPr>
        <w:t>let us consider another</w:t>
      </w:r>
      <w:r w:rsidR="00975572" w:rsidRPr="00D4590B">
        <w:rPr>
          <w:sz w:val="26"/>
          <w:szCs w:val="26"/>
          <w:lang w:bidi="he-IL"/>
        </w:rPr>
        <w:t xml:space="preserve"> striking substantive parallel</w:t>
      </w:r>
      <w:r w:rsidR="00A1253F" w:rsidRPr="00D4590B">
        <w:rPr>
          <w:sz w:val="26"/>
          <w:szCs w:val="26"/>
          <w:lang w:bidi="he-IL"/>
        </w:rPr>
        <w:t>—</w:t>
      </w:r>
      <w:r w:rsidR="00975572" w:rsidRPr="00D4590B">
        <w:rPr>
          <w:sz w:val="26"/>
          <w:szCs w:val="26"/>
          <w:lang w:bidi="he-IL"/>
        </w:rPr>
        <w:t xml:space="preserve">between a comment of </w:t>
      </w:r>
      <w:proofErr w:type="spellStart"/>
      <w:r w:rsidR="00975572" w:rsidRPr="00D4590B">
        <w:rPr>
          <w:sz w:val="26"/>
          <w:szCs w:val="26"/>
          <w:lang w:bidi="he-IL"/>
        </w:rPr>
        <w:t>Radak</w:t>
      </w:r>
      <w:proofErr w:type="spellEnd"/>
      <w:r w:rsidR="00975572" w:rsidRPr="00D4590B">
        <w:rPr>
          <w:sz w:val="26"/>
          <w:szCs w:val="26"/>
          <w:lang w:bidi="he-IL"/>
        </w:rPr>
        <w:t xml:space="preserve"> </w:t>
      </w:r>
      <w:r w:rsidR="00160626" w:rsidRPr="00D4590B">
        <w:rPr>
          <w:sz w:val="26"/>
          <w:szCs w:val="26"/>
          <w:lang w:bidi="he-IL"/>
        </w:rPr>
        <w:t xml:space="preserve">on </w:t>
      </w:r>
      <w:r w:rsidR="00975572" w:rsidRPr="00D4590B">
        <w:rPr>
          <w:sz w:val="26"/>
          <w:szCs w:val="26"/>
          <w:lang w:bidi="he-IL"/>
        </w:rPr>
        <w:t xml:space="preserve">Psalms 19:11 and a line in the Proverbs commentary </w:t>
      </w:r>
      <w:r w:rsidR="00160626" w:rsidRPr="00D4590B">
        <w:rPr>
          <w:sz w:val="26"/>
          <w:szCs w:val="26"/>
          <w:lang w:bidi="he-IL"/>
        </w:rPr>
        <w:t xml:space="preserve">on </w:t>
      </w:r>
      <w:r w:rsidR="00975572" w:rsidRPr="00D4590B">
        <w:rPr>
          <w:sz w:val="26"/>
          <w:szCs w:val="26"/>
          <w:lang w:bidi="he-IL"/>
        </w:rPr>
        <w:t>3:15.</w:t>
      </w:r>
      <w:r w:rsidR="008515BC" w:rsidRPr="00D4590B">
        <w:rPr>
          <w:sz w:val="26"/>
          <w:szCs w:val="26"/>
          <w:lang w:bidi="he-IL"/>
        </w:rPr>
        <w:t xml:space="preserve"> </w:t>
      </w:r>
      <w:r w:rsidR="00975572" w:rsidRPr="00D4590B">
        <w:rPr>
          <w:sz w:val="26"/>
          <w:szCs w:val="26"/>
          <w:lang w:bidi="he-IL"/>
        </w:rPr>
        <w:t xml:space="preserve">This verse in Proverbs, in reference to wisdom, contains the innocent statement </w:t>
      </w:r>
      <w:r w:rsidR="00975572" w:rsidRPr="00D4590B">
        <w:rPr>
          <w:rFonts w:hint="cs"/>
          <w:sz w:val="26"/>
          <w:szCs w:val="26"/>
          <w:rtl/>
          <w:lang w:bidi="he-IL"/>
        </w:rPr>
        <w:t>וכל חפציך לא ישוו בה</w:t>
      </w:r>
      <w:r w:rsidR="00975572" w:rsidRPr="00D4590B">
        <w:rPr>
          <w:sz w:val="26"/>
          <w:szCs w:val="26"/>
          <w:lang w:bidi="he-IL"/>
        </w:rPr>
        <w:t>—“and all the objects of your desire do not match up to it.”</w:t>
      </w:r>
      <w:r w:rsidR="008515BC" w:rsidRPr="00D4590B">
        <w:rPr>
          <w:sz w:val="26"/>
          <w:szCs w:val="26"/>
          <w:lang w:bidi="he-IL"/>
        </w:rPr>
        <w:t xml:space="preserve"> </w:t>
      </w:r>
      <w:r w:rsidR="00975572" w:rsidRPr="00D4590B">
        <w:rPr>
          <w:sz w:val="26"/>
          <w:szCs w:val="26"/>
          <w:lang w:bidi="he-IL"/>
        </w:rPr>
        <w:t>Our commentary contains the following elaboration of this value</w:t>
      </w:r>
      <w:r w:rsidR="00160626" w:rsidRPr="00D4590B">
        <w:rPr>
          <w:sz w:val="26"/>
          <w:szCs w:val="26"/>
          <w:lang w:bidi="he-IL"/>
        </w:rPr>
        <w:t xml:space="preserve"> </w:t>
      </w:r>
      <w:r w:rsidR="00975572" w:rsidRPr="00D4590B">
        <w:rPr>
          <w:sz w:val="26"/>
          <w:szCs w:val="26"/>
          <w:lang w:bidi="he-IL"/>
        </w:rPr>
        <w:t>judgment:</w:t>
      </w:r>
    </w:p>
    <w:p w:rsidR="00E663C7" w:rsidRPr="00D4590B" w:rsidRDefault="00E663C7" w:rsidP="00D4590B">
      <w:pPr>
        <w:spacing w:line="300" w:lineRule="exact"/>
        <w:jc w:val="both"/>
        <w:rPr>
          <w:rFonts w:hint="cs"/>
          <w:sz w:val="26"/>
          <w:szCs w:val="26"/>
          <w:lang w:bidi="he-IL"/>
        </w:rPr>
      </w:pPr>
    </w:p>
    <w:p w:rsidR="00975572" w:rsidRPr="00D4590B" w:rsidRDefault="00975572" w:rsidP="00584876">
      <w:pPr>
        <w:bidi/>
        <w:spacing w:line="300" w:lineRule="exact"/>
        <w:ind w:right="720"/>
        <w:jc w:val="both"/>
        <w:rPr>
          <w:sz w:val="26"/>
          <w:szCs w:val="26"/>
          <w:rtl/>
          <w:lang w:bidi="he-IL"/>
        </w:rPr>
      </w:pPr>
      <w:r w:rsidRPr="00D4590B">
        <w:rPr>
          <w:rFonts w:hint="cs"/>
          <w:sz w:val="26"/>
          <w:szCs w:val="26"/>
          <w:rtl/>
          <w:lang w:bidi="he-IL"/>
        </w:rPr>
        <w:t>כלומר, לא יוכלו לערוך אליה, כי היא מטמון שלא יוכ[ל] להאבד כשאר עניני העולם שנגנבים לפעמים מן האדם או יגזלו ממנו.</w:t>
      </w:r>
    </w:p>
    <w:p w:rsidR="00975572" w:rsidRPr="00D4590B" w:rsidRDefault="00975572" w:rsidP="00E663C7">
      <w:pPr>
        <w:spacing w:line="300" w:lineRule="exact"/>
        <w:ind w:left="720"/>
        <w:jc w:val="both"/>
        <w:rPr>
          <w:sz w:val="26"/>
          <w:szCs w:val="26"/>
          <w:lang w:bidi="he-IL"/>
        </w:rPr>
      </w:pPr>
      <w:r w:rsidRPr="00D4590B">
        <w:rPr>
          <w:sz w:val="26"/>
          <w:szCs w:val="26"/>
          <w:lang w:bidi="he-IL"/>
        </w:rPr>
        <w:lastRenderedPageBreak/>
        <w:t>That is, they cannot match its value, for it is a hidden thing that cannot become lost like other worldly possessions, which are sometimes stolen from a person or taken forcibly from him.</w:t>
      </w:r>
    </w:p>
    <w:p w:rsidR="00E663C7" w:rsidRDefault="00E663C7" w:rsidP="00D4590B">
      <w:pPr>
        <w:tabs>
          <w:tab w:val="left" w:pos="8640"/>
        </w:tabs>
        <w:spacing w:line="300" w:lineRule="exact"/>
        <w:jc w:val="both"/>
        <w:rPr>
          <w:rFonts w:hint="cs"/>
          <w:sz w:val="26"/>
          <w:szCs w:val="26"/>
          <w:rtl/>
          <w:lang w:bidi="he-IL"/>
        </w:rPr>
      </w:pPr>
    </w:p>
    <w:p w:rsidR="00975572" w:rsidRDefault="00975572" w:rsidP="00D4590B">
      <w:pPr>
        <w:tabs>
          <w:tab w:val="left" w:pos="8640"/>
        </w:tabs>
        <w:spacing w:line="300" w:lineRule="exact"/>
        <w:jc w:val="both"/>
        <w:rPr>
          <w:rFonts w:hint="cs"/>
          <w:sz w:val="26"/>
          <w:szCs w:val="26"/>
          <w:rtl/>
          <w:lang w:bidi="he-IL"/>
        </w:rPr>
      </w:pPr>
      <w:r w:rsidRPr="00D4590B">
        <w:rPr>
          <w:sz w:val="26"/>
          <w:szCs w:val="26"/>
          <w:lang w:bidi="he-IL"/>
        </w:rPr>
        <w:t xml:space="preserve">In much the same way, </w:t>
      </w:r>
      <w:proofErr w:type="spellStart"/>
      <w:r w:rsidRPr="00D4590B">
        <w:rPr>
          <w:sz w:val="26"/>
          <w:szCs w:val="26"/>
          <w:lang w:bidi="he-IL"/>
        </w:rPr>
        <w:t>Radak</w:t>
      </w:r>
      <w:proofErr w:type="spellEnd"/>
      <w:r w:rsidRPr="00D4590B">
        <w:rPr>
          <w:sz w:val="26"/>
          <w:szCs w:val="26"/>
          <w:lang w:bidi="he-IL"/>
        </w:rPr>
        <w:t xml:space="preserve"> on Psalms, citing the verse in Proverbs, explains:</w:t>
      </w:r>
    </w:p>
    <w:p w:rsidR="00E663C7" w:rsidRPr="00D4590B" w:rsidRDefault="00E663C7" w:rsidP="00D4590B">
      <w:pPr>
        <w:tabs>
          <w:tab w:val="left" w:pos="8640"/>
        </w:tabs>
        <w:spacing w:line="300" w:lineRule="exact"/>
        <w:jc w:val="both"/>
        <w:rPr>
          <w:rFonts w:hint="cs"/>
          <w:sz w:val="26"/>
          <w:szCs w:val="26"/>
          <w:lang w:bidi="he-IL"/>
        </w:rPr>
      </w:pPr>
    </w:p>
    <w:p w:rsidR="00975572" w:rsidRPr="00D4590B" w:rsidRDefault="00975572" w:rsidP="00584876">
      <w:pPr>
        <w:bidi/>
        <w:spacing w:line="300" w:lineRule="exact"/>
        <w:ind w:right="720"/>
        <w:jc w:val="both"/>
        <w:rPr>
          <w:sz w:val="26"/>
          <w:szCs w:val="26"/>
          <w:rtl/>
          <w:lang w:bidi="he-IL"/>
        </w:rPr>
      </w:pPr>
      <w:r w:rsidRPr="00D4590B">
        <w:rPr>
          <w:rFonts w:hint="cs"/>
          <w:sz w:val="26"/>
          <w:szCs w:val="26"/>
          <w:rtl/>
          <w:lang w:bidi="he-IL"/>
        </w:rPr>
        <w:t>וכן אמר שלמה "וכל חפציך לא ישוו בה", כי הממון הוא בעולם הזה ולא בעולם ה</w:t>
      </w:r>
      <w:r w:rsidR="00BC59B5" w:rsidRPr="00D4590B">
        <w:rPr>
          <w:rFonts w:hint="cs"/>
          <w:sz w:val="26"/>
          <w:szCs w:val="26"/>
          <w:rtl/>
          <w:lang w:bidi="he-IL"/>
        </w:rPr>
        <w:t>בא, והחכמה בעולם הזה ובעולם הבא;</w:t>
      </w:r>
      <w:r w:rsidRPr="00D4590B">
        <w:rPr>
          <w:rFonts w:hint="cs"/>
          <w:sz w:val="26"/>
          <w:szCs w:val="26"/>
          <w:rtl/>
          <w:lang w:bidi="he-IL"/>
        </w:rPr>
        <w:t xml:space="preserve"> והממון יגזלו אותו או יגנבו אותו מהאדם ממנו בים או ביבשה, והחכמה לא תהיה נגזלת ונגנבת.</w:t>
      </w:r>
    </w:p>
    <w:p w:rsidR="00975572" w:rsidRDefault="00975572" w:rsidP="00E663C7">
      <w:pPr>
        <w:spacing w:line="300" w:lineRule="exact"/>
        <w:ind w:left="720"/>
        <w:jc w:val="both"/>
        <w:rPr>
          <w:rFonts w:hint="cs"/>
          <w:sz w:val="26"/>
          <w:szCs w:val="26"/>
          <w:rtl/>
          <w:lang w:bidi="he-IL"/>
        </w:rPr>
      </w:pPr>
      <w:r w:rsidRPr="00D4590B">
        <w:rPr>
          <w:sz w:val="26"/>
          <w:szCs w:val="26"/>
          <w:lang w:bidi="he-IL"/>
        </w:rPr>
        <w:t>And so said Solomon, “and all the objects of your desire do not match up to it.”</w:t>
      </w:r>
      <w:r w:rsidR="008515BC" w:rsidRPr="00D4590B">
        <w:rPr>
          <w:sz w:val="26"/>
          <w:szCs w:val="26"/>
          <w:lang w:bidi="he-IL"/>
        </w:rPr>
        <w:t xml:space="preserve"> </w:t>
      </w:r>
      <w:r w:rsidRPr="00D4590B">
        <w:rPr>
          <w:sz w:val="26"/>
          <w:szCs w:val="26"/>
          <w:lang w:bidi="he-IL"/>
        </w:rPr>
        <w:t>For money exists in this world but not in the next world, while wisdom exists in this world and in the next world; and money can be taken forcibly or stolen from a person at sea or on land, while wisdom cannot be taken forcibly or stolen.</w:t>
      </w:r>
    </w:p>
    <w:p w:rsidR="00E663C7" w:rsidRPr="00D4590B" w:rsidRDefault="00E663C7" w:rsidP="00E663C7">
      <w:pPr>
        <w:spacing w:line="300" w:lineRule="exact"/>
        <w:ind w:left="720"/>
        <w:jc w:val="both"/>
        <w:rPr>
          <w:rFonts w:hint="cs"/>
          <w:sz w:val="26"/>
          <w:szCs w:val="26"/>
          <w:lang w:bidi="he-IL"/>
        </w:rPr>
      </w:pPr>
    </w:p>
    <w:p w:rsidR="00975572" w:rsidRPr="00D4590B" w:rsidRDefault="00975572" w:rsidP="00871404">
      <w:pPr>
        <w:spacing w:line="300" w:lineRule="exact"/>
        <w:jc w:val="both"/>
        <w:rPr>
          <w:sz w:val="26"/>
          <w:szCs w:val="26"/>
          <w:lang w:bidi="he-IL"/>
        </w:rPr>
      </w:pPr>
      <w:r w:rsidRPr="00D4590B">
        <w:rPr>
          <w:sz w:val="26"/>
          <w:szCs w:val="26"/>
          <w:lang w:bidi="he-IL"/>
        </w:rPr>
        <w:t>Once more, we encounter comments t</w:t>
      </w:r>
      <w:r w:rsidR="00D574D5" w:rsidRPr="00D4590B">
        <w:rPr>
          <w:sz w:val="26"/>
          <w:szCs w:val="26"/>
          <w:lang w:bidi="he-IL"/>
        </w:rPr>
        <w:t xml:space="preserve">hat are markedly similar </w:t>
      </w:r>
      <w:r w:rsidR="00ED101E" w:rsidRPr="00D4590B">
        <w:rPr>
          <w:sz w:val="26"/>
          <w:szCs w:val="26"/>
          <w:lang w:bidi="he-IL"/>
        </w:rPr>
        <w:t xml:space="preserve">in </w:t>
      </w:r>
      <w:r w:rsidR="00D574D5" w:rsidRPr="00D4590B">
        <w:rPr>
          <w:sz w:val="26"/>
          <w:szCs w:val="26"/>
          <w:lang w:bidi="he-IL"/>
        </w:rPr>
        <w:t xml:space="preserve">both </w:t>
      </w:r>
      <w:r w:rsidRPr="00D4590B">
        <w:rPr>
          <w:sz w:val="26"/>
          <w:szCs w:val="26"/>
          <w:lang w:bidi="he-IL"/>
        </w:rPr>
        <w:t>substance and terminology.</w:t>
      </w:r>
      <w:r w:rsidR="008515BC" w:rsidRPr="00D4590B">
        <w:rPr>
          <w:sz w:val="26"/>
          <w:szCs w:val="26"/>
          <w:lang w:bidi="he-IL"/>
        </w:rPr>
        <w:t xml:space="preserve"> </w:t>
      </w:r>
      <w:r w:rsidRPr="00D4590B">
        <w:rPr>
          <w:sz w:val="26"/>
          <w:szCs w:val="26"/>
          <w:lang w:bidi="he-IL"/>
        </w:rPr>
        <w:t xml:space="preserve">If </w:t>
      </w:r>
      <w:proofErr w:type="spellStart"/>
      <w:r w:rsidRPr="00D4590B">
        <w:rPr>
          <w:sz w:val="26"/>
          <w:szCs w:val="26"/>
          <w:lang w:bidi="he-IL"/>
        </w:rPr>
        <w:t>Radak</w:t>
      </w:r>
      <w:proofErr w:type="spellEnd"/>
      <w:r w:rsidRPr="00D4590B">
        <w:rPr>
          <w:sz w:val="26"/>
          <w:szCs w:val="26"/>
          <w:lang w:bidi="he-IL"/>
        </w:rPr>
        <w:t xml:space="preserve"> and the Proverbs commentator are not one and the same, we are again left with some unlikely alternatives: either </w:t>
      </w:r>
      <w:r w:rsidR="00871404">
        <w:rPr>
          <w:sz w:val="26"/>
          <w:szCs w:val="26"/>
          <w:lang w:bidi="he-IL"/>
        </w:rPr>
        <w:t>both</w:t>
      </w:r>
      <w:r w:rsidRPr="00D4590B">
        <w:rPr>
          <w:sz w:val="26"/>
          <w:szCs w:val="26"/>
          <w:lang w:bidi="he-IL"/>
        </w:rPr>
        <w:t xml:space="preserve"> exegetes drew from </w:t>
      </w:r>
      <w:r w:rsidR="00F2368F" w:rsidRPr="00D4590B">
        <w:rPr>
          <w:sz w:val="26"/>
          <w:szCs w:val="26"/>
          <w:lang w:bidi="he-IL"/>
        </w:rPr>
        <w:t xml:space="preserve">a </w:t>
      </w:r>
      <w:r w:rsidR="00871404" w:rsidRPr="00D4590B">
        <w:rPr>
          <w:sz w:val="26"/>
          <w:szCs w:val="26"/>
          <w:lang w:bidi="he-IL"/>
        </w:rPr>
        <w:t xml:space="preserve">no longer extant </w:t>
      </w:r>
      <w:r w:rsidRPr="00D4590B">
        <w:rPr>
          <w:sz w:val="26"/>
          <w:szCs w:val="26"/>
          <w:lang w:bidi="he-IL"/>
        </w:rPr>
        <w:t xml:space="preserve">common source to which neither made any kind of attribution; or the Proverbs commentator unearthed this creative interpretation from an essentially unrelated context within </w:t>
      </w:r>
      <w:proofErr w:type="spellStart"/>
      <w:r w:rsidRPr="00D4590B">
        <w:rPr>
          <w:sz w:val="26"/>
          <w:szCs w:val="26"/>
          <w:lang w:bidi="he-IL"/>
        </w:rPr>
        <w:t>Radak’s</w:t>
      </w:r>
      <w:proofErr w:type="spellEnd"/>
      <w:r w:rsidRPr="00D4590B">
        <w:rPr>
          <w:sz w:val="26"/>
          <w:szCs w:val="26"/>
          <w:lang w:bidi="he-IL"/>
        </w:rPr>
        <w:t xml:space="preserve"> magisterial </w:t>
      </w:r>
      <w:r w:rsidR="004E7991">
        <w:rPr>
          <w:sz w:val="26"/>
          <w:szCs w:val="26"/>
          <w:lang w:bidi="he-IL"/>
        </w:rPr>
        <w:t>commentary on</w:t>
      </w:r>
      <w:r w:rsidRPr="00D4590B">
        <w:rPr>
          <w:sz w:val="26"/>
          <w:szCs w:val="26"/>
          <w:lang w:bidi="he-IL"/>
        </w:rPr>
        <w:t xml:space="preserve"> Psalms,</w:t>
      </w:r>
      <w:r w:rsidR="00CE0FF6" w:rsidRPr="00D4590B">
        <w:rPr>
          <w:rStyle w:val="a4"/>
          <w:sz w:val="26"/>
          <w:szCs w:val="26"/>
          <w:lang w:bidi="he-IL"/>
        </w:rPr>
        <w:footnoteReference w:id="54"/>
      </w:r>
      <w:r w:rsidRPr="00D4590B">
        <w:rPr>
          <w:sz w:val="26"/>
          <w:szCs w:val="26"/>
          <w:lang w:bidi="he-IL"/>
        </w:rPr>
        <w:t xml:space="preserve"> and presented it in his own work on Proverbs without acknowledgment.</w:t>
      </w:r>
      <w:r w:rsidR="008515BC" w:rsidRPr="00D4590B">
        <w:rPr>
          <w:sz w:val="26"/>
          <w:szCs w:val="26"/>
          <w:lang w:bidi="he-IL"/>
        </w:rPr>
        <w:t xml:space="preserve"> </w:t>
      </w:r>
      <w:r w:rsidRPr="00D4590B">
        <w:rPr>
          <w:sz w:val="26"/>
          <w:szCs w:val="26"/>
          <w:lang w:bidi="he-IL"/>
        </w:rPr>
        <w:t>Such explanations</w:t>
      </w:r>
      <w:r w:rsidR="00ED101E" w:rsidRPr="00D4590B">
        <w:rPr>
          <w:sz w:val="26"/>
          <w:szCs w:val="26"/>
          <w:lang w:bidi="he-IL"/>
        </w:rPr>
        <w:t xml:space="preserve"> </w:t>
      </w:r>
      <w:r w:rsidRPr="00D4590B">
        <w:rPr>
          <w:sz w:val="26"/>
          <w:szCs w:val="26"/>
          <w:lang w:bidi="he-IL"/>
        </w:rPr>
        <w:t>become increasingly implausible with each apparent parallel.</w:t>
      </w:r>
    </w:p>
    <w:p w:rsidR="00E663C7" w:rsidRDefault="00E663C7" w:rsidP="00D4590B">
      <w:pPr>
        <w:spacing w:line="300" w:lineRule="exact"/>
        <w:jc w:val="both"/>
        <w:rPr>
          <w:rFonts w:hint="cs"/>
          <w:i/>
          <w:iCs/>
          <w:sz w:val="26"/>
          <w:szCs w:val="26"/>
          <w:rtl/>
          <w:lang w:bidi="he-IL"/>
        </w:rPr>
      </w:pPr>
    </w:p>
    <w:p w:rsidR="00975572" w:rsidRPr="00D4590B" w:rsidRDefault="00975572" w:rsidP="00D4590B">
      <w:pPr>
        <w:spacing w:line="300" w:lineRule="exact"/>
        <w:jc w:val="both"/>
        <w:rPr>
          <w:sz w:val="26"/>
          <w:szCs w:val="26"/>
          <w:lang w:bidi="he-IL"/>
        </w:rPr>
      </w:pPr>
      <w:r w:rsidRPr="00D4590B">
        <w:rPr>
          <w:i/>
          <w:iCs/>
          <w:sz w:val="26"/>
          <w:szCs w:val="26"/>
          <w:lang w:bidi="he-IL"/>
        </w:rPr>
        <w:t>Terminology and Style</w:t>
      </w:r>
    </w:p>
    <w:p w:rsidR="00975572" w:rsidRPr="00D4590B" w:rsidRDefault="00975572" w:rsidP="00D4590B">
      <w:pPr>
        <w:spacing w:line="300" w:lineRule="exact"/>
        <w:jc w:val="both"/>
        <w:rPr>
          <w:sz w:val="26"/>
          <w:szCs w:val="26"/>
          <w:lang w:bidi="he-IL"/>
        </w:rPr>
      </w:pPr>
      <w:r w:rsidRPr="00D4590B">
        <w:rPr>
          <w:sz w:val="26"/>
          <w:szCs w:val="26"/>
          <w:lang w:bidi="he-IL"/>
        </w:rPr>
        <w:t>In discussing the question of authorship, Talmage remarks that “one should not build worlds upon stylistic proofs, since such worlds are easily destroyed.”</w:t>
      </w:r>
      <w:r w:rsidRPr="00D4590B">
        <w:rPr>
          <w:rStyle w:val="a4"/>
          <w:sz w:val="26"/>
          <w:szCs w:val="26"/>
          <w:lang w:bidi="he-IL"/>
        </w:rPr>
        <w:footnoteReference w:id="55"/>
      </w:r>
      <w:r w:rsidR="008515BC" w:rsidRPr="00D4590B">
        <w:rPr>
          <w:sz w:val="26"/>
          <w:szCs w:val="26"/>
          <w:lang w:bidi="he-IL"/>
        </w:rPr>
        <w:t xml:space="preserve"> </w:t>
      </w:r>
      <w:r w:rsidR="000D2185" w:rsidRPr="00D4590B">
        <w:rPr>
          <w:sz w:val="26"/>
          <w:szCs w:val="26"/>
          <w:lang w:bidi="he-IL"/>
        </w:rPr>
        <w:t>Nevertheless, in that very context, he invokes</w:t>
      </w:r>
      <w:r w:rsidR="006D289A" w:rsidRPr="00D4590B">
        <w:rPr>
          <w:sz w:val="26"/>
          <w:szCs w:val="26"/>
          <w:lang w:bidi="he-IL"/>
        </w:rPr>
        <w:t xml:space="preserve"> </w:t>
      </w:r>
      <w:r w:rsidR="00AE0CE8" w:rsidRPr="00D4590B">
        <w:rPr>
          <w:sz w:val="26"/>
          <w:szCs w:val="26"/>
          <w:lang w:bidi="he-IL"/>
        </w:rPr>
        <w:t xml:space="preserve">certain </w:t>
      </w:r>
      <w:r w:rsidR="006D289A" w:rsidRPr="00D4590B">
        <w:rPr>
          <w:sz w:val="26"/>
          <w:szCs w:val="26"/>
          <w:lang w:bidi="he-IL"/>
        </w:rPr>
        <w:t>stylistic features</w:t>
      </w:r>
      <w:r w:rsidR="000D2185" w:rsidRPr="00D4590B">
        <w:rPr>
          <w:sz w:val="26"/>
          <w:szCs w:val="26"/>
          <w:lang w:bidi="he-IL"/>
        </w:rPr>
        <w:t xml:space="preserve"> of the commentary to support his </w:t>
      </w:r>
      <w:r w:rsidR="00370291" w:rsidRPr="00D4590B">
        <w:rPr>
          <w:sz w:val="26"/>
          <w:szCs w:val="26"/>
          <w:lang w:bidi="he-IL"/>
        </w:rPr>
        <w:t xml:space="preserve">position </w:t>
      </w:r>
      <w:r w:rsidR="00160626" w:rsidRPr="00D4590B">
        <w:rPr>
          <w:sz w:val="26"/>
          <w:szCs w:val="26"/>
          <w:lang w:bidi="he-IL"/>
        </w:rPr>
        <w:t xml:space="preserve">attributing </w:t>
      </w:r>
      <w:r w:rsidR="006D289A" w:rsidRPr="00D4590B">
        <w:rPr>
          <w:sz w:val="26"/>
          <w:szCs w:val="26"/>
          <w:lang w:bidi="he-IL"/>
        </w:rPr>
        <w:t xml:space="preserve">the work to </w:t>
      </w:r>
      <w:proofErr w:type="spellStart"/>
      <w:r w:rsidR="006D289A" w:rsidRPr="00D4590B">
        <w:rPr>
          <w:sz w:val="26"/>
          <w:szCs w:val="26"/>
          <w:lang w:bidi="he-IL"/>
        </w:rPr>
        <w:t>Radak</w:t>
      </w:r>
      <w:proofErr w:type="spellEnd"/>
      <w:r w:rsidR="00BB0226" w:rsidRPr="00D4590B">
        <w:rPr>
          <w:sz w:val="26"/>
          <w:szCs w:val="26"/>
          <w:lang w:bidi="he-IL"/>
        </w:rPr>
        <w:t>.</w:t>
      </w:r>
      <w:r w:rsidR="008515BC" w:rsidRPr="00D4590B">
        <w:rPr>
          <w:sz w:val="26"/>
          <w:szCs w:val="26"/>
          <w:lang w:bidi="he-IL"/>
        </w:rPr>
        <w:t xml:space="preserve"> </w:t>
      </w:r>
      <w:r w:rsidR="006D289A" w:rsidRPr="00D4590B">
        <w:rPr>
          <w:sz w:val="26"/>
          <w:szCs w:val="26"/>
          <w:lang w:bidi="he-IL"/>
        </w:rPr>
        <w:t>At the same time,</w:t>
      </w:r>
      <w:r w:rsidRPr="00D4590B">
        <w:rPr>
          <w:sz w:val="26"/>
          <w:szCs w:val="26"/>
          <w:lang w:bidi="he-IL"/>
        </w:rPr>
        <w:t xml:space="preserve"> </w:t>
      </w:r>
      <w:r w:rsidR="006D289A" w:rsidRPr="00D4590B">
        <w:rPr>
          <w:sz w:val="26"/>
          <w:szCs w:val="26"/>
          <w:lang w:bidi="he-IL"/>
        </w:rPr>
        <w:t xml:space="preserve">considerations of style play a significant role in </w:t>
      </w:r>
      <w:proofErr w:type="spellStart"/>
      <w:r w:rsidRPr="00D4590B">
        <w:rPr>
          <w:sz w:val="26"/>
          <w:szCs w:val="26"/>
          <w:lang w:bidi="he-IL"/>
        </w:rPr>
        <w:t>Grunhaus’s</w:t>
      </w:r>
      <w:proofErr w:type="spellEnd"/>
      <w:r w:rsidRPr="00D4590B">
        <w:rPr>
          <w:sz w:val="26"/>
          <w:szCs w:val="26"/>
          <w:lang w:bidi="he-IL"/>
        </w:rPr>
        <w:t xml:space="preserve"> </w:t>
      </w:r>
      <w:r w:rsidR="006D289A" w:rsidRPr="00D4590B">
        <w:rPr>
          <w:i/>
          <w:iCs/>
          <w:sz w:val="26"/>
          <w:szCs w:val="26"/>
          <w:lang w:bidi="he-IL"/>
        </w:rPr>
        <w:t xml:space="preserve">denial </w:t>
      </w:r>
      <w:r w:rsidR="00BB0226" w:rsidRPr="00D4590B">
        <w:rPr>
          <w:sz w:val="26"/>
          <w:szCs w:val="26"/>
          <w:lang w:bidi="he-IL"/>
        </w:rPr>
        <w:t>of the attribution</w:t>
      </w:r>
      <w:r w:rsidRPr="00D4590B">
        <w:rPr>
          <w:sz w:val="26"/>
          <w:szCs w:val="26"/>
          <w:lang w:bidi="he-IL"/>
        </w:rPr>
        <w:t>.</w:t>
      </w:r>
      <w:r w:rsidR="008515BC" w:rsidRPr="00D4590B">
        <w:rPr>
          <w:sz w:val="26"/>
          <w:szCs w:val="26"/>
          <w:lang w:bidi="he-IL"/>
        </w:rPr>
        <w:t xml:space="preserve"> </w:t>
      </w:r>
      <w:r w:rsidRPr="00D4590B">
        <w:rPr>
          <w:sz w:val="26"/>
          <w:szCs w:val="26"/>
          <w:lang w:bidi="he-IL"/>
        </w:rPr>
        <w:t>In this</w:t>
      </w:r>
      <w:r w:rsidR="0096175B" w:rsidRPr="00D4590B">
        <w:rPr>
          <w:sz w:val="26"/>
          <w:szCs w:val="26"/>
          <w:lang w:bidi="he-IL"/>
        </w:rPr>
        <w:t xml:space="preserve"> section, we shall evaluate a</w:t>
      </w:r>
      <w:r w:rsidRPr="00D4590B">
        <w:rPr>
          <w:sz w:val="26"/>
          <w:szCs w:val="26"/>
          <w:lang w:bidi="he-IL"/>
        </w:rPr>
        <w:t xml:space="preserve"> </w:t>
      </w:r>
      <w:r w:rsidRPr="00D4590B">
        <w:rPr>
          <w:sz w:val="26"/>
          <w:szCs w:val="26"/>
          <w:lang w:bidi="he-IL"/>
        </w:rPr>
        <w:lastRenderedPageBreak/>
        <w:t>range of evidence relating to terminology and compositional style, including many items not addressed in prior treatments.</w:t>
      </w:r>
      <w:r w:rsidR="008515BC" w:rsidRPr="00D4590B">
        <w:rPr>
          <w:sz w:val="26"/>
          <w:szCs w:val="26"/>
          <w:lang w:bidi="he-IL"/>
        </w:rPr>
        <w:t xml:space="preserve"> </w:t>
      </w:r>
      <w:r w:rsidRPr="00D4590B">
        <w:rPr>
          <w:sz w:val="26"/>
          <w:szCs w:val="26"/>
          <w:lang w:bidi="he-IL"/>
        </w:rPr>
        <w:t>Needless to say, where examples</w:t>
      </w:r>
      <w:r w:rsidR="00ED101E" w:rsidRPr="00D4590B">
        <w:rPr>
          <w:sz w:val="26"/>
          <w:szCs w:val="26"/>
          <w:lang w:bidi="he-IL"/>
        </w:rPr>
        <w:t xml:space="preserve"> appear that are </w:t>
      </w:r>
      <w:r w:rsidRPr="00D4590B">
        <w:rPr>
          <w:sz w:val="26"/>
          <w:szCs w:val="26"/>
          <w:lang w:bidi="he-IL"/>
        </w:rPr>
        <w:t xml:space="preserve">suggestive of </w:t>
      </w:r>
      <w:proofErr w:type="spellStart"/>
      <w:r w:rsidRPr="00D4590B">
        <w:rPr>
          <w:sz w:val="26"/>
          <w:szCs w:val="26"/>
          <w:lang w:bidi="he-IL"/>
        </w:rPr>
        <w:t>Radak’s</w:t>
      </w:r>
      <w:proofErr w:type="spellEnd"/>
      <w:r w:rsidRPr="00D4590B">
        <w:rPr>
          <w:sz w:val="26"/>
          <w:szCs w:val="26"/>
          <w:lang w:bidi="he-IL"/>
        </w:rPr>
        <w:t xml:space="preserve"> style, Grunhaus will generally attribute these to the renowned exegete’s influence on our commentary’s </w:t>
      </w:r>
      <w:r w:rsidR="00EA1CAE" w:rsidRPr="00D4590B">
        <w:rPr>
          <w:sz w:val="26"/>
          <w:szCs w:val="26"/>
          <w:lang w:bidi="he-IL"/>
        </w:rPr>
        <w:t xml:space="preserve">unknown </w:t>
      </w:r>
      <w:r w:rsidRPr="00D4590B">
        <w:rPr>
          <w:sz w:val="26"/>
          <w:szCs w:val="26"/>
          <w:lang w:bidi="he-IL"/>
        </w:rPr>
        <w:t>author.</w:t>
      </w:r>
      <w:r w:rsidR="008515BC" w:rsidRPr="00D4590B">
        <w:rPr>
          <w:sz w:val="26"/>
          <w:szCs w:val="26"/>
          <w:lang w:bidi="he-IL"/>
        </w:rPr>
        <w:t xml:space="preserve"> </w:t>
      </w:r>
      <w:r w:rsidRPr="00D4590B">
        <w:rPr>
          <w:sz w:val="26"/>
          <w:szCs w:val="26"/>
          <w:lang w:bidi="he-IL"/>
        </w:rPr>
        <w:t>I contend, on the other hand, that where we find genuin</w:t>
      </w:r>
      <w:r w:rsidR="006344BC" w:rsidRPr="00D4590B">
        <w:rPr>
          <w:sz w:val="26"/>
          <w:szCs w:val="26"/>
          <w:lang w:bidi="he-IL"/>
        </w:rPr>
        <w:t xml:space="preserve">e discrepancies, </w:t>
      </w:r>
      <w:r w:rsidRPr="00D4590B">
        <w:rPr>
          <w:sz w:val="26"/>
          <w:szCs w:val="26"/>
          <w:lang w:bidi="he-IL"/>
        </w:rPr>
        <w:t>the</w:t>
      </w:r>
      <w:r w:rsidR="00370291" w:rsidRPr="00D4590B">
        <w:rPr>
          <w:sz w:val="26"/>
          <w:szCs w:val="26"/>
          <w:lang w:bidi="he-IL"/>
        </w:rPr>
        <w:t>y</w:t>
      </w:r>
      <w:r w:rsidRPr="00D4590B">
        <w:rPr>
          <w:sz w:val="26"/>
          <w:szCs w:val="26"/>
          <w:lang w:bidi="he-IL"/>
        </w:rPr>
        <w:t xml:space="preserve"> reflect an early stage of </w:t>
      </w:r>
      <w:proofErr w:type="spellStart"/>
      <w:r w:rsidRPr="00D4590B">
        <w:rPr>
          <w:sz w:val="26"/>
          <w:szCs w:val="26"/>
          <w:lang w:bidi="he-IL"/>
        </w:rPr>
        <w:t>Radak’s</w:t>
      </w:r>
      <w:proofErr w:type="spellEnd"/>
      <w:r w:rsidRPr="00D4590B">
        <w:rPr>
          <w:sz w:val="26"/>
          <w:szCs w:val="26"/>
          <w:lang w:bidi="he-IL"/>
        </w:rPr>
        <w:t xml:space="preserve"> exegetical career.</w:t>
      </w:r>
      <w:r w:rsidR="008515BC" w:rsidRPr="00D4590B">
        <w:rPr>
          <w:sz w:val="26"/>
          <w:szCs w:val="26"/>
          <w:lang w:bidi="he-IL"/>
        </w:rPr>
        <w:t xml:space="preserve"> </w:t>
      </w:r>
      <w:r w:rsidRPr="00D4590B">
        <w:rPr>
          <w:sz w:val="26"/>
          <w:szCs w:val="26"/>
          <w:lang w:bidi="he-IL"/>
        </w:rPr>
        <w:t xml:space="preserve">In the final analysis, the stylistic evidence adds forcefully to the conviction that </w:t>
      </w:r>
      <w:proofErr w:type="spellStart"/>
      <w:r w:rsidRPr="00D4590B">
        <w:rPr>
          <w:sz w:val="26"/>
          <w:szCs w:val="26"/>
          <w:lang w:bidi="he-IL"/>
        </w:rPr>
        <w:t>Radak</w:t>
      </w:r>
      <w:proofErr w:type="spellEnd"/>
      <w:r w:rsidRPr="00D4590B">
        <w:rPr>
          <w:sz w:val="26"/>
          <w:szCs w:val="26"/>
          <w:lang w:bidi="he-IL"/>
        </w:rPr>
        <w:t xml:space="preserve"> composed the work, in keeping with the sense conveyed by Cassuto and Talmage.</w:t>
      </w:r>
    </w:p>
    <w:p w:rsidR="00E663C7" w:rsidRDefault="00E663C7" w:rsidP="00D4590B">
      <w:pPr>
        <w:spacing w:line="300" w:lineRule="exact"/>
        <w:jc w:val="both"/>
        <w:rPr>
          <w:rFonts w:hint="cs"/>
          <w:sz w:val="26"/>
          <w:szCs w:val="26"/>
          <w:rtl/>
          <w:lang w:bidi="he-IL"/>
        </w:rPr>
      </w:pPr>
    </w:p>
    <w:p w:rsidR="00975572" w:rsidRPr="00D4590B" w:rsidRDefault="00975572" w:rsidP="00D4590B">
      <w:pPr>
        <w:spacing w:line="300" w:lineRule="exact"/>
        <w:jc w:val="both"/>
        <w:rPr>
          <w:sz w:val="26"/>
          <w:szCs w:val="26"/>
          <w:lang w:bidi="he-IL"/>
        </w:rPr>
      </w:pPr>
      <w:r w:rsidRPr="00D4590B">
        <w:rPr>
          <w:sz w:val="26"/>
          <w:szCs w:val="26"/>
          <w:lang w:bidi="he-IL"/>
        </w:rPr>
        <w:t>A. References to Earlier Figures</w:t>
      </w:r>
    </w:p>
    <w:p w:rsidR="00975572" w:rsidRPr="00D4590B" w:rsidRDefault="00975572" w:rsidP="00D4590B">
      <w:pPr>
        <w:spacing w:line="300" w:lineRule="exact"/>
        <w:jc w:val="both"/>
        <w:rPr>
          <w:sz w:val="26"/>
          <w:szCs w:val="26"/>
          <w:lang w:bidi="he-IL"/>
        </w:rPr>
      </w:pPr>
      <w:r w:rsidRPr="00D4590B">
        <w:rPr>
          <w:sz w:val="26"/>
          <w:szCs w:val="26"/>
          <w:lang w:bidi="he-IL"/>
        </w:rPr>
        <w:t xml:space="preserve">A small group of stylistic arguments appears in </w:t>
      </w:r>
      <w:proofErr w:type="spellStart"/>
      <w:r w:rsidRPr="00D4590B">
        <w:rPr>
          <w:sz w:val="26"/>
          <w:szCs w:val="26"/>
          <w:lang w:bidi="he-IL"/>
        </w:rPr>
        <w:t>Grunhaus’s</w:t>
      </w:r>
      <w:proofErr w:type="spellEnd"/>
      <w:r w:rsidRPr="00D4590B">
        <w:rPr>
          <w:sz w:val="26"/>
          <w:szCs w:val="26"/>
          <w:lang w:bidi="he-IL"/>
        </w:rPr>
        <w:t xml:space="preserve"> discussion of the author’s “use of earlier sources.”</w:t>
      </w:r>
      <w:r w:rsidRPr="00D4590B">
        <w:rPr>
          <w:rStyle w:val="a4"/>
          <w:sz w:val="26"/>
          <w:szCs w:val="26"/>
          <w:lang w:bidi="he-IL"/>
        </w:rPr>
        <w:footnoteReference w:id="56"/>
      </w:r>
      <w:r w:rsidR="008515BC" w:rsidRPr="00D4590B">
        <w:rPr>
          <w:sz w:val="26"/>
          <w:szCs w:val="26"/>
          <w:lang w:bidi="he-IL"/>
        </w:rPr>
        <w:t xml:space="preserve"> </w:t>
      </w:r>
      <w:r w:rsidRPr="00D4590B">
        <w:rPr>
          <w:sz w:val="26"/>
          <w:szCs w:val="26"/>
          <w:lang w:bidi="he-IL"/>
        </w:rPr>
        <w:t xml:space="preserve">The first of these concerns the rarity with which he cites his medieval predecessors by name, in contrast to </w:t>
      </w:r>
      <w:proofErr w:type="spellStart"/>
      <w:r w:rsidRPr="00D4590B">
        <w:rPr>
          <w:sz w:val="26"/>
          <w:szCs w:val="26"/>
          <w:lang w:bidi="he-IL"/>
        </w:rPr>
        <w:t>Radak’s</w:t>
      </w:r>
      <w:proofErr w:type="spellEnd"/>
      <w:r w:rsidRPr="00D4590B">
        <w:rPr>
          <w:sz w:val="26"/>
          <w:szCs w:val="26"/>
          <w:lang w:bidi="he-IL"/>
        </w:rPr>
        <w:t xml:space="preserve"> wider tendency to identify his sources.</w:t>
      </w:r>
      <w:r w:rsidR="008515BC" w:rsidRPr="00D4590B">
        <w:rPr>
          <w:sz w:val="26"/>
          <w:szCs w:val="26"/>
          <w:lang w:bidi="he-IL"/>
        </w:rPr>
        <w:t xml:space="preserve"> </w:t>
      </w:r>
      <w:r w:rsidRPr="00D4590B">
        <w:rPr>
          <w:sz w:val="26"/>
          <w:szCs w:val="26"/>
          <w:lang w:bidi="he-IL"/>
        </w:rPr>
        <w:t xml:space="preserve">In the Proverbs commentary, there </w:t>
      </w:r>
      <w:r w:rsidR="00605ED7" w:rsidRPr="00D4590B">
        <w:rPr>
          <w:sz w:val="26"/>
          <w:szCs w:val="26"/>
          <w:lang w:bidi="he-IL"/>
        </w:rPr>
        <w:t xml:space="preserve">are </w:t>
      </w:r>
      <w:r w:rsidRPr="00D4590B">
        <w:rPr>
          <w:sz w:val="26"/>
          <w:szCs w:val="26"/>
          <w:lang w:bidi="he-IL"/>
        </w:rPr>
        <w:t xml:space="preserve">eight explicit references to </w:t>
      </w:r>
      <w:proofErr w:type="spellStart"/>
      <w:r w:rsidRPr="00D4590B">
        <w:rPr>
          <w:sz w:val="26"/>
          <w:szCs w:val="26"/>
          <w:lang w:bidi="he-IL"/>
        </w:rPr>
        <w:t>Rashi</w:t>
      </w:r>
      <w:proofErr w:type="spellEnd"/>
      <w:r w:rsidRPr="00D4590B">
        <w:rPr>
          <w:sz w:val="26"/>
          <w:szCs w:val="26"/>
          <w:lang w:bidi="he-IL"/>
        </w:rPr>
        <w:t xml:space="preserve">, one to R. Jonah ibn </w:t>
      </w:r>
      <w:proofErr w:type="spellStart"/>
      <w:r w:rsidRPr="00D4590B">
        <w:rPr>
          <w:sz w:val="26"/>
          <w:szCs w:val="26"/>
          <w:lang w:bidi="he-IL"/>
        </w:rPr>
        <w:t>Janah</w:t>
      </w:r>
      <w:proofErr w:type="spellEnd"/>
      <w:r w:rsidRPr="00D4590B">
        <w:rPr>
          <w:sz w:val="26"/>
          <w:szCs w:val="26"/>
          <w:lang w:bidi="he-IL"/>
        </w:rPr>
        <w:t>, and one to R. Moses the Preacher.</w:t>
      </w:r>
      <w:r w:rsidRPr="00D4590B">
        <w:rPr>
          <w:rStyle w:val="a4"/>
          <w:sz w:val="26"/>
          <w:szCs w:val="26"/>
          <w:lang w:bidi="he-IL"/>
        </w:rPr>
        <w:footnoteReference w:id="57"/>
      </w:r>
      <w:r w:rsidR="008515BC" w:rsidRPr="00D4590B">
        <w:rPr>
          <w:sz w:val="26"/>
          <w:szCs w:val="26"/>
          <w:lang w:bidi="he-IL"/>
        </w:rPr>
        <w:t xml:space="preserve"> </w:t>
      </w:r>
      <w:r w:rsidR="00ED101E" w:rsidRPr="00D4590B">
        <w:rPr>
          <w:sz w:val="26"/>
          <w:szCs w:val="26"/>
          <w:lang w:bidi="he-IL"/>
        </w:rPr>
        <w:t>However,</w:t>
      </w:r>
      <w:r w:rsidRPr="00D4590B">
        <w:rPr>
          <w:sz w:val="26"/>
          <w:szCs w:val="26"/>
          <w:lang w:bidi="he-IL"/>
        </w:rPr>
        <w:t xml:space="preserve"> on fifty occasions, the author uses the expressions </w:t>
      </w:r>
      <w:r w:rsidRPr="00D4590B">
        <w:rPr>
          <w:rFonts w:hint="cs"/>
          <w:sz w:val="26"/>
          <w:szCs w:val="26"/>
          <w:rtl/>
          <w:lang w:bidi="he-IL"/>
        </w:rPr>
        <w:t>יש מי שפרש</w:t>
      </w:r>
      <w:r w:rsidRPr="00D4590B">
        <w:rPr>
          <w:sz w:val="26"/>
          <w:szCs w:val="26"/>
          <w:lang w:bidi="he-IL"/>
        </w:rPr>
        <w:t xml:space="preserve">, </w:t>
      </w:r>
      <w:r w:rsidRPr="00D4590B">
        <w:rPr>
          <w:rFonts w:hint="cs"/>
          <w:sz w:val="26"/>
          <w:szCs w:val="26"/>
          <w:rtl/>
          <w:lang w:bidi="he-IL"/>
        </w:rPr>
        <w:t>יש מפרשים</w:t>
      </w:r>
      <w:r w:rsidRPr="00D4590B">
        <w:rPr>
          <w:sz w:val="26"/>
          <w:szCs w:val="26"/>
          <w:lang w:bidi="he-IL"/>
        </w:rPr>
        <w:t xml:space="preserve">, or </w:t>
      </w:r>
      <w:r w:rsidRPr="00D4590B">
        <w:rPr>
          <w:rFonts w:hint="cs"/>
          <w:sz w:val="26"/>
          <w:szCs w:val="26"/>
          <w:rtl/>
          <w:lang w:bidi="he-IL"/>
        </w:rPr>
        <w:t>יש אומרים</w:t>
      </w:r>
      <w:r w:rsidRPr="00D4590B">
        <w:rPr>
          <w:sz w:val="26"/>
          <w:szCs w:val="26"/>
          <w:lang w:bidi="he-IL"/>
        </w:rPr>
        <w:t>, alluding to his source</w:t>
      </w:r>
      <w:r w:rsidR="00524446" w:rsidRPr="00D4590B">
        <w:rPr>
          <w:sz w:val="26"/>
          <w:szCs w:val="26"/>
          <w:lang w:bidi="he-IL"/>
        </w:rPr>
        <w:t xml:space="preserve"> </w:t>
      </w:r>
      <w:r w:rsidRPr="00D4590B">
        <w:rPr>
          <w:sz w:val="26"/>
          <w:szCs w:val="26"/>
          <w:lang w:bidi="he-IL"/>
        </w:rPr>
        <w:t>without</w:t>
      </w:r>
      <w:r w:rsidR="00370291" w:rsidRPr="00D4590B">
        <w:rPr>
          <w:sz w:val="26"/>
          <w:szCs w:val="26"/>
          <w:lang w:bidi="he-IL"/>
        </w:rPr>
        <w:t xml:space="preserve"> </w:t>
      </w:r>
      <w:r w:rsidRPr="00D4590B">
        <w:rPr>
          <w:sz w:val="26"/>
          <w:szCs w:val="26"/>
          <w:lang w:bidi="he-IL"/>
        </w:rPr>
        <w:t>nam</w:t>
      </w:r>
      <w:r w:rsidR="00370291" w:rsidRPr="00D4590B">
        <w:rPr>
          <w:sz w:val="26"/>
          <w:szCs w:val="26"/>
          <w:lang w:bidi="he-IL"/>
        </w:rPr>
        <w:t>ing it</w:t>
      </w:r>
      <w:r w:rsidRPr="00D4590B">
        <w:rPr>
          <w:sz w:val="26"/>
          <w:szCs w:val="26"/>
          <w:lang w:bidi="he-IL"/>
        </w:rPr>
        <w:t>.</w:t>
      </w:r>
      <w:r w:rsidR="008515BC" w:rsidRPr="00D4590B">
        <w:rPr>
          <w:sz w:val="26"/>
          <w:szCs w:val="26"/>
          <w:lang w:bidi="he-IL"/>
        </w:rPr>
        <w:t xml:space="preserve"> </w:t>
      </w:r>
      <w:r w:rsidRPr="00D4590B">
        <w:rPr>
          <w:sz w:val="26"/>
          <w:szCs w:val="26"/>
          <w:lang w:bidi="he-IL"/>
        </w:rPr>
        <w:t xml:space="preserve">In </w:t>
      </w:r>
      <w:proofErr w:type="spellStart"/>
      <w:r w:rsidRPr="00D4590B">
        <w:rPr>
          <w:sz w:val="26"/>
          <w:szCs w:val="26"/>
          <w:lang w:bidi="he-IL"/>
        </w:rPr>
        <w:t>Radak’s</w:t>
      </w:r>
      <w:proofErr w:type="spellEnd"/>
      <w:r w:rsidRPr="00D4590B">
        <w:rPr>
          <w:sz w:val="26"/>
          <w:szCs w:val="26"/>
          <w:lang w:bidi="he-IL"/>
        </w:rPr>
        <w:t xml:space="preserve"> works, by contrast, there is generally a more even balance between named and unnamed citations.</w:t>
      </w:r>
      <w:r w:rsidR="008515BC" w:rsidRPr="00D4590B">
        <w:rPr>
          <w:sz w:val="26"/>
          <w:szCs w:val="26"/>
          <w:lang w:bidi="he-IL"/>
        </w:rPr>
        <w:t xml:space="preserve"> </w:t>
      </w:r>
      <w:r w:rsidRPr="00D4590B">
        <w:rPr>
          <w:sz w:val="26"/>
          <w:szCs w:val="26"/>
          <w:lang w:bidi="he-IL"/>
        </w:rPr>
        <w:t xml:space="preserve">As for the term </w:t>
      </w:r>
      <w:r w:rsidRPr="00D4590B">
        <w:rPr>
          <w:rFonts w:hint="cs"/>
          <w:sz w:val="26"/>
          <w:szCs w:val="26"/>
          <w:rtl/>
          <w:lang w:bidi="he-IL"/>
        </w:rPr>
        <w:t>יש מי שפרש</w:t>
      </w:r>
      <w:r w:rsidRPr="00D4590B">
        <w:rPr>
          <w:sz w:val="26"/>
          <w:szCs w:val="26"/>
          <w:lang w:bidi="he-IL"/>
        </w:rPr>
        <w:t xml:space="preserve"> itself, this appears eleven times in the Proverbs commentary, but only once in </w:t>
      </w:r>
      <w:proofErr w:type="spellStart"/>
      <w:r w:rsidRPr="00D4590B">
        <w:rPr>
          <w:sz w:val="26"/>
          <w:szCs w:val="26"/>
          <w:lang w:bidi="he-IL"/>
        </w:rPr>
        <w:t>Radak</w:t>
      </w:r>
      <w:proofErr w:type="spellEnd"/>
      <w:r w:rsidRPr="00D4590B">
        <w:rPr>
          <w:sz w:val="26"/>
          <w:szCs w:val="26"/>
          <w:lang w:bidi="he-IL"/>
        </w:rPr>
        <w:t xml:space="preserve"> on other biblical books (at Joshua </w:t>
      </w:r>
      <w:smartTag w:uri="urn:schemas-microsoft-com:office:smarttags" w:element="time">
        <w:smartTagPr>
          <w:attr w:name="Minute" w:val="11"/>
          <w:attr w:name="Hour" w:val="3"/>
        </w:smartTagPr>
        <w:r w:rsidRPr="00D4590B">
          <w:rPr>
            <w:sz w:val="26"/>
            <w:szCs w:val="26"/>
            <w:lang w:bidi="he-IL"/>
          </w:rPr>
          <w:t>3:11</w:t>
        </w:r>
      </w:smartTag>
      <w:r w:rsidRPr="00D4590B">
        <w:rPr>
          <w:sz w:val="26"/>
          <w:szCs w:val="26"/>
          <w:lang w:bidi="he-IL"/>
        </w:rPr>
        <w:t>).</w:t>
      </w:r>
    </w:p>
    <w:p w:rsidR="00975572" w:rsidRPr="00D4590B" w:rsidRDefault="00975572" w:rsidP="00FF0B7D">
      <w:pPr>
        <w:spacing w:line="300" w:lineRule="exact"/>
        <w:ind w:firstLine="284"/>
        <w:jc w:val="both"/>
        <w:rPr>
          <w:sz w:val="26"/>
          <w:szCs w:val="26"/>
          <w:lang w:bidi="he-IL"/>
        </w:rPr>
      </w:pPr>
      <w:r w:rsidRPr="00D4590B">
        <w:rPr>
          <w:sz w:val="26"/>
          <w:szCs w:val="26"/>
          <w:lang w:bidi="he-IL"/>
        </w:rPr>
        <w:t xml:space="preserve">How does the Proverbs commentary compare, however, to </w:t>
      </w:r>
      <w:proofErr w:type="spellStart"/>
      <w:r w:rsidRPr="00D4590B">
        <w:rPr>
          <w:sz w:val="26"/>
          <w:szCs w:val="26"/>
          <w:lang w:bidi="he-IL"/>
        </w:rPr>
        <w:t>Radak’s</w:t>
      </w:r>
      <w:proofErr w:type="spellEnd"/>
      <w:r w:rsidRPr="00D4590B">
        <w:rPr>
          <w:sz w:val="26"/>
          <w:szCs w:val="26"/>
          <w:lang w:bidi="he-IL"/>
        </w:rPr>
        <w:t xml:space="preserve"> other </w:t>
      </w:r>
      <w:r w:rsidRPr="00D4590B">
        <w:rPr>
          <w:i/>
          <w:iCs/>
          <w:sz w:val="26"/>
          <w:szCs w:val="26"/>
          <w:lang w:bidi="he-IL"/>
        </w:rPr>
        <w:t>early</w:t>
      </w:r>
      <w:r w:rsidRPr="00D4590B">
        <w:rPr>
          <w:sz w:val="26"/>
          <w:szCs w:val="26"/>
          <w:lang w:bidi="he-IL"/>
        </w:rPr>
        <w:t xml:space="preserve"> compositions in these respects?</w:t>
      </w:r>
      <w:r w:rsidR="008515BC" w:rsidRPr="00D4590B">
        <w:rPr>
          <w:sz w:val="26"/>
          <w:szCs w:val="26"/>
          <w:lang w:bidi="he-IL"/>
        </w:rPr>
        <w:t xml:space="preserve"> </w:t>
      </w:r>
      <w:r w:rsidRPr="00D4590B">
        <w:rPr>
          <w:sz w:val="26"/>
          <w:szCs w:val="26"/>
          <w:lang w:bidi="he-IL"/>
        </w:rPr>
        <w:t xml:space="preserve">Most strikingly, </w:t>
      </w:r>
      <w:r w:rsidRPr="00D4590B">
        <w:rPr>
          <w:rFonts w:hint="cs"/>
          <w:sz w:val="26"/>
          <w:szCs w:val="26"/>
          <w:rtl/>
          <w:lang w:bidi="he-IL"/>
        </w:rPr>
        <w:t>יש מי שפרש</w:t>
      </w:r>
      <w:r w:rsidRPr="00D4590B">
        <w:rPr>
          <w:sz w:val="26"/>
          <w:szCs w:val="26"/>
          <w:lang w:bidi="he-IL"/>
        </w:rPr>
        <w:t xml:space="preserve">, despite appearing just once elsewhere in </w:t>
      </w:r>
      <w:proofErr w:type="spellStart"/>
      <w:r w:rsidRPr="00D4590B">
        <w:rPr>
          <w:sz w:val="26"/>
          <w:szCs w:val="26"/>
          <w:lang w:bidi="he-IL"/>
        </w:rPr>
        <w:t>Radak’s</w:t>
      </w:r>
      <w:proofErr w:type="spellEnd"/>
      <w:r w:rsidRPr="00D4590B">
        <w:rPr>
          <w:sz w:val="26"/>
          <w:szCs w:val="26"/>
          <w:lang w:bidi="he-IL"/>
        </w:rPr>
        <w:t xml:space="preserve"> commentaries, may be found numerous times in </w:t>
      </w:r>
      <w:r w:rsidRPr="00D4590B">
        <w:rPr>
          <w:i/>
          <w:iCs/>
          <w:sz w:val="26"/>
          <w:szCs w:val="26"/>
          <w:lang w:bidi="he-IL"/>
        </w:rPr>
        <w:t>Shorashim</w:t>
      </w:r>
      <w:r w:rsidRPr="00D4590B">
        <w:rPr>
          <w:sz w:val="26"/>
          <w:szCs w:val="26"/>
          <w:lang w:bidi="he-IL"/>
        </w:rPr>
        <w:t>, in a ratio slightly more</w:t>
      </w:r>
      <w:r w:rsidR="00E97561" w:rsidRPr="00D4590B">
        <w:rPr>
          <w:sz w:val="26"/>
          <w:szCs w:val="26"/>
          <w:lang w:bidi="he-IL"/>
        </w:rPr>
        <w:t xml:space="preserve"> pronounced than what we find in the</w:t>
      </w:r>
      <w:r w:rsidRPr="00D4590B">
        <w:rPr>
          <w:sz w:val="26"/>
          <w:szCs w:val="26"/>
          <w:lang w:bidi="he-IL"/>
        </w:rPr>
        <w:t xml:space="preserve"> Proverbs</w:t>
      </w:r>
      <w:r w:rsidR="00E97561" w:rsidRPr="00D4590B">
        <w:rPr>
          <w:sz w:val="26"/>
          <w:szCs w:val="26"/>
          <w:lang w:bidi="he-IL"/>
        </w:rPr>
        <w:t xml:space="preserve"> commentary</w:t>
      </w:r>
      <w:r w:rsidR="00B25A50" w:rsidRPr="00D4590B">
        <w:rPr>
          <w:sz w:val="26"/>
          <w:szCs w:val="26"/>
          <w:lang w:bidi="he-IL"/>
        </w:rPr>
        <w:t>.</w:t>
      </w:r>
      <w:r w:rsidR="008515BC" w:rsidRPr="00D4590B">
        <w:rPr>
          <w:sz w:val="26"/>
          <w:szCs w:val="26"/>
          <w:lang w:bidi="he-IL"/>
        </w:rPr>
        <w:t xml:space="preserve"> </w:t>
      </w:r>
      <w:r w:rsidR="00B25A50" w:rsidRPr="00D4590B">
        <w:rPr>
          <w:sz w:val="26"/>
          <w:szCs w:val="26"/>
          <w:lang w:bidi="he-IL"/>
        </w:rPr>
        <w:t xml:space="preserve">In the </w:t>
      </w:r>
      <w:r w:rsidR="00B25A50" w:rsidRPr="00D4590B">
        <w:rPr>
          <w:i/>
          <w:iCs/>
          <w:sz w:val="26"/>
          <w:szCs w:val="26"/>
          <w:lang w:bidi="he-IL"/>
        </w:rPr>
        <w:t>’</w:t>
      </w:r>
      <w:proofErr w:type="spellStart"/>
      <w:r w:rsidR="00B25A50" w:rsidRPr="00D4590B">
        <w:rPr>
          <w:i/>
          <w:iCs/>
          <w:sz w:val="26"/>
          <w:szCs w:val="26"/>
          <w:lang w:bidi="he-IL"/>
        </w:rPr>
        <w:t>a</w:t>
      </w:r>
      <w:r w:rsidRPr="00D4590B">
        <w:rPr>
          <w:i/>
          <w:iCs/>
          <w:sz w:val="26"/>
          <w:szCs w:val="26"/>
          <w:lang w:bidi="he-IL"/>
        </w:rPr>
        <w:t>lef</w:t>
      </w:r>
      <w:proofErr w:type="spellEnd"/>
      <w:r w:rsidRPr="00D4590B">
        <w:rPr>
          <w:sz w:val="26"/>
          <w:szCs w:val="26"/>
          <w:lang w:bidi="he-IL"/>
        </w:rPr>
        <w:t xml:space="preserve"> entries, for example, I count twenty-four appearances of </w:t>
      </w:r>
      <w:r w:rsidRPr="00D4590B">
        <w:rPr>
          <w:rFonts w:hint="cs"/>
          <w:sz w:val="26"/>
          <w:szCs w:val="26"/>
          <w:rtl/>
          <w:lang w:bidi="he-IL"/>
        </w:rPr>
        <w:t>יש מפרשים\אומרים</w:t>
      </w:r>
      <w:r w:rsidRPr="00D4590B">
        <w:rPr>
          <w:sz w:val="26"/>
          <w:szCs w:val="26"/>
          <w:lang w:bidi="he-IL"/>
        </w:rPr>
        <w:t>, and eight of</w:t>
      </w:r>
      <w:r w:rsidR="00822154">
        <w:rPr>
          <w:sz w:val="26"/>
          <w:szCs w:val="26"/>
          <w:lang w:bidi="he-IL"/>
        </w:rPr>
        <w:t xml:space="preserve"> </w:t>
      </w:r>
      <w:r w:rsidRPr="00D4590B">
        <w:rPr>
          <w:rFonts w:hint="cs"/>
          <w:sz w:val="26"/>
          <w:szCs w:val="26"/>
          <w:rtl/>
          <w:lang w:bidi="he-IL"/>
        </w:rPr>
        <w:t>יש מי שפרש\שפרשוֹ</w:t>
      </w:r>
      <w:r w:rsidRPr="00D4590B">
        <w:rPr>
          <w:sz w:val="26"/>
          <w:szCs w:val="26"/>
          <w:lang w:bidi="he-IL"/>
        </w:rPr>
        <w:t>.</w:t>
      </w:r>
      <w:r w:rsidR="008515BC" w:rsidRPr="00D4590B">
        <w:rPr>
          <w:sz w:val="26"/>
          <w:szCs w:val="26"/>
          <w:lang w:bidi="he-IL"/>
        </w:rPr>
        <w:t xml:space="preserve"> </w:t>
      </w:r>
      <w:r w:rsidR="00605ED7" w:rsidRPr="00D4590B">
        <w:rPr>
          <w:sz w:val="26"/>
          <w:szCs w:val="26"/>
          <w:lang w:bidi="he-IL"/>
        </w:rPr>
        <w:t>T</w:t>
      </w:r>
      <w:r w:rsidRPr="00D4590B">
        <w:rPr>
          <w:sz w:val="26"/>
          <w:szCs w:val="26"/>
          <w:lang w:bidi="he-IL"/>
        </w:rPr>
        <w:t xml:space="preserve">his </w:t>
      </w:r>
      <w:r w:rsidR="00605ED7" w:rsidRPr="00D4590B">
        <w:rPr>
          <w:sz w:val="26"/>
          <w:szCs w:val="26"/>
          <w:lang w:bidi="he-IL"/>
        </w:rPr>
        <w:t xml:space="preserve">undoubtedly </w:t>
      </w:r>
      <w:r w:rsidRPr="00D4590B">
        <w:rPr>
          <w:sz w:val="26"/>
          <w:szCs w:val="26"/>
          <w:lang w:bidi="he-IL"/>
        </w:rPr>
        <w:t xml:space="preserve">reflects an earlier style of </w:t>
      </w:r>
      <w:proofErr w:type="spellStart"/>
      <w:r w:rsidRPr="00D4590B">
        <w:rPr>
          <w:sz w:val="26"/>
          <w:szCs w:val="26"/>
          <w:lang w:bidi="he-IL"/>
        </w:rPr>
        <w:t>Radak</w:t>
      </w:r>
      <w:proofErr w:type="spellEnd"/>
      <w:r w:rsidRPr="00D4590B">
        <w:rPr>
          <w:sz w:val="26"/>
          <w:szCs w:val="26"/>
          <w:lang w:bidi="he-IL"/>
        </w:rPr>
        <w:t xml:space="preserve">, and if our theory is correct, </w:t>
      </w:r>
      <w:proofErr w:type="spellStart"/>
      <w:r w:rsidRPr="00D4590B">
        <w:rPr>
          <w:sz w:val="26"/>
          <w:szCs w:val="26"/>
          <w:lang w:bidi="he-IL"/>
        </w:rPr>
        <w:t>Radak’s</w:t>
      </w:r>
      <w:proofErr w:type="spellEnd"/>
      <w:r w:rsidRPr="00D4590B">
        <w:rPr>
          <w:sz w:val="26"/>
          <w:szCs w:val="26"/>
          <w:lang w:bidi="he-IL"/>
        </w:rPr>
        <w:t xml:space="preserve"> early work on Proverbs fittingly exhibits the same kind of breakdown: a large number of appearances of the more common type of referent, along with a liberal sprinkling of the </w:t>
      </w:r>
      <w:r w:rsidRPr="00D4590B">
        <w:rPr>
          <w:sz w:val="26"/>
          <w:szCs w:val="26"/>
          <w:lang w:bidi="he-IL"/>
        </w:rPr>
        <w:lastRenderedPageBreak/>
        <w:t>alternative one.</w:t>
      </w:r>
      <w:r w:rsidR="008515BC" w:rsidRPr="00D4590B">
        <w:rPr>
          <w:sz w:val="26"/>
          <w:szCs w:val="26"/>
          <w:lang w:bidi="he-IL"/>
        </w:rPr>
        <w:t xml:space="preserve"> </w:t>
      </w:r>
      <w:r w:rsidRPr="00D4590B">
        <w:rPr>
          <w:sz w:val="26"/>
          <w:szCs w:val="26"/>
          <w:lang w:bidi="he-IL"/>
        </w:rPr>
        <w:t xml:space="preserve">If, however, the author was merely influenced by </w:t>
      </w:r>
      <w:proofErr w:type="spellStart"/>
      <w:r w:rsidRPr="00D4590B">
        <w:rPr>
          <w:sz w:val="26"/>
          <w:szCs w:val="26"/>
          <w:lang w:bidi="he-IL"/>
        </w:rPr>
        <w:t>Radak’s</w:t>
      </w:r>
      <w:proofErr w:type="spellEnd"/>
      <w:r w:rsidRPr="00D4590B">
        <w:rPr>
          <w:sz w:val="26"/>
          <w:szCs w:val="26"/>
          <w:lang w:bidi="he-IL"/>
        </w:rPr>
        <w:t xml:space="preserve"> terminology, this correlation emerges rather difficult in light of two considerations.</w:t>
      </w:r>
      <w:r w:rsidR="008515BC" w:rsidRPr="00D4590B">
        <w:rPr>
          <w:sz w:val="26"/>
          <w:szCs w:val="26"/>
          <w:lang w:bidi="he-IL"/>
        </w:rPr>
        <w:t xml:space="preserve"> </w:t>
      </w:r>
      <w:r w:rsidRPr="00D4590B">
        <w:rPr>
          <w:sz w:val="26"/>
          <w:szCs w:val="26"/>
          <w:lang w:bidi="he-IL"/>
        </w:rPr>
        <w:t xml:space="preserve">First, it follows that our </w:t>
      </w:r>
      <w:proofErr w:type="spellStart"/>
      <w:r w:rsidRPr="00D4590B">
        <w:rPr>
          <w:sz w:val="26"/>
          <w:szCs w:val="26"/>
          <w:lang w:bidi="he-IL"/>
        </w:rPr>
        <w:t>Radak</w:t>
      </w:r>
      <w:proofErr w:type="spellEnd"/>
      <w:r w:rsidRPr="00D4590B">
        <w:rPr>
          <w:sz w:val="26"/>
          <w:szCs w:val="26"/>
          <w:lang w:bidi="he-IL"/>
        </w:rPr>
        <w:t xml:space="preserve"> devotee not only adopted the distinguished exegete’s essentially interchangeable terms, </w:t>
      </w:r>
      <w:r w:rsidR="00ED101E" w:rsidRPr="00D4590B">
        <w:rPr>
          <w:sz w:val="26"/>
          <w:szCs w:val="26"/>
          <w:lang w:bidi="he-IL"/>
        </w:rPr>
        <w:t>but also</w:t>
      </w:r>
      <w:r w:rsidRPr="00D4590B">
        <w:rPr>
          <w:sz w:val="26"/>
          <w:szCs w:val="26"/>
          <w:lang w:bidi="he-IL"/>
        </w:rPr>
        <w:t xml:space="preserve"> ended up employing them with suspiciously similar frequency.</w:t>
      </w:r>
      <w:r w:rsidR="00FF1969" w:rsidRPr="00D4590B">
        <w:rPr>
          <w:sz w:val="26"/>
          <w:szCs w:val="26"/>
          <w:lang w:bidi="he-IL"/>
        </w:rPr>
        <w:t xml:space="preserve"> M</w:t>
      </w:r>
      <w:r w:rsidRPr="00D4590B">
        <w:rPr>
          <w:sz w:val="26"/>
          <w:szCs w:val="26"/>
          <w:lang w:bidi="he-IL"/>
        </w:rPr>
        <w:t xml:space="preserve">ore important, his sporadic use of </w:t>
      </w:r>
      <w:r w:rsidRPr="00D4590B">
        <w:rPr>
          <w:rFonts w:hint="cs"/>
          <w:sz w:val="26"/>
          <w:szCs w:val="26"/>
          <w:rtl/>
          <w:lang w:bidi="he-IL"/>
        </w:rPr>
        <w:t>יש מי שפרש</w:t>
      </w:r>
      <w:r w:rsidRPr="00D4590B">
        <w:rPr>
          <w:sz w:val="26"/>
          <w:szCs w:val="26"/>
          <w:lang w:bidi="he-IL"/>
        </w:rPr>
        <w:t xml:space="preserve"> must reflect the influence of </w:t>
      </w:r>
      <w:r w:rsidRPr="00D4590B">
        <w:rPr>
          <w:i/>
          <w:iCs/>
          <w:sz w:val="26"/>
          <w:szCs w:val="26"/>
          <w:lang w:bidi="he-IL"/>
        </w:rPr>
        <w:t>Shorashim</w:t>
      </w:r>
      <w:r w:rsidRPr="00D4590B">
        <w:rPr>
          <w:sz w:val="26"/>
          <w:szCs w:val="26"/>
          <w:lang w:bidi="he-IL"/>
        </w:rPr>
        <w:t xml:space="preserve"> specifically, even though </w:t>
      </w:r>
      <w:proofErr w:type="spellStart"/>
      <w:r w:rsidRPr="00D4590B">
        <w:rPr>
          <w:sz w:val="26"/>
          <w:szCs w:val="26"/>
          <w:lang w:bidi="he-IL"/>
        </w:rPr>
        <w:t>Radak</w:t>
      </w:r>
      <w:proofErr w:type="spellEnd"/>
      <w:r w:rsidRPr="00D4590B">
        <w:rPr>
          <w:sz w:val="26"/>
          <w:szCs w:val="26"/>
          <w:lang w:bidi="he-IL"/>
        </w:rPr>
        <w:t xml:space="preserve"> effectively abandoned the phrase in the overwhelming majority of his writings, including all of his commentaries.</w:t>
      </w:r>
    </w:p>
    <w:p w:rsidR="00975572" w:rsidRPr="00D4590B" w:rsidRDefault="008A0A51" w:rsidP="00FF0B7D">
      <w:pPr>
        <w:spacing w:line="300" w:lineRule="exact"/>
        <w:ind w:firstLine="284"/>
        <w:jc w:val="both"/>
        <w:rPr>
          <w:sz w:val="26"/>
          <w:szCs w:val="26"/>
          <w:lang w:bidi="he-IL"/>
        </w:rPr>
      </w:pPr>
      <w:r w:rsidRPr="00D4590B">
        <w:rPr>
          <w:sz w:val="26"/>
          <w:szCs w:val="26"/>
          <w:lang w:bidi="he-IL"/>
        </w:rPr>
        <w:t>Concerning</w:t>
      </w:r>
      <w:r w:rsidR="00975572" w:rsidRPr="00D4590B">
        <w:rPr>
          <w:sz w:val="26"/>
          <w:szCs w:val="26"/>
          <w:lang w:bidi="he-IL"/>
        </w:rPr>
        <w:t xml:space="preserve"> the ratio of named to unnamed citations, consider the distribution in </w:t>
      </w:r>
      <w:proofErr w:type="spellStart"/>
      <w:r w:rsidR="00975572" w:rsidRPr="00D4590B">
        <w:rPr>
          <w:sz w:val="26"/>
          <w:szCs w:val="26"/>
          <w:lang w:bidi="he-IL"/>
        </w:rPr>
        <w:t>Radak’s</w:t>
      </w:r>
      <w:proofErr w:type="spellEnd"/>
      <w:r w:rsidR="00975572" w:rsidRPr="00D4590B">
        <w:rPr>
          <w:sz w:val="26"/>
          <w:szCs w:val="26"/>
          <w:lang w:bidi="he-IL"/>
        </w:rPr>
        <w:t xml:space="preserve"> </w:t>
      </w:r>
      <w:r w:rsidR="004E7991">
        <w:rPr>
          <w:sz w:val="26"/>
          <w:szCs w:val="26"/>
          <w:lang w:bidi="he-IL"/>
        </w:rPr>
        <w:t>commentary on</w:t>
      </w:r>
      <w:r w:rsidR="00975572" w:rsidRPr="00D4590B">
        <w:rPr>
          <w:sz w:val="26"/>
          <w:szCs w:val="26"/>
          <w:lang w:bidi="he-IL"/>
        </w:rPr>
        <w:t xml:space="preserve"> Chronicles: one mention of </w:t>
      </w:r>
      <w:proofErr w:type="spellStart"/>
      <w:r w:rsidR="00975572" w:rsidRPr="00D4590B">
        <w:rPr>
          <w:sz w:val="26"/>
          <w:szCs w:val="26"/>
          <w:lang w:bidi="he-IL"/>
        </w:rPr>
        <w:t>Rashi</w:t>
      </w:r>
      <w:proofErr w:type="spellEnd"/>
      <w:r w:rsidR="00975572" w:rsidRPr="00D4590B">
        <w:rPr>
          <w:sz w:val="26"/>
          <w:szCs w:val="26"/>
          <w:lang w:bidi="he-IL"/>
        </w:rPr>
        <w:t>,</w:t>
      </w:r>
      <w:r w:rsidR="00E97561" w:rsidRPr="00D4590B">
        <w:rPr>
          <w:rStyle w:val="a4"/>
          <w:sz w:val="26"/>
          <w:szCs w:val="26"/>
          <w:lang w:bidi="he-IL"/>
        </w:rPr>
        <w:footnoteReference w:id="58"/>
      </w:r>
      <w:r w:rsidR="00975572" w:rsidRPr="00D4590B">
        <w:rPr>
          <w:sz w:val="26"/>
          <w:szCs w:val="26"/>
          <w:lang w:bidi="he-IL"/>
        </w:rPr>
        <w:t xml:space="preserve"> four of Ibn </w:t>
      </w:r>
      <w:proofErr w:type="spellStart"/>
      <w:r w:rsidR="00975572" w:rsidRPr="00D4590B">
        <w:rPr>
          <w:sz w:val="26"/>
          <w:szCs w:val="26"/>
          <w:lang w:bidi="he-IL"/>
        </w:rPr>
        <w:t>Janah</w:t>
      </w:r>
      <w:proofErr w:type="spellEnd"/>
      <w:r w:rsidR="00975572" w:rsidRPr="00D4590B">
        <w:rPr>
          <w:sz w:val="26"/>
          <w:szCs w:val="26"/>
          <w:lang w:bidi="he-IL"/>
        </w:rPr>
        <w:t>, two of Ibn Ezra,</w:t>
      </w:r>
      <w:r w:rsidR="00975572" w:rsidRPr="00D4590B">
        <w:rPr>
          <w:rStyle w:val="a4"/>
          <w:sz w:val="26"/>
          <w:szCs w:val="26"/>
          <w:lang w:bidi="he-IL"/>
        </w:rPr>
        <w:footnoteReference w:id="59"/>
      </w:r>
      <w:r w:rsidR="00975572" w:rsidRPr="00D4590B">
        <w:rPr>
          <w:sz w:val="26"/>
          <w:szCs w:val="26"/>
          <w:lang w:bidi="he-IL"/>
        </w:rPr>
        <w:t xml:space="preserve"> and thirty-four of </w:t>
      </w:r>
      <w:r w:rsidR="00975572" w:rsidRPr="00D4590B">
        <w:rPr>
          <w:rFonts w:hint="cs"/>
          <w:sz w:val="26"/>
          <w:szCs w:val="26"/>
          <w:rtl/>
          <w:lang w:bidi="he-IL"/>
        </w:rPr>
        <w:t>יש מפרשים\אומרים</w:t>
      </w:r>
      <w:r w:rsidR="00975572" w:rsidRPr="00D4590B">
        <w:rPr>
          <w:sz w:val="26"/>
          <w:szCs w:val="26"/>
          <w:lang w:bidi="he-IL"/>
        </w:rPr>
        <w:t>.</w:t>
      </w:r>
      <w:r w:rsidR="008515BC" w:rsidRPr="00D4590B">
        <w:rPr>
          <w:sz w:val="26"/>
          <w:szCs w:val="26"/>
          <w:lang w:bidi="he-IL"/>
        </w:rPr>
        <w:t xml:space="preserve"> </w:t>
      </w:r>
      <w:r w:rsidR="00975572" w:rsidRPr="00D4590B">
        <w:rPr>
          <w:sz w:val="26"/>
          <w:szCs w:val="26"/>
          <w:lang w:bidi="he-IL"/>
        </w:rPr>
        <w:t>That is</w:t>
      </w:r>
      <w:r w:rsidR="005F5F9E" w:rsidRPr="00D4590B">
        <w:rPr>
          <w:sz w:val="26"/>
          <w:szCs w:val="26"/>
          <w:lang w:bidi="he-IL"/>
        </w:rPr>
        <w:t>, of these forty-one citations i</w:t>
      </w:r>
      <w:r w:rsidR="00975572" w:rsidRPr="00D4590B">
        <w:rPr>
          <w:sz w:val="26"/>
          <w:szCs w:val="26"/>
          <w:lang w:bidi="he-IL"/>
        </w:rPr>
        <w:t xml:space="preserve">n </w:t>
      </w:r>
      <w:r w:rsidR="005F5F9E" w:rsidRPr="00D4590B">
        <w:rPr>
          <w:sz w:val="26"/>
          <w:szCs w:val="26"/>
          <w:lang w:bidi="he-IL"/>
        </w:rPr>
        <w:t xml:space="preserve">the </w:t>
      </w:r>
      <w:r w:rsidR="00975572" w:rsidRPr="00D4590B">
        <w:rPr>
          <w:sz w:val="26"/>
          <w:szCs w:val="26"/>
          <w:lang w:bidi="he-IL"/>
        </w:rPr>
        <w:t>Chronicles</w:t>
      </w:r>
      <w:r w:rsidR="005F5F9E" w:rsidRPr="00D4590B">
        <w:rPr>
          <w:sz w:val="26"/>
          <w:szCs w:val="26"/>
          <w:lang w:bidi="he-IL"/>
        </w:rPr>
        <w:t xml:space="preserve"> commentary</w:t>
      </w:r>
      <w:r w:rsidR="00975572" w:rsidRPr="00D4590B">
        <w:rPr>
          <w:sz w:val="26"/>
          <w:szCs w:val="26"/>
          <w:lang w:bidi="he-IL"/>
        </w:rPr>
        <w:t xml:space="preserve">, seven contain a named source, essentially the same </w:t>
      </w:r>
      <w:r w:rsidR="00524446" w:rsidRPr="00D4590B">
        <w:rPr>
          <w:sz w:val="26"/>
          <w:szCs w:val="26"/>
          <w:lang w:bidi="he-IL"/>
        </w:rPr>
        <w:t>ratio</w:t>
      </w:r>
      <w:r w:rsidR="00975572" w:rsidRPr="00D4590B">
        <w:rPr>
          <w:sz w:val="26"/>
          <w:szCs w:val="26"/>
          <w:lang w:bidi="he-IL"/>
        </w:rPr>
        <w:t xml:space="preserve"> as the ten out of sixty-two enumerated above in the case</w:t>
      </w:r>
      <w:r w:rsidR="00FF6F57" w:rsidRPr="00D4590B">
        <w:rPr>
          <w:sz w:val="26"/>
          <w:szCs w:val="26"/>
          <w:lang w:bidi="he-IL"/>
        </w:rPr>
        <w:t xml:space="preserve"> of Proverbs.</w:t>
      </w:r>
      <w:r w:rsidR="008515BC" w:rsidRPr="00D4590B">
        <w:rPr>
          <w:sz w:val="26"/>
          <w:szCs w:val="26"/>
          <w:lang w:bidi="he-IL"/>
        </w:rPr>
        <w:t xml:space="preserve"> </w:t>
      </w:r>
      <w:r w:rsidR="00FF6F57" w:rsidRPr="00D4590B">
        <w:rPr>
          <w:sz w:val="26"/>
          <w:szCs w:val="26"/>
          <w:lang w:bidi="he-IL"/>
        </w:rPr>
        <w:t xml:space="preserve">To be sure, this correlation might </w:t>
      </w:r>
      <w:r w:rsidR="00AC229F" w:rsidRPr="00D4590B">
        <w:rPr>
          <w:sz w:val="26"/>
          <w:szCs w:val="26"/>
          <w:lang w:bidi="he-IL"/>
        </w:rPr>
        <w:t>not be quite as strong as it appears</w:t>
      </w:r>
      <w:r w:rsidR="00975572" w:rsidRPr="00D4590B">
        <w:rPr>
          <w:sz w:val="26"/>
          <w:szCs w:val="26"/>
          <w:lang w:bidi="he-IL"/>
        </w:rPr>
        <w:t>; for on Chronicles</w:t>
      </w:r>
      <w:r w:rsidRPr="00D4590B">
        <w:rPr>
          <w:sz w:val="26"/>
          <w:szCs w:val="26"/>
          <w:lang w:bidi="he-IL"/>
        </w:rPr>
        <w:t xml:space="preserve">, </w:t>
      </w:r>
      <w:proofErr w:type="spellStart"/>
      <w:r w:rsidRPr="00D4590B">
        <w:rPr>
          <w:sz w:val="26"/>
          <w:szCs w:val="26"/>
          <w:lang w:bidi="he-IL"/>
        </w:rPr>
        <w:t>Radak</w:t>
      </w:r>
      <w:proofErr w:type="spellEnd"/>
      <w:r w:rsidR="00975572" w:rsidRPr="00D4590B">
        <w:rPr>
          <w:sz w:val="26"/>
          <w:szCs w:val="26"/>
          <w:lang w:bidi="he-IL"/>
        </w:rPr>
        <w:t xml:space="preserve"> was working with a number of prior commentaries, most notably Pseudo-</w:t>
      </w:r>
      <w:proofErr w:type="spellStart"/>
      <w:r w:rsidR="00975572" w:rsidRPr="00D4590B">
        <w:rPr>
          <w:sz w:val="26"/>
          <w:szCs w:val="26"/>
          <w:lang w:bidi="he-IL"/>
        </w:rPr>
        <w:t>Rashi</w:t>
      </w:r>
      <w:proofErr w:type="spellEnd"/>
      <w:r w:rsidR="00975572" w:rsidRPr="00D4590B">
        <w:rPr>
          <w:sz w:val="26"/>
          <w:szCs w:val="26"/>
          <w:lang w:bidi="he-IL"/>
        </w:rPr>
        <w:t xml:space="preserve">, whose authors he did not know and </w:t>
      </w:r>
      <w:r w:rsidR="00975572" w:rsidRPr="00D4590B">
        <w:rPr>
          <w:i/>
          <w:iCs/>
          <w:sz w:val="26"/>
          <w:szCs w:val="26"/>
          <w:lang w:bidi="he-IL"/>
        </w:rPr>
        <w:t>could</w:t>
      </w:r>
      <w:r w:rsidR="00975572" w:rsidRPr="00D4590B">
        <w:rPr>
          <w:sz w:val="26"/>
          <w:szCs w:val="26"/>
          <w:lang w:bidi="he-IL"/>
        </w:rPr>
        <w:t xml:space="preserve"> not cite by name.</w:t>
      </w:r>
      <w:r w:rsidR="00975572" w:rsidRPr="00D4590B">
        <w:rPr>
          <w:rStyle w:val="a4"/>
          <w:sz w:val="26"/>
          <w:szCs w:val="26"/>
          <w:lang w:bidi="he-IL"/>
        </w:rPr>
        <w:footnoteReference w:id="60"/>
      </w:r>
      <w:r w:rsidR="008515BC" w:rsidRPr="00D4590B">
        <w:rPr>
          <w:sz w:val="26"/>
          <w:szCs w:val="26"/>
          <w:lang w:bidi="he-IL"/>
        </w:rPr>
        <w:t xml:space="preserve"> </w:t>
      </w:r>
      <w:r w:rsidR="00975572" w:rsidRPr="00D4590B">
        <w:rPr>
          <w:sz w:val="26"/>
          <w:szCs w:val="26"/>
          <w:lang w:bidi="he-IL"/>
        </w:rPr>
        <w:t xml:space="preserve">But the evidence remains strikingly suggestive; and I do not hesitate to argue that in his biblical commentaries, </w:t>
      </w:r>
      <w:proofErr w:type="spellStart"/>
      <w:r w:rsidR="00975572" w:rsidRPr="00D4590B">
        <w:rPr>
          <w:sz w:val="26"/>
          <w:szCs w:val="26"/>
          <w:lang w:bidi="he-IL"/>
        </w:rPr>
        <w:t>Radak</w:t>
      </w:r>
      <w:r w:rsidR="00BA4906" w:rsidRPr="00D4590B">
        <w:rPr>
          <w:sz w:val="26"/>
          <w:szCs w:val="26"/>
          <w:lang w:bidi="he-IL"/>
        </w:rPr>
        <w:t>’s</w:t>
      </w:r>
      <w:proofErr w:type="spellEnd"/>
      <w:r w:rsidR="00BA4906" w:rsidRPr="00D4590B">
        <w:rPr>
          <w:sz w:val="26"/>
          <w:szCs w:val="26"/>
          <w:lang w:bidi="he-IL"/>
        </w:rPr>
        <w:t xml:space="preserve"> initial tendency, beginning i</w:t>
      </w:r>
      <w:r w:rsidR="00975572" w:rsidRPr="00D4590B">
        <w:rPr>
          <w:sz w:val="26"/>
          <w:szCs w:val="26"/>
          <w:lang w:bidi="he-IL"/>
        </w:rPr>
        <w:t xml:space="preserve">n </w:t>
      </w:r>
      <w:r w:rsidR="00BA4906" w:rsidRPr="00D4590B">
        <w:rPr>
          <w:sz w:val="26"/>
          <w:szCs w:val="26"/>
          <w:lang w:bidi="he-IL"/>
        </w:rPr>
        <w:t xml:space="preserve">the case of </w:t>
      </w:r>
      <w:r w:rsidR="00975572" w:rsidRPr="00D4590B">
        <w:rPr>
          <w:sz w:val="26"/>
          <w:szCs w:val="26"/>
          <w:lang w:bidi="he-IL"/>
        </w:rPr>
        <w:t xml:space="preserve">Proverbs, was to leave out the names of his sources, and that </w:t>
      </w:r>
      <w:r w:rsidR="008B5981" w:rsidRPr="00D4590B">
        <w:rPr>
          <w:sz w:val="26"/>
          <w:szCs w:val="26"/>
          <w:lang w:bidi="he-IL"/>
        </w:rPr>
        <w:t>this continued to a significant</w:t>
      </w:r>
      <w:r w:rsidR="00975572" w:rsidRPr="00D4590B">
        <w:rPr>
          <w:sz w:val="26"/>
          <w:szCs w:val="26"/>
          <w:lang w:bidi="he-IL"/>
        </w:rPr>
        <w:t xml:space="preserve"> extent in his </w:t>
      </w:r>
      <w:r w:rsidR="004E7991">
        <w:rPr>
          <w:sz w:val="26"/>
          <w:szCs w:val="26"/>
          <w:lang w:bidi="he-IL"/>
        </w:rPr>
        <w:t>commentary on</w:t>
      </w:r>
      <w:r w:rsidR="00975572" w:rsidRPr="00D4590B">
        <w:rPr>
          <w:sz w:val="26"/>
          <w:szCs w:val="26"/>
          <w:lang w:bidi="he-IL"/>
        </w:rPr>
        <w:t xml:space="preserve"> Chronicles.</w:t>
      </w:r>
    </w:p>
    <w:p w:rsidR="00975572" w:rsidRPr="00D4590B" w:rsidRDefault="00975572" w:rsidP="007B2CF4">
      <w:pPr>
        <w:spacing w:line="300" w:lineRule="exact"/>
        <w:ind w:firstLine="284"/>
        <w:jc w:val="both"/>
        <w:rPr>
          <w:sz w:val="26"/>
          <w:szCs w:val="26"/>
          <w:lang w:bidi="he-IL"/>
        </w:rPr>
      </w:pPr>
      <w:r w:rsidRPr="00D4590B">
        <w:rPr>
          <w:sz w:val="26"/>
          <w:szCs w:val="26"/>
          <w:lang w:bidi="he-IL"/>
        </w:rPr>
        <w:t xml:space="preserve">In connection with the preference for anonymity in the Proverbs commentary, it should be added that the explicit references to </w:t>
      </w:r>
      <w:proofErr w:type="spellStart"/>
      <w:r w:rsidRPr="00D4590B">
        <w:rPr>
          <w:sz w:val="26"/>
          <w:szCs w:val="26"/>
          <w:lang w:bidi="he-IL"/>
        </w:rPr>
        <w:t>Rashi</w:t>
      </w:r>
      <w:proofErr w:type="spellEnd"/>
      <w:r w:rsidRPr="00D4590B">
        <w:rPr>
          <w:sz w:val="26"/>
          <w:szCs w:val="26"/>
          <w:lang w:bidi="he-IL"/>
        </w:rPr>
        <w:t>, which comprise the vast majority of named citations, clearly follow a special rule.</w:t>
      </w:r>
      <w:r w:rsidR="008515BC" w:rsidRPr="00D4590B">
        <w:rPr>
          <w:sz w:val="26"/>
          <w:szCs w:val="26"/>
          <w:lang w:bidi="he-IL"/>
        </w:rPr>
        <w:t xml:space="preserve"> </w:t>
      </w:r>
      <w:r w:rsidRPr="00D4590B">
        <w:rPr>
          <w:sz w:val="26"/>
          <w:szCs w:val="26"/>
          <w:lang w:bidi="he-IL"/>
        </w:rPr>
        <w:lastRenderedPageBreak/>
        <w:t xml:space="preserve">In all eight examples, contrary to other instances where the author drew from </w:t>
      </w:r>
      <w:proofErr w:type="spellStart"/>
      <w:r w:rsidRPr="00D4590B">
        <w:rPr>
          <w:sz w:val="26"/>
          <w:szCs w:val="26"/>
          <w:lang w:bidi="he-IL"/>
        </w:rPr>
        <w:t>Rashi</w:t>
      </w:r>
      <w:proofErr w:type="spellEnd"/>
      <w:r w:rsidRPr="00D4590B">
        <w:rPr>
          <w:sz w:val="26"/>
          <w:szCs w:val="26"/>
          <w:lang w:bidi="he-IL"/>
        </w:rPr>
        <w:t>, a substantial comment of the great French exegete is cited essentially verbatim.</w:t>
      </w:r>
      <w:r w:rsidRPr="00D4590B">
        <w:rPr>
          <w:rStyle w:val="a4"/>
          <w:sz w:val="26"/>
          <w:szCs w:val="26"/>
          <w:lang w:bidi="he-IL"/>
        </w:rPr>
        <w:footnoteReference w:id="61"/>
      </w:r>
      <w:r w:rsidR="008515BC" w:rsidRPr="00D4590B">
        <w:rPr>
          <w:sz w:val="26"/>
          <w:szCs w:val="26"/>
          <w:lang w:bidi="he-IL"/>
        </w:rPr>
        <w:t xml:space="preserve"> </w:t>
      </w:r>
      <w:r w:rsidRPr="00D4590B">
        <w:rPr>
          <w:sz w:val="26"/>
          <w:szCs w:val="26"/>
          <w:lang w:bidi="he-IL"/>
        </w:rPr>
        <w:t xml:space="preserve">And indeed, at least toward the beginning, this tendency </w:t>
      </w:r>
      <w:r w:rsidR="008A0A51" w:rsidRPr="00D4590B">
        <w:rPr>
          <w:sz w:val="26"/>
          <w:szCs w:val="26"/>
          <w:lang w:bidi="he-IL"/>
        </w:rPr>
        <w:t xml:space="preserve">appears </w:t>
      </w:r>
      <w:r w:rsidRPr="00D4590B">
        <w:rPr>
          <w:sz w:val="26"/>
          <w:szCs w:val="26"/>
          <w:lang w:bidi="he-IL"/>
        </w:rPr>
        <w:t xml:space="preserve">in </w:t>
      </w:r>
      <w:r w:rsidR="004843B2" w:rsidRPr="00D4590B">
        <w:rPr>
          <w:sz w:val="26"/>
          <w:szCs w:val="26"/>
          <w:lang w:bidi="he-IL"/>
        </w:rPr>
        <w:t xml:space="preserve">the </w:t>
      </w:r>
      <w:r w:rsidRPr="00D4590B">
        <w:rPr>
          <w:sz w:val="26"/>
          <w:szCs w:val="26"/>
          <w:lang w:bidi="he-IL"/>
        </w:rPr>
        <w:t xml:space="preserve">Chronicles commentary </w:t>
      </w:r>
      <w:r w:rsidR="008A0A51" w:rsidRPr="00D4590B">
        <w:rPr>
          <w:sz w:val="26"/>
          <w:szCs w:val="26"/>
          <w:lang w:bidi="he-IL"/>
        </w:rPr>
        <w:t>too</w:t>
      </w:r>
      <w:r w:rsidRPr="00D4590B">
        <w:rPr>
          <w:sz w:val="26"/>
          <w:szCs w:val="26"/>
          <w:lang w:bidi="he-IL"/>
        </w:rPr>
        <w:t>, most conspicuously in the case of one of the citations of Ibn Ezra, at I 2:15.</w:t>
      </w:r>
      <w:r w:rsidR="008515BC" w:rsidRPr="00D4590B">
        <w:rPr>
          <w:sz w:val="26"/>
          <w:szCs w:val="26"/>
          <w:lang w:bidi="he-IL"/>
        </w:rPr>
        <w:t xml:space="preserve"> </w:t>
      </w:r>
      <w:r w:rsidRPr="00D4590B">
        <w:rPr>
          <w:sz w:val="26"/>
          <w:szCs w:val="26"/>
          <w:lang w:bidi="he-IL"/>
        </w:rPr>
        <w:t xml:space="preserve">In that comment, </w:t>
      </w:r>
      <w:proofErr w:type="spellStart"/>
      <w:r w:rsidRPr="00D4590B">
        <w:rPr>
          <w:sz w:val="26"/>
          <w:szCs w:val="26"/>
          <w:lang w:bidi="he-IL"/>
        </w:rPr>
        <w:t>Radak</w:t>
      </w:r>
      <w:proofErr w:type="spellEnd"/>
      <w:r w:rsidRPr="00D4590B">
        <w:rPr>
          <w:sz w:val="26"/>
          <w:szCs w:val="26"/>
          <w:lang w:bidi="he-IL"/>
        </w:rPr>
        <w:t xml:space="preserve"> makes his first named references, including a citation of Ibn </w:t>
      </w:r>
      <w:proofErr w:type="spellStart"/>
      <w:r w:rsidRPr="00D4590B">
        <w:rPr>
          <w:sz w:val="26"/>
          <w:szCs w:val="26"/>
          <w:lang w:bidi="he-IL"/>
        </w:rPr>
        <w:t>Janah</w:t>
      </w:r>
      <w:proofErr w:type="spellEnd"/>
      <w:r w:rsidRPr="00D4590B">
        <w:rPr>
          <w:sz w:val="26"/>
          <w:szCs w:val="26"/>
          <w:lang w:bidi="he-IL"/>
        </w:rPr>
        <w:t xml:space="preserve"> of unknown origin, and an uncharacteristically lengthy </w:t>
      </w:r>
      <w:r w:rsidRPr="007B2CF4">
        <w:rPr>
          <w:sz w:val="26"/>
          <w:szCs w:val="26"/>
          <w:lang w:bidi="he-IL"/>
        </w:rPr>
        <w:t>verbatim</w:t>
      </w:r>
      <w:r w:rsidRPr="00D4590B">
        <w:rPr>
          <w:sz w:val="26"/>
          <w:szCs w:val="26"/>
          <w:lang w:bidi="he-IL"/>
        </w:rPr>
        <w:t xml:space="preserve"> quotation of Ibn Ezra’s </w:t>
      </w:r>
      <w:proofErr w:type="spellStart"/>
      <w:r w:rsidRPr="00D4590B">
        <w:rPr>
          <w:i/>
          <w:iCs/>
          <w:sz w:val="26"/>
          <w:szCs w:val="26"/>
          <w:lang w:bidi="he-IL"/>
        </w:rPr>
        <w:t>Sefer</w:t>
      </w:r>
      <w:proofErr w:type="spellEnd"/>
      <w:r w:rsidRPr="00D4590B">
        <w:rPr>
          <w:i/>
          <w:iCs/>
          <w:sz w:val="26"/>
          <w:szCs w:val="26"/>
          <w:lang w:bidi="he-IL"/>
        </w:rPr>
        <w:t xml:space="preserve"> </w:t>
      </w:r>
      <w:proofErr w:type="spellStart"/>
      <w:r w:rsidRPr="00D4590B">
        <w:rPr>
          <w:i/>
          <w:iCs/>
          <w:sz w:val="26"/>
          <w:szCs w:val="26"/>
          <w:lang w:bidi="he-IL"/>
        </w:rPr>
        <w:t>S</w:t>
      </w:r>
      <w:r w:rsidRPr="00D4590B">
        <w:rPr>
          <w:i/>
          <w:iCs/>
          <w:sz w:val="26"/>
          <w:szCs w:val="26"/>
          <w:lang w:bidi="he-IL"/>
        </w:rPr>
        <w:t>ah</w:t>
      </w:r>
      <w:r w:rsidRPr="00D4590B">
        <w:rPr>
          <w:i/>
          <w:iCs/>
          <w:sz w:val="26"/>
          <w:szCs w:val="26"/>
          <w:lang w:bidi="he-IL"/>
        </w:rPr>
        <w:t>ot</w:t>
      </w:r>
      <w:proofErr w:type="spellEnd"/>
      <w:r w:rsidRPr="00D4590B">
        <w:rPr>
          <w:sz w:val="26"/>
          <w:szCs w:val="26"/>
          <w:lang w:bidi="he-IL"/>
        </w:rPr>
        <w:t xml:space="preserve">, which </w:t>
      </w:r>
      <w:proofErr w:type="spellStart"/>
      <w:r w:rsidRPr="00D4590B">
        <w:rPr>
          <w:sz w:val="26"/>
          <w:szCs w:val="26"/>
          <w:lang w:bidi="he-IL"/>
        </w:rPr>
        <w:t>Radak</w:t>
      </w:r>
      <w:proofErr w:type="spellEnd"/>
      <w:r w:rsidRPr="00D4590B">
        <w:rPr>
          <w:sz w:val="26"/>
          <w:szCs w:val="26"/>
          <w:lang w:bidi="he-IL"/>
        </w:rPr>
        <w:t xml:space="preserve"> follows with </w:t>
      </w:r>
      <w:r w:rsidRPr="00D4590B">
        <w:rPr>
          <w:rFonts w:hint="cs"/>
          <w:sz w:val="26"/>
          <w:szCs w:val="26"/>
          <w:rtl/>
          <w:lang w:bidi="he-IL"/>
        </w:rPr>
        <w:t>וכן פרש אותו החכם ר' אברהם בן עזרא</w:t>
      </w:r>
      <w:r w:rsidRPr="00D4590B">
        <w:rPr>
          <w:sz w:val="26"/>
          <w:szCs w:val="26"/>
          <w:lang w:bidi="he-IL"/>
        </w:rPr>
        <w:t xml:space="preserve">—“and thus did the sage R. Abraham </w:t>
      </w:r>
      <w:r w:rsidR="00524446" w:rsidRPr="00D4590B">
        <w:rPr>
          <w:sz w:val="26"/>
          <w:szCs w:val="26"/>
          <w:lang w:bidi="he-IL"/>
        </w:rPr>
        <w:t xml:space="preserve">ibn </w:t>
      </w:r>
      <w:r w:rsidRPr="00D4590B">
        <w:rPr>
          <w:sz w:val="26"/>
          <w:szCs w:val="26"/>
          <w:lang w:bidi="he-IL"/>
        </w:rPr>
        <w:t>Ezra explain it.”</w:t>
      </w:r>
      <w:r w:rsidR="008515BC" w:rsidRPr="00D4590B">
        <w:rPr>
          <w:sz w:val="26"/>
          <w:szCs w:val="26"/>
          <w:lang w:bidi="he-IL"/>
        </w:rPr>
        <w:t xml:space="preserve"> </w:t>
      </w:r>
      <w:r w:rsidR="007B2CF4">
        <w:rPr>
          <w:sz w:val="26"/>
          <w:szCs w:val="26"/>
          <w:lang w:bidi="he-IL"/>
        </w:rPr>
        <w:t>Moreover</w:t>
      </w:r>
      <w:r w:rsidRPr="00D4590B">
        <w:rPr>
          <w:sz w:val="26"/>
          <w:szCs w:val="26"/>
          <w:lang w:bidi="he-IL"/>
        </w:rPr>
        <w:t>, while Pseudo-</w:t>
      </w:r>
      <w:proofErr w:type="spellStart"/>
      <w:r w:rsidRPr="00D4590B">
        <w:rPr>
          <w:sz w:val="26"/>
          <w:szCs w:val="26"/>
          <w:lang w:bidi="he-IL"/>
        </w:rPr>
        <w:t>Rashi’s</w:t>
      </w:r>
      <w:proofErr w:type="spellEnd"/>
      <w:r w:rsidRPr="00D4590B">
        <w:rPr>
          <w:sz w:val="26"/>
          <w:szCs w:val="26"/>
          <w:lang w:bidi="he-IL"/>
        </w:rPr>
        <w:t xml:space="preserve"> influence is apparent in a number of places, it is specifically at I 1:13—where </w:t>
      </w:r>
      <w:proofErr w:type="spellStart"/>
      <w:r w:rsidRPr="00D4590B">
        <w:rPr>
          <w:sz w:val="26"/>
          <w:szCs w:val="26"/>
          <w:lang w:bidi="he-IL"/>
        </w:rPr>
        <w:t>Radak</w:t>
      </w:r>
      <w:proofErr w:type="spellEnd"/>
      <w:r w:rsidRPr="00D4590B">
        <w:rPr>
          <w:sz w:val="26"/>
          <w:szCs w:val="26"/>
          <w:lang w:bidi="he-IL"/>
        </w:rPr>
        <w:t xml:space="preserve"> presents an </w:t>
      </w:r>
      <w:r w:rsidRPr="00D4590B">
        <w:rPr>
          <w:i/>
          <w:iCs/>
          <w:sz w:val="26"/>
          <w:szCs w:val="26"/>
          <w:lang w:bidi="he-IL"/>
        </w:rPr>
        <w:t>especially</w:t>
      </w:r>
      <w:r w:rsidRPr="00D4590B">
        <w:rPr>
          <w:sz w:val="26"/>
          <w:szCs w:val="26"/>
          <w:lang w:bidi="he-IL"/>
        </w:rPr>
        <w:t xml:space="preserve"> close adaptation of a comment of Pseudo-</w:t>
      </w:r>
      <w:proofErr w:type="spellStart"/>
      <w:r w:rsidRPr="00D4590B">
        <w:rPr>
          <w:sz w:val="26"/>
          <w:szCs w:val="26"/>
          <w:lang w:bidi="he-IL"/>
        </w:rPr>
        <w:t>Rashi</w:t>
      </w:r>
      <w:proofErr w:type="spellEnd"/>
      <w:r w:rsidRPr="00D4590B">
        <w:rPr>
          <w:sz w:val="26"/>
          <w:szCs w:val="26"/>
          <w:lang w:bidi="he-IL"/>
        </w:rPr>
        <w:t xml:space="preserve">—that he gives as much credit as he can muster to this unknown exegete, prefacing the citation with the unique and long-winded phrase </w:t>
      </w:r>
      <w:r w:rsidRPr="00D4590B">
        <w:rPr>
          <w:rFonts w:hint="cs"/>
          <w:sz w:val="26"/>
          <w:szCs w:val="26"/>
          <w:rtl/>
          <w:lang w:bidi="he-IL"/>
        </w:rPr>
        <w:t>ראיתי לאחד מן המפרשים שכתב</w:t>
      </w:r>
      <w:r w:rsidRPr="00D4590B">
        <w:rPr>
          <w:sz w:val="26"/>
          <w:szCs w:val="26"/>
          <w:lang w:bidi="he-IL"/>
        </w:rPr>
        <w:t>—“I saw that one of the commentators has written.”</w:t>
      </w:r>
      <w:r w:rsidR="008515BC" w:rsidRPr="00D4590B">
        <w:rPr>
          <w:sz w:val="26"/>
          <w:szCs w:val="26"/>
          <w:lang w:bidi="he-IL"/>
        </w:rPr>
        <w:t xml:space="preserve"> </w:t>
      </w:r>
      <w:r w:rsidRPr="00D4590B">
        <w:rPr>
          <w:sz w:val="26"/>
          <w:szCs w:val="26"/>
          <w:lang w:bidi="he-IL"/>
        </w:rPr>
        <w:t xml:space="preserve">If a preference for anonymous </w:t>
      </w:r>
      <w:r w:rsidRPr="00D4590B">
        <w:rPr>
          <w:sz w:val="26"/>
          <w:szCs w:val="26"/>
          <w:lang w:bidi="he-IL"/>
        </w:rPr>
        <w:lastRenderedPageBreak/>
        <w:t>citation</w:t>
      </w:r>
      <w:r w:rsidR="008A0A51" w:rsidRPr="00D4590B">
        <w:rPr>
          <w:sz w:val="26"/>
          <w:szCs w:val="26"/>
          <w:lang w:bidi="he-IL"/>
        </w:rPr>
        <w:t xml:space="preserve"> </w:t>
      </w:r>
      <w:r w:rsidRPr="00D4590B">
        <w:rPr>
          <w:sz w:val="26"/>
          <w:szCs w:val="26"/>
          <w:lang w:bidi="he-IL"/>
        </w:rPr>
        <w:t>indeed characterizes both the Proverbs and Chronicles commentaries, the similarity would also extend to this particular exception to the rule.</w:t>
      </w:r>
      <w:r w:rsidRPr="00D4590B">
        <w:rPr>
          <w:rStyle w:val="a4"/>
          <w:sz w:val="26"/>
          <w:szCs w:val="26"/>
          <w:lang w:bidi="he-IL"/>
        </w:rPr>
        <w:footnoteReference w:id="62"/>
      </w:r>
    </w:p>
    <w:p w:rsidR="00975572" w:rsidRPr="00D4590B" w:rsidRDefault="00975572" w:rsidP="00FF0B7D">
      <w:pPr>
        <w:spacing w:line="300" w:lineRule="exact"/>
        <w:ind w:firstLine="284"/>
        <w:jc w:val="both"/>
        <w:rPr>
          <w:sz w:val="26"/>
          <w:szCs w:val="26"/>
          <w:lang w:bidi="he-IL"/>
        </w:rPr>
      </w:pPr>
      <w:r w:rsidRPr="00D4590B">
        <w:rPr>
          <w:sz w:val="26"/>
          <w:szCs w:val="26"/>
          <w:lang w:bidi="he-IL"/>
        </w:rPr>
        <w:lastRenderedPageBreak/>
        <w:t>Within this category, Grunhaus raises one more distinctive feature of the Proverbs commentary: the author’s occasional mention, using uncharacteristic terminology, of works of ethics and wisdom.</w:t>
      </w:r>
      <w:r w:rsidR="008515BC" w:rsidRPr="00D4590B">
        <w:rPr>
          <w:sz w:val="26"/>
          <w:szCs w:val="26"/>
          <w:lang w:bidi="he-IL"/>
        </w:rPr>
        <w:t xml:space="preserve"> </w:t>
      </w:r>
      <w:r w:rsidRPr="00D4590B">
        <w:rPr>
          <w:sz w:val="26"/>
          <w:szCs w:val="26"/>
          <w:lang w:bidi="he-IL"/>
        </w:rPr>
        <w:t xml:space="preserve">These include a citation prefaced by </w:t>
      </w:r>
      <w:r w:rsidRPr="00D4590B">
        <w:rPr>
          <w:rFonts w:hint="cs"/>
          <w:sz w:val="26"/>
          <w:szCs w:val="26"/>
          <w:rtl/>
          <w:lang w:bidi="he-IL"/>
        </w:rPr>
        <w:t>אמר במוסר</w:t>
      </w:r>
      <w:r w:rsidRPr="00D4590B">
        <w:rPr>
          <w:sz w:val="26"/>
          <w:szCs w:val="26"/>
          <w:lang w:bidi="he-IL"/>
        </w:rPr>
        <w:t xml:space="preserve">—“it says in an ethical work”—at 14:9, and two assertions, at </w:t>
      </w:r>
      <w:smartTag w:uri="urn:schemas-microsoft-com:office:smarttags" w:element="time">
        <w:smartTagPr>
          <w:attr w:name="Minute" w:val="12"/>
          <w:attr w:name="Hour" w:val="13"/>
        </w:smartTagPr>
        <w:r w:rsidRPr="00D4590B">
          <w:rPr>
            <w:sz w:val="26"/>
            <w:szCs w:val="26"/>
            <w:lang w:bidi="he-IL"/>
          </w:rPr>
          <w:t>13:12</w:t>
        </w:r>
      </w:smartTag>
      <w:r w:rsidRPr="00D4590B">
        <w:rPr>
          <w:sz w:val="26"/>
          <w:szCs w:val="26"/>
          <w:lang w:bidi="he-IL"/>
        </w:rPr>
        <w:t xml:space="preserve"> and </w:t>
      </w:r>
      <w:smartTag w:uri="urn:schemas-microsoft-com:office:smarttags" w:element="time">
        <w:smartTagPr>
          <w:attr w:name="Minute" w:val="17"/>
          <w:attr w:name="Hour" w:val="15"/>
        </w:smartTagPr>
        <w:r w:rsidRPr="00D4590B">
          <w:rPr>
            <w:sz w:val="26"/>
            <w:szCs w:val="26"/>
            <w:lang w:bidi="he-IL"/>
          </w:rPr>
          <w:t>15:17</w:t>
        </w:r>
      </w:smartTag>
      <w:r w:rsidRPr="00D4590B">
        <w:rPr>
          <w:sz w:val="26"/>
          <w:szCs w:val="26"/>
          <w:lang w:bidi="he-IL"/>
        </w:rPr>
        <w:t xml:space="preserve">, ascribed to </w:t>
      </w:r>
      <w:r w:rsidRPr="00D4590B">
        <w:rPr>
          <w:rFonts w:hint="cs"/>
          <w:sz w:val="26"/>
          <w:szCs w:val="26"/>
          <w:rtl/>
          <w:lang w:bidi="he-IL"/>
        </w:rPr>
        <w:t>החכם</w:t>
      </w:r>
      <w:r w:rsidRPr="00D4590B">
        <w:rPr>
          <w:sz w:val="26"/>
          <w:szCs w:val="26"/>
          <w:lang w:bidi="he-IL"/>
        </w:rPr>
        <w:t>—“the sage.”</w:t>
      </w:r>
      <w:r w:rsidR="008515BC" w:rsidRPr="00D4590B">
        <w:rPr>
          <w:sz w:val="26"/>
          <w:szCs w:val="26"/>
          <w:lang w:bidi="he-IL"/>
        </w:rPr>
        <w:t xml:space="preserve"> </w:t>
      </w:r>
      <w:r w:rsidRPr="00D4590B">
        <w:rPr>
          <w:sz w:val="26"/>
          <w:szCs w:val="26"/>
          <w:lang w:bidi="he-IL"/>
        </w:rPr>
        <w:t xml:space="preserve">The term </w:t>
      </w:r>
      <w:r w:rsidRPr="00D4590B">
        <w:rPr>
          <w:rFonts w:hint="cs"/>
          <w:sz w:val="26"/>
          <w:szCs w:val="26"/>
          <w:rtl/>
          <w:lang w:bidi="he-IL"/>
        </w:rPr>
        <w:t>החכם</w:t>
      </w:r>
      <w:r w:rsidRPr="00D4590B">
        <w:rPr>
          <w:sz w:val="26"/>
          <w:szCs w:val="26"/>
          <w:lang w:bidi="he-IL"/>
        </w:rPr>
        <w:t xml:space="preserve"> without further specification does appear in </w:t>
      </w:r>
      <w:proofErr w:type="spellStart"/>
      <w:r w:rsidRPr="00D4590B">
        <w:rPr>
          <w:sz w:val="26"/>
          <w:szCs w:val="26"/>
          <w:lang w:bidi="he-IL"/>
        </w:rPr>
        <w:t>Radak</w:t>
      </w:r>
      <w:proofErr w:type="spellEnd"/>
      <w:r w:rsidRPr="00D4590B">
        <w:rPr>
          <w:sz w:val="26"/>
          <w:szCs w:val="26"/>
          <w:lang w:bidi="he-IL"/>
        </w:rPr>
        <w:t xml:space="preserve"> in a small handful of instances, including one that Grunhaus acknowledges to be fundamen</w:t>
      </w:r>
      <w:r w:rsidR="00BA4906" w:rsidRPr="00D4590B">
        <w:rPr>
          <w:sz w:val="26"/>
          <w:szCs w:val="26"/>
          <w:lang w:bidi="he-IL"/>
        </w:rPr>
        <w:t>tally similar to the examples in the</w:t>
      </w:r>
      <w:r w:rsidRPr="00D4590B">
        <w:rPr>
          <w:sz w:val="26"/>
          <w:szCs w:val="26"/>
          <w:lang w:bidi="he-IL"/>
        </w:rPr>
        <w:t xml:space="preserve"> Proverbs</w:t>
      </w:r>
      <w:r w:rsidR="00BA4906" w:rsidRPr="00D4590B">
        <w:rPr>
          <w:sz w:val="26"/>
          <w:szCs w:val="26"/>
          <w:lang w:bidi="he-IL"/>
        </w:rPr>
        <w:t xml:space="preserve"> commentary</w:t>
      </w:r>
      <w:r w:rsidRPr="00D4590B">
        <w:rPr>
          <w:sz w:val="26"/>
          <w:szCs w:val="26"/>
          <w:lang w:bidi="he-IL"/>
        </w:rPr>
        <w:t>,</w:t>
      </w:r>
      <w:r w:rsidRPr="00D4590B">
        <w:rPr>
          <w:rStyle w:val="a4"/>
          <w:sz w:val="26"/>
          <w:szCs w:val="26"/>
          <w:lang w:bidi="he-IL"/>
        </w:rPr>
        <w:footnoteReference w:id="63"/>
      </w:r>
      <w:r w:rsidRPr="00D4590B">
        <w:rPr>
          <w:sz w:val="26"/>
          <w:szCs w:val="26"/>
          <w:lang w:bidi="he-IL"/>
        </w:rPr>
        <w:t xml:space="preserve"> while </w:t>
      </w:r>
      <w:r w:rsidRPr="00D4590B">
        <w:rPr>
          <w:rFonts w:hint="cs"/>
          <w:sz w:val="26"/>
          <w:szCs w:val="26"/>
          <w:rtl/>
          <w:lang w:bidi="he-IL"/>
        </w:rPr>
        <w:t>אמר במוסר</w:t>
      </w:r>
      <w:r w:rsidRPr="00D4590B">
        <w:rPr>
          <w:sz w:val="26"/>
          <w:szCs w:val="26"/>
          <w:lang w:bidi="he-IL"/>
        </w:rPr>
        <w:t xml:space="preserve"> does not appear at all.</w:t>
      </w:r>
      <w:r w:rsidR="008515BC" w:rsidRPr="00D4590B">
        <w:rPr>
          <w:sz w:val="26"/>
          <w:szCs w:val="26"/>
          <w:lang w:bidi="he-IL"/>
        </w:rPr>
        <w:t xml:space="preserve"> </w:t>
      </w:r>
      <w:r w:rsidR="00AA4556" w:rsidRPr="00D4590B">
        <w:rPr>
          <w:sz w:val="26"/>
          <w:szCs w:val="26"/>
          <w:lang w:bidi="he-IL"/>
        </w:rPr>
        <w:t>H</w:t>
      </w:r>
      <w:r w:rsidRPr="00D4590B">
        <w:rPr>
          <w:sz w:val="26"/>
          <w:szCs w:val="26"/>
          <w:lang w:bidi="he-IL"/>
        </w:rPr>
        <w:t xml:space="preserve">owever, such terms should hardly surprise us: it is only natural that a hortatory book like Proverbs would have provided occasion for </w:t>
      </w:r>
      <w:proofErr w:type="spellStart"/>
      <w:r w:rsidRPr="00D4590B">
        <w:rPr>
          <w:sz w:val="26"/>
          <w:szCs w:val="26"/>
          <w:lang w:bidi="he-IL"/>
        </w:rPr>
        <w:t>Radak</w:t>
      </w:r>
      <w:proofErr w:type="spellEnd"/>
      <w:r w:rsidRPr="00D4590B">
        <w:rPr>
          <w:sz w:val="26"/>
          <w:szCs w:val="26"/>
          <w:lang w:bidi="he-IL"/>
        </w:rPr>
        <w:t xml:space="preserve"> to cite ethical works (as he does elsewhere sporadically); and in keeping with his inclination to cite anonymously, it is unremarkable that he would employ phrases like </w:t>
      </w:r>
      <w:r w:rsidRPr="00D4590B">
        <w:rPr>
          <w:rFonts w:hint="cs"/>
          <w:sz w:val="26"/>
          <w:szCs w:val="26"/>
          <w:rtl/>
          <w:lang w:bidi="he-IL"/>
        </w:rPr>
        <w:t>אמר במוסר</w:t>
      </w:r>
      <w:r w:rsidRPr="00D4590B">
        <w:rPr>
          <w:sz w:val="26"/>
          <w:szCs w:val="26"/>
          <w:lang w:bidi="he-IL"/>
        </w:rPr>
        <w:t xml:space="preserve"> and </w:t>
      </w:r>
      <w:r w:rsidRPr="00D4590B">
        <w:rPr>
          <w:rFonts w:hint="cs"/>
          <w:sz w:val="26"/>
          <w:szCs w:val="26"/>
          <w:rtl/>
          <w:lang w:bidi="he-IL"/>
        </w:rPr>
        <w:t>אמר החכם</w:t>
      </w:r>
      <w:r w:rsidRPr="00D4590B">
        <w:rPr>
          <w:sz w:val="26"/>
          <w:szCs w:val="26"/>
          <w:lang w:bidi="he-IL"/>
        </w:rPr>
        <w:t xml:space="preserve"> when drawing from them, departing from his more common policy of specifying the author or sage to whom he is referring.</w:t>
      </w:r>
    </w:p>
    <w:p w:rsidR="00E663C7" w:rsidRDefault="00E663C7" w:rsidP="00D4590B">
      <w:pPr>
        <w:spacing w:line="300" w:lineRule="exact"/>
        <w:jc w:val="both"/>
        <w:rPr>
          <w:rFonts w:hint="cs"/>
          <w:sz w:val="26"/>
          <w:szCs w:val="26"/>
          <w:rtl/>
          <w:lang w:bidi="he-IL"/>
        </w:rPr>
      </w:pPr>
    </w:p>
    <w:p w:rsidR="00975572" w:rsidRPr="00D4590B" w:rsidRDefault="00975572" w:rsidP="00D4590B">
      <w:pPr>
        <w:spacing w:line="300" w:lineRule="exact"/>
        <w:jc w:val="both"/>
        <w:rPr>
          <w:sz w:val="26"/>
          <w:szCs w:val="26"/>
          <w:lang w:bidi="he-IL"/>
        </w:rPr>
      </w:pPr>
      <w:r w:rsidRPr="00D4590B">
        <w:rPr>
          <w:sz w:val="26"/>
          <w:szCs w:val="26"/>
          <w:lang w:bidi="he-IL"/>
        </w:rPr>
        <w:t>B. Phraseology</w:t>
      </w:r>
    </w:p>
    <w:p w:rsidR="00975572" w:rsidRPr="00D4590B" w:rsidRDefault="00975572" w:rsidP="00D4590B">
      <w:pPr>
        <w:spacing w:line="300" w:lineRule="exact"/>
        <w:jc w:val="both"/>
        <w:rPr>
          <w:sz w:val="26"/>
          <w:szCs w:val="26"/>
          <w:lang w:bidi="he-IL"/>
        </w:rPr>
      </w:pPr>
      <w:r w:rsidRPr="00D4590B">
        <w:rPr>
          <w:sz w:val="26"/>
          <w:szCs w:val="26"/>
          <w:lang w:bidi="he-IL"/>
        </w:rPr>
        <w:t xml:space="preserve">Grunhaus mentions only a few additional phrases that do not conform to </w:t>
      </w:r>
      <w:proofErr w:type="spellStart"/>
      <w:r w:rsidRPr="00D4590B">
        <w:rPr>
          <w:sz w:val="26"/>
          <w:szCs w:val="26"/>
          <w:lang w:bidi="he-IL"/>
        </w:rPr>
        <w:t>Radak’s</w:t>
      </w:r>
      <w:proofErr w:type="spellEnd"/>
      <w:r w:rsidRPr="00D4590B">
        <w:rPr>
          <w:sz w:val="26"/>
          <w:szCs w:val="26"/>
          <w:lang w:bidi="he-IL"/>
        </w:rPr>
        <w:t xml:space="preserve"> usual style,</w:t>
      </w:r>
      <w:r w:rsidRPr="00D4590B">
        <w:rPr>
          <w:rStyle w:val="a4"/>
          <w:sz w:val="26"/>
          <w:szCs w:val="26"/>
          <w:lang w:bidi="he-IL"/>
        </w:rPr>
        <w:footnoteReference w:id="64"/>
      </w:r>
      <w:r w:rsidRPr="00D4590B">
        <w:rPr>
          <w:sz w:val="26"/>
          <w:szCs w:val="26"/>
          <w:lang w:bidi="he-IL"/>
        </w:rPr>
        <w:t xml:space="preserve"> while acknowledging some others that are consistent with it.</w:t>
      </w:r>
      <w:r w:rsidRPr="00D4590B">
        <w:rPr>
          <w:rStyle w:val="a4"/>
          <w:sz w:val="26"/>
          <w:szCs w:val="26"/>
          <w:lang w:bidi="he-IL"/>
        </w:rPr>
        <w:footnoteReference w:id="65"/>
      </w:r>
      <w:r w:rsidR="008515BC" w:rsidRPr="00D4590B">
        <w:rPr>
          <w:sz w:val="26"/>
          <w:szCs w:val="26"/>
          <w:lang w:bidi="he-IL"/>
        </w:rPr>
        <w:t xml:space="preserve"> </w:t>
      </w:r>
      <w:r w:rsidRPr="00D4590B">
        <w:rPr>
          <w:sz w:val="26"/>
          <w:szCs w:val="26"/>
          <w:lang w:bidi="he-IL"/>
        </w:rPr>
        <w:t xml:space="preserve">The first of the nonconforming phrases appears just one time, in the introduction: </w:t>
      </w:r>
      <w:r w:rsidRPr="00D4590B">
        <w:rPr>
          <w:rFonts w:hint="cs"/>
          <w:sz w:val="26"/>
          <w:szCs w:val="26"/>
          <w:rtl/>
          <w:lang w:bidi="he-IL"/>
        </w:rPr>
        <w:t>מלה אחת מדברת על עצמה ובשרה ומושכת אחרת עמה</w:t>
      </w:r>
      <w:r w:rsidRPr="00D4590B">
        <w:rPr>
          <w:sz w:val="26"/>
          <w:szCs w:val="26"/>
          <w:lang w:bidi="he-IL"/>
        </w:rPr>
        <w:t>—“one word speaks of itself and draws another with it.”</w:t>
      </w:r>
      <w:r w:rsidR="008515BC" w:rsidRPr="00D4590B">
        <w:rPr>
          <w:sz w:val="26"/>
          <w:szCs w:val="26"/>
          <w:lang w:bidi="he-IL"/>
        </w:rPr>
        <w:t xml:space="preserve"> </w:t>
      </w:r>
      <w:r w:rsidRPr="00D4590B">
        <w:rPr>
          <w:sz w:val="26"/>
          <w:szCs w:val="26"/>
          <w:lang w:bidi="he-IL"/>
        </w:rPr>
        <w:t xml:space="preserve">This is a poetic adaptation of the principle </w:t>
      </w:r>
      <w:r w:rsidRPr="00D4590B">
        <w:rPr>
          <w:rFonts w:hint="cs"/>
          <w:sz w:val="26"/>
          <w:szCs w:val="26"/>
          <w:rtl/>
          <w:lang w:bidi="he-IL"/>
        </w:rPr>
        <w:t>מושך ע</w:t>
      </w:r>
      <w:r w:rsidR="006A3B19" w:rsidRPr="00D4590B">
        <w:rPr>
          <w:rFonts w:hint="cs"/>
          <w:sz w:val="26"/>
          <w:szCs w:val="26"/>
          <w:rtl/>
          <w:lang w:bidi="he-IL"/>
        </w:rPr>
        <w:t>צ</w:t>
      </w:r>
      <w:r w:rsidRPr="00D4590B">
        <w:rPr>
          <w:rFonts w:hint="cs"/>
          <w:sz w:val="26"/>
          <w:szCs w:val="26"/>
          <w:rtl/>
          <w:lang w:bidi="he-IL"/>
        </w:rPr>
        <w:t>מו ואחר עמו</w:t>
      </w:r>
      <w:r w:rsidRPr="00D4590B">
        <w:rPr>
          <w:sz w:val="26"/>
          <w:szCs w:val="26"/>
          <w:lang w:bidi="he-IL"/>
        </w:rPr>
        <w:t xml:space="preserve">, which, Grunhaus rightly notes, is used periodically by Ibn Ezra and R. Moses </w:t>
      </w:r>
      <w:proofErr w:type="spellStart"/>
      <w:r w:rsidRPr="00D4590B">
        <w:rPr>
          <w:sz w:val="26"/>
          <w:szCs w:val="26"/>
          <w:lang w:bidi="he-IL"/>
        </w:rPr>
        <w:t>Kimh</w:t>
      </w:r>
      <w:r w:rsidRPr="00D4590B">
        <w:rPr>
          <w:sz w:val="26"/>
          <w:szCs w:val="26"/>
          <w:lang w:bidi="he-IL"/>
        </w:rPr>
        <w:t>i</w:t>
      </w:r>
      <w:proofErr w:type="spellEnd"/>
      <w:r w:rsidRPr="00D4590B">
        <w:rPr>
          <w:sz w:val="26"/>
          <w:szCs w:val="26"/>
          <w:lang w:bidi="he-IL"/>
        </w:rPr>
        <w:t xml:space="preserve"> to refer to a word that </w:t>
      </w:r>
      <w:r w:rsidRPr="00D4590B">
        <w:rPr>
          <w:sz w:val="26"/>
          <w:szCs w:val="26"/>
          <w:lang w:bidi="he-IL"/>
        </w:rPr>
        <w:lastRenderedPageBreak/>
        <w:t>serves a dual syntactic function.</w:t>
      </w:r>
      <w:r w:rsidR="008515BC" w:rsidRPr="00D4590B">
        <w:rPr>
          <w:sz w:val="26"/>
          <w:szCs w:val="26"/>
          <w:lang w:bidi="he-IL"/>
        </w:rPr>
        <w:t xml:space="preserve"> </w:t>
      </w:r>
      <w:proofErr w:type="spellStart"/>
      <w:r w:rsidRPr="00D4590B">
        <w:rPr>
          <w:sz w:val="26"/>
          <w:szCs w:val="26"/>
          <w:lang w:bidi="he-IL"/>
        </w:rPr>
        <w:t>Radak</w:t>
      </w:r>
      <w:proofErr w:type="spellEnd"/>
      <w:r w:rsidRPr="00D4590B">
        <w:rPr>
          <w:sz w:val="26"/>
          <w:szCs w:val="26"/>
          <w:lang w:bidi="he-IL"/>
        </w:rPr>
        <w:t xml:space="preserve">, on the other hand, regularly utilizes the phrase </w:t>
      </w:r>
      <w:r w:rsidRPr="00D4590B">
        <w:rPr>
          <w:rFonts w:hint="cs"/>
          <w:sz w:val="26"/>
          <w:szCs w:val="26"/>
          <w:rtl/>
          <w:lang w:bidi="he-IL"/>
        </w:rPr>
        <w:t>עומד במקום שנים</w:t>
      </w:r>
      <w:r w:rsidRPr="00D4590B">
        <w:rPr>
          <w:sz w:val="26"/>
          <w:szCs w:val="26"/>
          <w:lang w:bidi="he-IL"/>
        </w:rPr>
        <w:t>—“stands in place of two”—when referring to this literary feature.</w:t>
      </w:r>
      <w:r w:rsidRPr="00D4590B">
        <w:rPr>
          <w:rStyle w:val="a4"/>
          <w:sz w:val="26"/>
          <w:szCs w:val="26"/>
          <w:lang w:bidi="he-IL"/>
        </w:rPr>
        <w:footnoteReference w:id="66"/>
      </w:r>
      <w:r w:rsidR="008515BC" w:rsidRPr="00D4590B">
        <w:rPr>
          <w:sz w:val="26"/>
          <w:szCs w:val="26"/>
          <w:lang w:bidi="he-IL"/>
        </w:rPr>
        <w:t xml:space="preserve"> </w:t>
      </w:r>
      <w:r w:rsidRPr="00D4590B">
        <w:rPr>
          <w:sz w:val="26"/>
          <w:szCs w:val="26"/>
          <w:lang w:bidi="he-IL"/>
        </w:rPr>
        <w:t xml:space="preserve">Another unique phrase, also appearing only once (at 19:16), is </w:t>
      </w:r>
      <w:r w:rsidRPr="00D4590B">
        <w:rPr>
          <w:rFonts w:hint="cs"/>
          <w:sz w:val="26"/>
          <w:szCs w:val="26"/>
          <w:rtl/>
          <w:lang w:bidi="he-IL"/>
        </w:rPr>
        <w:t>נכתב בחסרון</w:t>
      </w:r>
      <w:r w:rsidRPr="00D4590B">
        <w:rPr>
          <w:sz w:val="26"/>
          <w:szCs w:val="26"/>
          <w:lang w:bidi="he-IL"/>
        </w:rPr>
        <w:t xml:space="preserve">—“it is written deficiently”—in reference to an elliptical syntactic construction, which differs from </w:t>
      </w:r>
      <w:proofErr w:type="spellStart"/>
      <w:r w:rsidRPr="00D4590B">
        <w:rPr>
          <w:sz w:val="26"/>
          <w:szCs w:val="26"/>
          <w:lang w:bidi="he-IL"/>
        </w:rPr>
        <w:t>Radak’s</w:t>
      </w:r>
      <w:proofErr w:type="spellEnd"/>
      <w:r w:rsidRPr="00D4590B">
        <w:rPr>
          <w:sz w:val="26"/>
          <w:szCs w:val="26"/>
          <w:lang w:bidi="he-IL"/>
        </w:rPr>
        <w:t xml:space="preserve"> usual expressions </w:t>
      </w:r>
      <w:r w:rsidRPr="00D4590B">
        <w:rPr>
          <w:rFonts w:hint="cs"/>
          <w:sz w:val="26"/>
          <w:szCs w:val="26"/>
          <w:rtl/>
          <w:lang w:bidi="he-IL"/>
        </w:rPr>
        <w:t>דרך קצרה</w:t>
      </w:r>
      <w:r w:rsidRPr="00D4590B">
        <w:rPr>
          <w:sz w:val="26"/>
          <w:szCs w:val="26"/>
          <w:lang w:bidi="he-IL"/>
        </w:rPr>
        <w:t xml:space="preserve"> and </w:t>
      </w:r>
      <w:r w:rsidRPr="00D4590B">
        <w:rPr>
          <w:rFonts w:hint="cs"/>
          <w:sz w:val="26"/>
          <w:szCs w:val="26"/>
          <w:rtl/>
          <w:lang w:bidi="he-IL"/>
        </w:rPr>
        <w:t>מקרא קצר</w:t>
      </w:r>
      <w:r w:rsidRPr="00D4590B">
        <w:rPr>
          <w:sz w:val="26"/>
          <w:szCs w:val="26"/>
          <w:lang w:bidi="he-IL"/>
        </w:rPr>
        <w:t xml:space="preserve"> that call attention to the brevity of the biblical formulation.</w:t>
      </w:r>
      <w:r w:rsidR="008515BC" w:rsidRPr="00D4590B">
        <w:rPr>
          <w:sz w:val="26"/>
          <w:szCs w:val="26"/>
          <w:lang w:bidi="he-IL"/>
        </w:rPr>
        <w:t xml:space="preserve"> </w:t>
      </w:r>
      <w:r w:rsidR="00524446" w:rsidRPr="00D4590B">
        <w:rPr>
          <w:sz w:val="26"/>
          <w:szCs w:val="26"/>
          <w:lang w:bidi="he-IL"/>
        </w:rPr>
        <w:t>Finally</w:t>
      </w:r>
      <w:r w:rsidRPr="00D4590B">
        <w:rPr>
          <w:sz w:val="26"/>
          <w:szCs w:val="26"/>
          <w:lang w:bidi="he-IL"/>
        </w:rPr>
        <w:t xml:space="preserve">, where the author uses the phrase </w:t>
      </w:r>
      <w:r w:rsidRPr="00D4590B">
        <w:rPr>
          <w:rFonts w:hint="cs"/>
          <w:sz w:val="26"/>
          <w:szCs w:val="26"/>
          <w:rtl/>
          <w:lang w:bidi="he-IL"/>
        </w:rPr>
        <w:t>סמך על המבין</w:t>
      </w:r>
      <w:r w:rsidRPr="00D4590B">
        <w:rPr>
          <w:sz w:val="26"/>
          <w:szCs w:val="26"/>
          <w:lang w:bidi="he-IL"/>
        </w:rPr>
        <w:t>—“it relies on the reader’s understanding,”</w:t>
      </w:r>
      <w:r w:rsidR="007E2EE4" w:rsidRPr="00D4590B">
        <w:rPr>
          <w:rStyle w:val="a4"/>
          <w:sz w:val="26"/>
          <w:szCs w:val="26"/>
          <w:lang w:bidi="he-IL"/>
        </w:rPr>
        <w:footnoteReference w:id="67"/>
      </w:r>
      <w:r w:rsidRPr="00D4590B">
        <w:rPr>
          <w:sz w:val="26"/>
          <w:szCs w:val="26"/>
          <w:lang w:bidi="he-IL"/>
        </w:rPr>
        <w:t xml:space="preserve"> he does not provide elaboration as </w:t>
      </w:r>
      <w:proofErr w:type="spellStart"/>
      <w:r w:rsidRPr="00D4590B">
        <w:rPr>
          <w:sz w:val="26"/>
          <w:szCs w:val="26"/>
          <w:lang w:bidi="he-IL"/>
        </w:rPr>
        <w:t>Radak</w:t>
      </w:r>
      <w:proofErr w:type="spellEnd"/>
      <w:r w:rsidRPr="00D4590B">
        <w:rPr>
          <w:sz w:val="26"/>
          <w:szCs w:val="26"/>
          <w:lang w:bidi="he-IL"/>
        </w:rPr>
        <w:t xml:space="preserve"> generally does.</w:t>
      </w:r>
      <w:r w:rsidR="007E4694" w:rsidRPr="00D4590B">
        <w:rPr>
          <w:rStyle w:val="a4"/>
          <w:sz w:val="26"/>
          <w:szCs w:val="26"/>
          <w:lang w:bidi="he-IL"/>
        </w:rPr>
        <w:footnoteReference w:id="68"/>
      </w:r>
    </w:p>
    <w:p w:rsidR="00975572" w:rsidRPr="00D4590B" w:rsidRDefault="00975572" w:rsidP="00FF0B7D">
      <w:pPr>
        <w:spacing w:line="300" w:lineRule="exact"/>
        <w:ind w:firstLine="284"/>
        <w:jc w:val="both"/>
        <w:rPr>
          <w:sz w:val="26"/>
          <w:szCs w:val="26"/>
          <w:lang w:bidi="he-IL"/>
        </w:rPr>
      </w:pPr>
      <w:r w:rsidRPr="00D4590B">
        <w:rPr>
          <w:sz w:val="26"/>
          <w:szCs w:val="26"/>
          <w:lang w:bidi="he-IL"/>
        </w:rPr>
        <w:t xml:space="preserve">The </w:t>
      </w:r>
      <w:r w:rsidR="009F2136">
        <w:rPr>
          <w:sz w:val="26"/>
          <w:szCs w:val="26"/>
          <w:lang w:bidi="he-IL"/>
        </w:rPr>
        <w:t>significance</w:t>
      </w:r>
      <w:r w:rsidRPr="00D4590B">
        <w:rPr>
          <w:sz w:val="26"/>
          <w:szCs w:val="26"/>
          <w:lang w:bidi="he-IL"/>
        </w:rPr>
        <w:t xml:space="preserve"> of these observations</w:t>
      </w:r>
      <w:r w:rsidR="00123607">
        <w:rPr>
          <w:sz w:val="26"/>
          <w:szCs w:val="26"/>
          <w:lang w:bidi="he-IL"/>
        </w:rPr>
        <w:t>, however,</w:t>
      </w:r>
      <w:r w:rsidRPr="00D4590B">
        <w:rPr>
          <w:sz w:val="26"/>
          <w:szCs w:val="26"/>
          <w:lang w:bidi="he-IL"/>
        </w:rPr>
        <w:t xml:space="preserve"> is </w:t>
      </w:r>
      <w:r w:rsidR="009F2136">
        <w:rPr>
          <w:sz w:val="26"/>
          <w:szCs w:val="26"/>
          <w:lang w:bidi="he-IL"/>
        </w:rPr>
        <w:t>highly questionable</w:t>
      </w:r>
      <w:r w:rsidRPr="00D4590B">
        <w:rPr>
          <w:sz w:val="26"/>
          <w:szCs w:val="26"/>
          <w:lang w:bidi="he-IL"/>
        </w:rPr>
        <w:t>.</w:t>
      </w:r>
      <w:r w:rsidR="008515BC" w:rsidRPr="00D4590B">
        <w:rPr>
          <w:sz w:val="26"/>
          <w:szCs w:val="26"/>
          <w:lang w:bidi="he-IL"/>
        </w:rPr>
        <w:t xml:space="preserve"> </w:t>
      </w:r>
      <w:r w:rsidRPr="00D4590B">
        <w:rPr>
          <w:sz w:val="26"/>
          <w:szCs w:val="26"/>
          <w:lang w:bidi="he-IL"/>
        </w:rPr>
        <w:t>In the first two cases, we are confronted with only one appearance of the phrase in question;</w:t>
      </w:r>
      <w:r w:rsidR="004704DF" w:rsidRPr="00D4590B">
        <w:rPr>
          <w:rStyle w:val="a4"/>
          <w:sz w:val="26"/>
          <w:szCs w:val="26"/>
          <w:lang w:bidi="he-IL"/>
        </w:rPr>
        <w:footnoteReference w:id="69"/>
      </w:r>
      <w:r w:rsidRPr="00D4590B">
        <w:rPr>
          <w:sz w:val="26"/>
          <w:szCs w:val="26"/>
          <w:lang w:bidi="he-IL"/>
        </w:rPr>
        <w:t xml:space="preserve"> and the example from the introduction appears to be no more than a poetic flourish, reminiscent of the style found, for instance, in </w:t>
      </w:r>
      <w:proofErr w:type="spellStart"/>
      <w:r w:rsidRPr="00D4590B">
        <w:rPr>
          <w:sz w:val="26"/>
          <w:szCs w:val="26"/>
          <w:lang w:bidi="he-IL"/>
        </w:rPr>
        <w:t>Radak’s</w:t>
      </w:r>
      <w:proofErr w:type="spellEnd"/>
      <w:r w:rsidRPr="00D4590B">
        <w:rPr>
          <w:sz w:val="26"/>
          <w:szCs w:val="26"/>
          <w:lang w:bidi="he-IL"/>
        </w:rPr>
        <w:t xml:space="preserve"> introduction to his </w:t>
      </w:r>
      <w:r w:rsidR="004E7991">
        <w:rPr>
          <w:sz w:val="26"/>
          <w:szCs w:val="26"/>
          <w:lang w:bidi="he-IL"/>
        </w:rPr>
        <w:t>commentary on</w:t>
      </w:r>
      <w:r w:rsidRPr="00D4590B">
        <w:rPr>
          <w:sz w:val="26"/>
          <w:szCs w:val="26"/>
          <w:lang w:bidi="he-IL"/>
        </w:rPr>
        <w:t xml:space="preserve"> Joshua.</w:t>
      </w:r>
      <w:r w:rsidRPr="00D4590B">
        <w:rPr>
          <w:rStyle w:val="a4"/>
          <w:sz w:val="26"/>
          <w:szCs w:val="26"/>
          <w:lang w:bidi="he-IL"/>
        </w:rPr>
        <w:footnoteReference w:id="70"/>
      </w:r>
      <w:r w:rsidR="008515BC" w:rsidRPr="00D4590B">
        <w:rPr>
          <w:sz w:val="26"/>
          <w:szCs w:val="26"/>
          <w:lang w:bidi="he-IL"/>
        </w:rPr>
        <w:t xml:space="preserve"> </w:t>
      </w:r>
      <w:r w:rsidRPr="00D4590B">
        <w:rPr>
          <w:sz w:val="26"/>
          <w:szCs w:val="26"/>
          <w:lang w:bidi="he-IL"/>
        </w:rPr>
        <w:t xml:space="preserve">The full phrase </w:t>
      </w:r>
      <w:r w:rsidRPr="00D4590B">
        <w:rPr>
          <w:rFonts w:hint="cs"/>
          <w:sz w:val="26"/>
          <w:szCs w:val="26"/>
          <w:rtl/>
          <w:lang w:bidi="he-IL"/>
        </w:rPr>
        <w:t>נכתב בחסרון</w:t>
      </w:r>
      <w:r w:rsidRPr="00D4590B">
        <w:rPr>
          <w:sz w:val="26"/>
          <w:szCs w:val="26"/>
          <w:lang w:bidi="he-IL"/>
        </w:rPr>
        <w:t xml:space="preserve"> indeed does not appear in </w:t>
      </w:r>
      <w:proofErr w:type="spellStart"/>
      <w:r w:rsidRPr="00D4590B">
        <w:rPr>
          <w:sz w:val="26"/>
          <w:szCs w:val="26"/>
          <w:lang w:bidi="he-IL"/>
        </w:rPr>
        <w:t>Radak</w:t>
      </w:r>
      <w:proofErr w:type="spellEnd"/>
      <w:r w:rsidRPr="00D4590B">
        <w:rPr>
          <w:sz w:val="26"/>
          <w:szCs w:val="26"/>
          <w:lang w:bidi="he-IL"/>
        </w:rPr>
        <w:t xml:space="preserve">, but the word </w:t>
      </w:r>
      <w:r w:rsidRPr="00D4590B">
        <w:rPr>
          <w:rFonts w:hint="cs"/>
          <w:sz w:val="26"/>
          <w:szCs w:val="26"/>
          <w:rtl/>
          <w:lang w:bidi="he-IL"/>
        </w:rPr>
        <w:t>חסרון</w:t>
      </w:r>
      <w:r w:rsidRPr="00D4590B">
        <w:rPr>
          <w:sz w:val="26"/>
          <w:szCs w:val="26"/>
          <w:lang w:bidi="he-IL"/>
        </w:rPr>
        <w:t xml:space="preserve"> itself appears many times in reference to an elision.</w:t>
      </w:r>
      <w:r w:rsidR="008515BC" w:rsidRPr="00D4590B">
        <w:rPr>
          <w:sz w:val="26"/>
          <w:szCs w:val="26"/>
          <w:lang w:bidi="he-IL"/>
        </w:rPr>
        <w:t xml:space="preserve"> </w:t>
      </w:r>
      <w:r w:rsidRPr="00D4590B">
        <w:rPr>
          <w:sz w:val="26"/>
          <w:szCs w:val="26"/>
          <w:lang w:bidi="he-IL"/>
        </w:rPr>
        <w:t xml:space="preserve">Furthermore, in most instances, the commentary actually does employ </w:t>
      </w:r>
      <w:proofErr w:type="spellStart"/>
      <w:r w:rsidRPr="00D4590B">
        <w:rPr>
          <w:sz w:val="26"/>
          <w:szCs w:val="26"/>
          <w:lang w:bidi="he-IL"/>
        </w:rPr>
        <w:t>Radak’s</w:t>
      </w:r>
      <w:proofErr w:type="spellEnd"/>
      <w:r w:rsidRPr="00D4590B">
        <w:rPr>
          <w:sz w:val="26"/>
          <w:szCs w:val="26"/>
          <w:lang w:bidi="he-IL"/>
        </w:rPr>
        <w:t xml:space="preserve"> more common </w:t>
      </w:r>
      <w:r w:rsidRPr="00D4590B">
        <w:rPr>
          <w:sz w:val="26"/>
          <w:szCs w:val="26"/>
          <w:lang w:bidi="he-IL"/>
        </w:rPr>
        <w:lastRenderedPageBreak/>
        <w:t xml:space="preserve">phrase </w:t>
      </w:r>
      <w:r w:rsidRPr="00D4590B">
        <w:rPr>
          <w:rFonts w:hint="cs"/>
          <w:sz w:val="26"/>
          <w:szCs w:val="26"/>
          <w:rtl/>
          <w:lang w:bidi="he-IL"/>
        </w:rPr>
        <w:t>מקרא קצר</w:t>
      </w:r>
      <w:r w:rsidRPr="00D4590B">
        <w:rPr>
          <w:sz w:val="26"/>
          <w:szCs w:val="26"/>
          <w:lang w:bidi="he-IL"/>
        </w:rPr>
        <w:t xml:space="preserve"> when calling attention to an elliptical construction.</w:t>
      </w:r>
      <w:r w:rsidRPr="00D4590B">
        <w:rPr>
          <w:rStyle w:val="a4"/>
          <w:sz w:val="26"/>
          <w:szCs w:val="26"/>
          <w:lang w:bidi="he-IL"/>
        </w:rPr>
        <w:footnoteReference w:id="71"/>
      </w:r>
      <w:r w:rsidR="008515BC" w:rsidRPr="00D4590B">
        <w:rPr>
          <w:sz w:val="26"/>
          <w:szCs w:val="26"/>
          <w:lang w:bidi="he-IL"/>
        </w:rPr>
        <w:t xml:space="preserve"> </w:t>
      </w:r>
      <w:r w:rsidRPr="00D4590B">
        <w:rPr>
          <w:sz w:val="26"/>
          <w:szCs w:val="26"/>
          <w:lang w:bidi="he-IL"/>
        </w:rPr>
        <w:t xml:space="preserve">As for the use of </w:t>
      </w:r>
      <w:r w:rsidRPr="00D4590B">
        <w:rPr>
          <w:rFonts w:hint="cs"/>
          <w:sz w:val="26"/>
          <w:szCs w:val="26"/>
          <w:rtl/>
          <w:lang w:bidi="he-IL"/>
        </w:rPr>
        <w:t>סמך על המבין</w:t>
      </w:r>
      <w:r w:rsidRPr="00D4590B">
        <w:rPr>
          <w:sz w:val="26"/>
          <w:szCs w:val="26"/>
          <w:lang w:bidi="he-IL"/>
        </w:rPr>
        <w:t xml:space="preserve"> without elaboration, which is arguably not unique in </w:t>
      </w:r>
      <w:proofErr w:type="spellStart"/>
      <w:r w:rsidRPr="00D4590B">
        <w:rPr>
          <w:sz w:val="26"/>
          <w:szCs w:val="26"/>
          <w:lang w:bidi="he-IL"/>
        </w:rPr>
        <w:t>Radak’s</w:t>
      </w:r>
      <w:proofErr w:type="spellEnd"/>
      <w:r w:rsidRPr="00D4590B">
        <w:rPr>
          <w:sz w:val="26"/>
          <w:szCs w:val="26"/>
          <w:lang w:bidi="he-IL"/>
        </w:rPr>
        <w:t xml:space="preserve"> works,</w:t>
      </w:r>
      <w:r w:rsidRPr="00D4590B">
        <w:rPr>
          <w:rStyle w:val="a4"/>
          <w:sz w:val="26"/>
          <w:szCs w:val="26"/>
          <w:lang w:bidi="he-IL"/>
        </w:rPr>
        <w:footnoteReference w:id="72"/>
      </w:r>
      <w:r w:rsidRPr="00D4590B">
        <w:rPr>
          <w:sz w:val="26"/>
          <w:szCs w:val="26"/>
          <w:lang w:bidi="he-IL"/>
        </w:rPr>
        <w:t xml:space="preserve"> we shall have occasion below to address the generally less elaborate style</w:t>
      </w:r>
      <w:r w:rsidR="00AA4556" w:rsidRPr="00D4590B">
        <w:rPr>
          <w:sz w:val="26"/>
          <w:szCs w:val="26"/>
          <w:lang w:bidi="he-IL"/>
        </w:rPr>
        <w:t xml:space="preserve"> both</w:t>
      </w:r>
      <w:r w:rsidRPr="00D4590B">
        <w:rPr>
          <w:sz w:val="26"/>
          <w:szCs w:val="26"/>
          <w:lang w:bidi="he-IL"/>
        </w:rPr>
        <w:t xml:space="preserve"> </w:t>
      </w:r>
      <w:r w:rsidR="00FF1969" w:rsidRPr="00D4590B">
        <w:rPr>
          <w:sz w:val="26"/>
          <w:szCs w:val="26"/>
          <w:lang w:bidi="he-IL"/>
        </w:rPr>
        <w:t xml:space="preserve">of </w:t>
      </w:r>
      <w:r w:rsidRPr="00D4590B">
        <w:rPr>
          <w:sz w:val="26"/>
          <w:szCs w:val="26"/>
          <w:lang w:bidi="he-IL"/>
        </w:rPr>
        <w:t xml:space="preserve">this commentary and, to a somewhat lesser extent, of </w:t>
      </w:r>
      <w:proofErr w:type="spellStart"/>
      <w:r w:rsidRPr="00D4590B">
        <w:rPr>
          <w:sz w:val="26"/>
          <w:szCs w:val="26"/>
          <w:lang w:bidi="he-IL"/>
        </w:rPr>
        <w:t>Radak</w:t>
      </w:r>
      <w:proofErr w:type="spellEnd"/>
      <w:r w:rsidRPr="00D4590B">
        <w:rPr>
          <w:sz w:val="26"/>
          <w:szCs w:val="26"/>
          <w:lang w:bidi="he-IL"/>
        </w:rPr>
        <w:t xml:space="preserve"> on Chronicles.</w:t>
      </w:r>
      <w:r w:rsidR="004D7A58" w:rsidRPr="00D4590B">
        <w:rPr>
          <w:rStyle w:val="a4"/>
          <w:sz w:val="26"/>
          <w:szCs w:val="26"/>
          <w:lang w:bidi="he-IL"/>
        </w:rPr>
        <w:footnoteReference w:id="73"/>
      </w:r>
      <w:r w:rsidR="008515BC" w:rsidRPr="00D4590B">
        <w:rPr>
          <w:sz w:val="26"/>
          <w:szCs w:val="26"/>
          <w:lang w:bidi="he-IL"/>
        </w:rPr>
        <w:t xml:space="preserve"> </w:t>
      </w:r>
      <w:r w:rsidR="00AA4556" w:rsidRPr="00D4590B">
        <w:rPr>
          <w:sz w:val="26"/>
          <w:szCs w:val="26"/>
          <w:lang w:bidi="he-IL"/>
        </w:rPr>
        <w:t>Moreover</w:t>
      </w:r>
      <w:r w:rsidRPr="00D4590B">
        <w:rPr>
          <w:sz w:val="26"/>
          <w:szCs w:val="26"/>
          <w:lang w:bidi="he-IL"/>
        </w:rPr>
        <w:t xml:space="preserve">, the phrase itself, which appears four times </w:t>
      </w:r>
      <w:r w:rsidR="00E123D5" w:rsidRPr="00D4590B">
        <w:rPr>
          <w:sz w:val="26"/>
          <w:szCs w:val="26"/>
          <w:lang w:bidi="he-IL"/>
        </w:rPr>
        <w:t>in the</w:t>
      </w:r>
      <w:r w:rsidRPr="00D4590B">
        <w:rPr>
          <w:sz w:val="26"/>
          <w:szCs w:val="26"/>
          <w:lang w:bidi="he-IL"/>
        </w:rPr>
        <w:t xml:space="preserve"> Proverbs </w:t>
      </w:r>
      <w:r w:rsidR="00E123D5" w:rsidRPr="00D4590B">
        <w:rPr>
          <w:sz w:val="26"/>
          <w:szCs w:val="26"/>
          <w:lang w:bidi="he-IL"/>
        </w:rPr>
        <w:t xml:space="preserve">commentary </w:t>
      </w:r>
      <w:r w:rsidRPr="00D4590B">
        <w:rPr>
          <w:sz w:val="26"/>
          <w:szCs w:val="26"/>
          <w:lang w:bidi="he-IL"/>
        </w:rPr>
        <w:t xml:space="preserve">and only eleven other times in </w:t>
      </w:r>
      <w:r w:rsidR="006D3312" w:rsidRPr="00D4590B">
        <w:rPr>
          <w:sz w:val="26"/>
          <w:szCs w:val="26"/>
          <w:lang w:bidi="he-IL"/>
        </w:rPr>
        <w:t xml:space="preserve">the commentaries of </w:t>
      </w:r>
      <w:proofErr w:type="spellStart"/>
      <w:r w:rsidR="006D3312" w:rsidRPr="00D4590B">
        <w:rPr>
          <w:sz w:val="26"/>
          <w:szCs w:val="26"/>
          <w:lang w:bidi="he-IL"/>
        </w:rPr>
        <w:t>Radak</w:t>
      </w:r>
      <w:proofErr w:type="spellEnd"/>
      <w:r w:rsidRPr="00D4590B">
        <w:rPr>
          <w:sz w:val="26"/>
          <w:szCs w:val="26"/>
          <w:lang w:bidi="he-IL"/>
        </w:rPr>
        <w:t>,</w:t>
      </w:r>
      <w:r w:rsidRPr="00D4590B">
        <w:rPr>
          <w:rStyle w:val="a4"/>
          <w:sz w:val="26"/>
          <w:szCs w:val="26"/>
          <w:lang w:bidi="he-IL"/>
        </w:rPr>
        <w:footnoteReference w:id="74"/>
      </w:r>
      <w:r w:rsidR="006D3312" w:rsidRPr="00D4590B">
        <w:rPr>
          <w:sz w:val="26"/>
          <w:szCs w:val="26"/>
          <w:lang w:bidi="he-IL"/>
        </w:rPr>
        <w:t xml:space="preserve"> does not </w:t>
      </w:r>
      <w:r w:rsidR="00AA4556" w:rsidRPr="00D4590B">
        <w:rPr>
          <w:sz w:val="26"/>
          <w:szCs w:val="26"/>
          <w:lang w:bidi="he-IL"/>
        </w:rPr>
        <w:t>appear</w:t>
      </w:r>
      <w:r w:rsidR="006D3312" w:rsidRPr="00D4590B">
        <w:rPr>
          <w:sz w:val="26"/>
          <w:szCs w:val="26"/>
          <w:lang w:bidi="he-IL"/>
        </w:rPr>
        <w:t xml:space="preserve"> in any other medieval works that I can find; so it is </w:t>
      </w:r>
      <w:r w:rsidRPr="00D4590B">
        <w:rPr>
          <w:sz w:val="26"/>
          <w:szCs w:val="26"/>
          <w:lang w:bidi="he-IL"/>
        </w:rPr>
        <w:t>likely that its influence on</w:t>
      </w:r>
      <w:r w:rsidR="009F518E" w:rsidRPr="00D4590B">
        <w:rPr>
          <w:sz w:val="26"/>
          <w:szCs w:val="26"/>
          <w:lang w:bidi="he-IL"/>
        </w:rPr>
        <w:t xml:space="preserve"> our commentator—as </w:t>
      </w:r>
      <w:r w:rsidRPr="00D4590B">
        <w:rPr>
          <w:sz w:val="26"/>
          <w:szCs w:val="26"/>
          <w:lang w:bidi="he-IL"/>
        </w:rPr>
        <w:t xml:space="preserve">a follower of </w:t>
      </w:r>
      <w:proofErr w:type="spellStart"/>
      <w:r w:rsidRPr="00D4590B">
        <w:rPr>
          <w:sz w:val="26"/>
          <w:szCs w:val="26"/>
          <w:lang w:bidi="he-IL"/>
        </w:rPr>
        <w:t>Rada</w:t>
      </w:r>
      <w:r w:rsidR="009F518E" w:rsidRPr="00D4590B">
        <w:rPr>
          <w:sz w:val="26"/>
          <w:szCs w:val="26"/>
          <w:lang w:bidi="he-IL"/>
        </w:rPr>
        <w:t>k</w:t>
      </w:r>
      <w:proofErr w:type="spellEnd"/>
      <w:r w:rsidR="009F518E" w:rsidRPr="00D4590B">
        <w:rPr>
          <w:sz w:val="26"/>
          <w:szCs w:val="26"/>
          <w:lang w:bidi="he-IL"/>
        </w:rPr>
        <w:t>—</w:t>
      </w:r>
      <w:r w:rsidRPr="00D4590B">
        <w:rPr>
          <w:sz w:val="26"/>
          <w:szCs w:val="26"/>
          <w:lang w:bidi="he-IL"/>
        </w:rPr>
        <w:t>would have to owe to just a small number of occurrences within the prolific exegete’s voluminous works.</w:t>
      </w:r>
    </w:p>
    <w:p w:rsidR="00975572" w:rsidRPr="00D4590B" w:rsidRDefault="00975572" w:rsidP="00FF0B7D">
      <w:pPr>
        <w:spacing w:line="300" w:lineRule="exact"/>
        <w:ind w:firstLine="284"/>
        <w:jc w:val="both"/>
        <w:rPr>
          <w:sz w:val="26"/>
          <w:szCs w:val="26"/>
          <w:lang w:bidi="he-IL"/>
        </w:rPr>
      </w:pPr>
      <w:r w:rsidRPr="00D4590B">
        <w:rPr>
          <w:sz w:val="26"/>
          <w:szCs w:val="26"/>
          <w:lang w:bidi="he-IL"/>
        </w:rPr>
        <w:t xml:space="preserve">On the other hand, a great many phrases in the Proverbs commentary do recall </w:t>
      </w:r>
      <w:proofErr w:type="spellStart"/>
      <w:r w:rsidRPr="00D4590B">
        <w:rPr>
          <w:sz w:val="26"/>
          <w:szCs w:val="26"/>
          <w:lang w:bidi="he-IL"/>
        </w:rPr>
        <w:t>Radak’s</w:t>
      </w:r>
      <w:proofErr w:type="spellEnd"/>
      <w:r w:rsidRPr="00D4590B">
        <w:rPr>
          <w:sz w:val="26"/>
          <w:szCs w:val="26"/>
          <w:lang w:bidi="he-IL"/>
        </w:rPr>
        <w:t xml:space="preserve"> terminology, beyond those already mentioned</w:t>
      </w:r>
      <w:r w:rsidR="00FF1969" w:rsidRPr="00D4590B">
        <w:rPr>
          <w:sz w:val="26"/>
          <w:szCs w:val="26"/>
          <w:lang w:bidi="he-IL"/>
        </w:rPr>
        <w:t>.</w:t>
      </w:r>
      <w:r w:rsidR="008515BC" w:rsidRPr="00D4590B">
        <w:rPr>
          <w:sz w:val="26"/>
          <w:szCs w:val="26"/>
          <w:lang w:bidi="he-IL"/>
        </w:rPr>
        <w:t xml:space="preserve"> </w:t>
      </w:r>
      <w:r w:rsidRPr="00D4590B">
        <w:rPr>
          <w:sz w:val="26"/>
          <w:szCs w:val="26"/>
          <w:lang w:bidi="he-IL"/>
        </w:rPr>
        <w:t>To begin with a set of examples mostly acknowledged by Grunhaus,</w:t>
      </w:r>
      <w:r w:rsidR="006B17C0" w:rsidRPr="00D4590B">
        <w:rPr>
          <w:rStyle w:val="a4"/>
          <w:sz w:val="26"/>
          <w:szCs w:val="26"/>
          <w:lang w:bidi="he-IL"/>
        </w:rPr>
        <w:footnoteReference w:id="75"/>
      </w:r>
      <w:r w:rsidRPr="00D4590B">
        <w:rPr>
          <w:sz w:val="26"/>
          <w:szCs w:val="26"/>
          <w:lang w:bidi="he-IL"/>
        </w:rPr>
        <w:t xml:space="preserve"> certain expressions that describe biblical metaphor match those of </w:t>
      </w:r>
      <w:proofErr w:type="spellStart"/>
      <w:r w:rsidRPr="00D4590B">
        <w:rPr>
          <w:sz w:val="26"/>
          <w:szCs w:val="26"/>
          <w:lang w:bidi="he-IL"/>
        </w:rPr>
        <w:t>Radak</w:t>
      </w:r>
      <w:proofErr w:type="spellEnd"/>
      <w:r w:rsidRPr="00D4590B">
        <w:rPr>
          <w:sz w:val="26"/>
          <w:szCs w:val="26"/>
          <w:lang w:bidi="he-IL"/>
        </w:rPr>
        <w:t>.</w:t>
      </w:r>
      <w:r w:rsidR="008515BC" w:rsidRPr="00D4590B">
        <w:rPr>
          <w:sz w:val="26"/>
          <w:szCs w:val="26"/>
          <w:lang w:bidi="he-IL"/>
        </w:rPr>
        <w:t xml:space="preserve"> </w:t>
      </w:r>
      <w:r w:rsidRPr="00D4590B">
        <w:rPr>
          <w:sz w:val="26"/>
          <w:szCs w:val="26"/>
          <w:lang w:bidi="he-IL"/>
        </w:rPr>
        <w:t xml:space="preserve">These include the arguably unexceptional phrase </w:t>
      </w:r>
      <w:r w:rsidRPr="00D4590B">
        <w:rPr>
          <w:rFonts w:hint="cs"/>
          <w:sz w:val="26"/>
          <w:szCs w:val="26"/>
          <w:rtl/>
          <w:lang w:bidi="he-IL"/>
        </w:rPr>
        <w:t>דרך משל</w:t>
      </w:r>
      <w:r w:rsidRPr="00D4590B">
        <w:rPr>
          <w:sz w:val="26"/>
          <w:szCs w:val="26"/>
          <w:lang w:bidi="he-IL"/>
        </w:rPr>
        <w:t xml:space="preserve">—“by way of </w:t>
      </w:r>
      <w:r w:rsidRPr="00D4590B">
        <w:rPr>
          <w:sz w:val="26"/>
          <w:szCs w:val="26"/>
          <w:lang w:bidi="he-IL"/>
        </w:rPr>
        <w:lastRenderedPageBreak/>
        <w:t>metaphor,”</w:t>
      </w:r>
      <w:r w:rsidR="00936B7E" w:rsidRPr="00D4590B">
        <w:rPr>
          <w:rStyle w:val="a4"/>
          <w:sz w:val="26"/>
          <w:szCs w:val="26"/>
          <w:lang w:bidi="he-IL"/>
        </w:rPr>
        <w:footnoteReference w:id="76"/>
      </w:r>
      <w:r w:rsidRPr="00D4590B">
        <w:rPr>
          <w:sz w:val="26"/>
          <w:szCs w:val="26"/>
          <w:lang w:bidi="he-IL"/>
        </w:rPr>
        <w:t xml:space="preserve"> the construction “</w:t>
      </w:r>
      <w:r w:rsidRPr="00D4590B">
        <w:rPr>
          <w:rFonts w:hint="cs"/>
          <w:sz w:val="26"/>
          <w:szCs w:val="26"/>
          <w:rtl/>
          <w:lang w:bidi="he-IL"/>
        </w:rPr>
        <w:t>כמו...כן...</w:t>
      </w:r>
      <w:r w:rsidR="00694448" w:rsidRPr="00D4590B">
        <w:rPr>
          <w:sz w:val="26"/>
          <w:szCs w:val="26"/>
          <w:lang w:bidi="he-IL"/>
        </w:rPr>
        <w:t>”—“just as…so too…,”</w:t>
      </w:r>
      <w:r w:rsidR="000305E2" w:rsidRPr="00D4590B">
        <w:rPr>
          <w:rStyle w:val="a4"/>
          <w:sz w:val="26"/>
          <w:szCs w:val="26"/>
          <w:lang w:bidi="he-IL"/>
        </w:rPr>
        <w:footnoteReference w:id="77"/>
      </w:r>
      <w:r w:rsidR="00694448" w:rsidRPr="00D4590B">
        <w:rPr>
          <w:sz w:val="26"/>
          <w:szCs w:val="26"/>
          <w:lang w:bidi="he-IL"/>
        </w:rPr>
        <w:t xml:space="preserve"> and the adoption</w:t>
      </w:r>
      <w:r w:rsidRPr="00D4590B">
        <w:rPr>
          <w:sz w:val="26"/>
          <w:szCs w:val="26"/>
          <w:lang w:bidi="he-IL"/>
        </w:rPr>
        <w:t xml:space="preserve"> of </w:t>
      </w:r>
      <w:proofErr w:type="spellStart"/>
      <w:r w:rsidR="00694448" w:rsidRPr="00D4590B">
        <w:rPr>
          <w:sz w:val="26"/>
          <w:szCs w:val="26"/>
          <w:lang w:bidi="he-IL"/>
        </w:rPr>
        <w:t>Rashi’s</w:t>
      </w:r>
      <w:proofErr w:type="spellEnd"/>
      <w:r w:rsidR="00694448" w:rsidRPr="00D4590B">
        <w:rPr>
          <w:sz w:val="26"/>
          <w:szCs w:val="26"/>
          <w:lang w:bidi="he-IL"/>
        </w:rPr>
        <w:t xml:space="preserve"> rendering of </w:t>
      </w:r>
      <w:r w:rsidRPr="00D4590B">
        <w:rPr>
          <w:rFonts w:hint="cs"/>
          <w:sz w:val="26"/>
          <w:szCs w:val="26"/>
          <w:rtl/>
          <w:lang w:bidi="he-IL"/>
        </w:rPr>
        <w:t>מליצה</w:t>
      </w:r>
      <w:r w:rsidR="00694448" w:rsidRPr="00D4590B">
        <w:rPr>
          <w:sz w:val="26"/>
          <w:szCs w:val="26"/>
          <w:lang w:bidi="he-IL"/>
        </w:rPr>
        <w:t xml:space="preserve"> as</w:t>
      </w:r>
      <w:r w:rsidRPr="00D4590B">
        <w:rPr>
          <w:sz w:val="26"/>
          <w:szCs w:val="26"/>
          <w:lang w:bidi="he-IL"/>
        </w:rPr>
        <w:t xml:space="preserve"> literal meaning and </w:t>
      </w:r>
      <w:r w:rsidRPr="00D4590B">
        <w:rPr>
          <w:rFonts w:hint="cs"/>
          <w:sz w:val="26"/>
          <w:szCs w:val="26"/>
          <w:rtl/>
          <w:lang w:bidi="he-IL"/>
        </w:rPr>
        <w:t>משל</w:t>
      </w:r>
      <w:r w:rsidR="00694448" w:rsidRPr="00D4590B">
        <w:rPr>
          <w:sz w:val="26"/>
          <w:szCs w:val="26"/>
          <w:lang w:bidi="he-IL"/>
        </w:rPr>
        <w:t xml:space="preserve"> as</w:t>
      </w:r>
      <w:r w:rsidRPr="00D4590B">
        <w:rPr>
          <w:sz w:val="26"/>
          <w:szCs w:val="26"/>
          <w:lang w:bidi="he-IL"/>
        </w:rPr>
        <w:t xml:space="preserve"> </w:t>
      </w:r>
      <w:r w:rsidR="00694448" w:rsidRPr="00D4590B">
        <w:rPr>
          <w:sz w:val="26"/>
          <w:szCs w:val="26"/>
          <w:lang w:bidi="he-IL"/>
        </w:rPr>
        <w:t xml:space="preserve">figurative </w:t>
      </w:r>
      <w:r w:rsidRPr="00D4590B">
        <w:rPr>
          <w:sz w:val="26"/>
          <w:szCs w:val="26"/>
          <w:lang w:bidi="he-IL"/>
        </w:rPr>
        <w:t>meaning.</w:t>
      </w:r>
      <w:r w:rsidRPr="00D4590B">
        <w:rPr>
          <w:rStyle w:val="a4"/>
          <w:sz w:val="26"/>
          <w:szCs w:val="26"/>
          <w:lang w:bidi="he-IL"/>
        </w:rPr>
        <w:footnoteReference w:id="78"/>
      </w:r>
    </w:p>
    <w:p w:rsidR="00975572" w:rsidRPr="00D4590B" w:rsidRDefault="00975572" w:rsidP="00FF0B7D">
      <w:pPr>
        <w:spacing w:line="300" w:lineRule="exact"/>
        <w:ind w:firstLine="284"/>
        <w:jc w:val="both"/>
        <w:rPr>
          <w:sz w:val="26"/>
          <w:szCs w:val="26"/>
          <w:lang w:bidi="he-IL"/>
        </w:rPr>
      </w:pPr>
      <w:r w:rsidRPr="00D4590B">
        <w:rPr>
          <w:sz w:val="26"/>
          <w:szCs w:val="26"/>
          <w:lang w:bidi="he-IL"/>
        </w:rPr>
        <w:t xml:space="preserve">Among other notable expressions in the commentary, some </w:t>
      </w:r>
      <w:r w:rsidR="000B6848" w:rsidRPr="00D4590B">
        <w:rPr>
          <w:sz w:val="26"/>
          <w:szCs w:val="26"/>
          <w:lang w:bidi="he-IL"/>
        </w:rPr>
        <w:t xml:space="preserve">appear largely or exclusively in </w:t>
      </w:r>
      <w:proofErr w:type="spellStart"/>
      <w:r w:rsidR="000B6848" w:rsidRPr="00D4590B">
        <w:rPr>
          <w:sz w:val="26"/>
          <w:szCs w:val="26"/>
          <w:lang w:bidi="he-IL"/>
        </w:rPr>
        <w:t>Radak</w:t>
      </w:r>
      <w:proofErr w:type="spellEnd"/>
      <w:r w:rsidR="000B6848" w:rsidRPr="00D4590B">
        <w:rPr>
          <w:sz w:val="26"/>
          <w:szCs w:val="26"/>
          <w:lang w:bidi="he-IL"/>
        </w:rPr>
        <w:t xml:space="preserve"> specifically</w:t>
      </w:r>
      <w:r w:rsidR="006775E7" w:rsidRPr="00D4590B">
        <w:rPr>
          <w:sz w:val="26"/>
          <w:szCs w:val="26"/>
          <w:lang w:bidi="he-IL"/>
        </w:rPr>
        <w:t>,</w:t>
      </w:r>
      <w:r w:rsidR="000B6848" w:rsidRPr="00D4590B">
        <w:rPr>
          <w:sz w:val="26"/>
          <w:szCs w:val="26"/>
          <w:lang w:bidi="he-IL"/>
        </w:rPr>
        <w:t xml:space="preserve"> </w:t>
      </w:r>
      <w:r w:rsidR="006775E7" w:rsidRPr="00D4590B">
        <w:rPr>
          <w:sz w:val="26"/>
          <w:szCs w:val="26"/>
          <w:lang w:bidi="he-IL"/>
        </w:rPr>
        <w:t xml:space="preserve">while others </w:t>
      </w:r>
      <w:r w:rsidRPr="00D4590B">
        <w:rPr>
          <w:sz w:val="26"/>
          <w:szCs w:val="26"/>
          <w:lang w:bidi="he-IL"/>
        </w:rPr>
        <w:t xml:space="preserve">are consistent with </w:t>
      </w:r>
      <w:proofErr w:type="spellStart"/>
      <w:r w:rsidRPr="00D4590B">
        <w:rPr>
          <w:sz w:val="26"/>
          <w:szCs w:val="26"/>
          <w:lang w:bidi="he-IL"/>
        </w:rPr>
        <w:t>Radak’s</w:t>
      </w:r>
      <w:proofErr w:type="spellEnd"/>
      <w:r w:rsidRPr="00D4590B">
        <w:rPr>
          <w:sz w:val="26"/>
          <w:szCs w:val="26"/>
          <w:lang w:bidi="he-IL"/>
        </w:rPr>
        <w:t xml:space="preserve"> style but appear reasonably often among other exegetes </w:t>
      </w:r>
      <w:r w:rsidR="00FF1969" w:rsidRPr="00D4590B">
        <w:rPr>
          <w:sz w:val="26"/>
          <w:szCs w:val="26"/>
          <w:lang w:bidi="he-IL"/>
        </w:rPr>
        <w:t>as well</w:t>
      </w:r>
      <w:r w:rsidRPr="00D4590B">
        <w:rPr>
          <w:sz w:val="26"/>
          <w:szCs w:val="26"/>
          <w:lang w:bidi="he-IL"/>
        </w:rPr>
        <w:t>.</w:t>
      </w:r>
      <w:r w:rsidR="008515BC" w:rsidRPr="00D4590B">
        <w:rPr>
          <w:sz w:val="26"/>
          <w:szCs w:val="26"/>
          <w:lang w:bidi="he-IL"/>
        </w:rPr>
        <w:t xml:space="preserve"> </w:t>
      </w:r>
      <w:r w:rsidR="00000F4B" w:rsidRPr="00D4590B">
        <w:rPr>
          <w:sz w:val="26"/>
          <w:szCs w:val="26"/>
          <w:lang w:bidi="he-IL"/>
        </w:rPr>
        <w:t xml:space="preserve">We shall survey these phrases based </w:t>
      </w:r>
      <w:r w:rsidRPr="00D4590B">
        <w:rPr>
          <w:sz w:val="26"/>
          <w:szCs w:val="26"/>
          <w:lang w:bidi="he-IL"/>
        </w:rPr>
        <w:t xml:space="preserve">on results produced by the database of the </w:t>
      </w:r>
      <w:proofErr w:type="spellStart"/>
      <w:r w:rsidRPr="00D4590B">
        <w:rPr>
          <w:i/>
          <w:iCs/>
          <w:sz w:val="26"/>
          <w:szCs w:val="26"/>
          <w:lang w:bidi="he-IL"/>
        </w:rPr>
        <w:t>Haketer</w:t>
      </w:r>
      <w:proofErr w:type="spellEnd"/>
      <w:r w:rsidRPr="00D4590B">
        <w:rPr>
          <w:sz w:val="26"/>
          <w:szCs w:val="26"/>
          <w:lang w:bidi="he-IL"/>
        </w:rPr>
        <w:t xml:space="preserve"> Rabbinic Bible, which contains an especially broad array of medieval commentaries</w:t>
      </w:r>
      <w:r w:rsidR="00000F4B" w:rsidRPr="00D4590B">
        <w:rPr>
          <w:sz w:val="26"/>
          <w:szCs w:val="26"/>
          <w:lang w:bidi="he-IL"/>
        </w:rPr>
        <w:t>.</w:t>
      </w:r>
    </w:p>
    <w:p w:rsidR="00710871" w:rsidRPr="00D4590B" w:rsidRDefault="00000F4B" w:rsidP="00FF0B7D">
      <w:pPr>
        <w:spacing w:line="300" w:lineRule="exact"/>
        <w:ind w:firstLine="284"/>
        <w:jc w:val="both"/>
        <w:rPr>
          <w:sz w:val="26"/>
          <w:szCs w:val="26"/>
          <w:lang w:bidi="he-IL"/>
        </w:rPr>
      </w:pPr>
      <w:r w:rsidRPr="00D4590B">
        <w:rPr>
          <w:sz w:val="26"/>
          <w:szCs w:val="26"/>
          <w:lang w:bidi="he-IL"/>
        </w:rPr>
        <w:t>The</w:t>
      </w:r>
      <w:r w:rsidR="00710871" w:rsidRPr="00D4590B">
        <w:rPr>
          <w:sz w:val="26"/>
          <w:szCs w:val="26"/>
          <w:lang w:bidi="he-IL"/>
        </w:rPr>
        <w:t xml:space="preserve"> following phrases from the Proverbs commentary appear exclusively in </w:t>
      </w:r>
      <w:proofErr w:type="spellStart"/>
      <w:r w:rsidR="00710871" w:rsidRPr="00D4590B">
        <w:rPr>
          <w:sz w:val="26"/>
          <w:szCs w:val="26"/>
          <w:lang w:bidi="he-IL"/>
        </w:rPr>
        <w:t>Radak’s</w:t>
      </w:r>
      <w:proofErr w:type="spellEnd"/>
      <w:r w:rsidR="00710871" w:rsidRPr="00D4590B">
        <w:rPr>
          <w:sz w:val="26"/>
          <w:szCs w:val="26"/>
          <w:lang w:bidi="he-IL"/>
        </w:rPr>
        <w:t xml:space="preserve"> works or nearly so:</w:t>
      </w:r>
      <w:r w:rsidR="00710871" w:rsidRPr="00D4590B">
        <w:rPr>
          <w:rStyle w:val="a4"/>
          <w:sz w:val="26"/>
          <w:szCs w:val="26"/>
          <w:lang w:bidi="he-IL"/>
        </w:rPr>
        <w:footnoteReference w:id="79"/>
      </w:r>
      <w:r w:rsidR="00710871" w:rsidRPr="00D4590B">
        <w:rPr>
          <w:sz w:val="26"/>
          <w:szCs w:val="26"/>
          <w:lang w:bidi="he-IL"/>
        </w:rPr>
        <w:t xml:space="preserve"> </w:t>
      </w:r>
      <w:r w:rsidR="00710871" w:rsidRPr="00D4590B">
        <w:rPr>
          <w:rFonts w:hint="cs"/>
          <w:sz w:val="26"/>
          <w:szCs w:val="26"/>
          <w:rtl/>
          <w:lang w:bidi="he-IL"/>
        </w:rPr>
        <w:t>חסר בי"ת השימוש</w:t>
      </w:r>
      <w:r w:rsidR="00710871" w:rsidRPr="00D4590B">
        <w:rPr>
          <w:sz w:val="26"/>
          <w:szCs w:val="26"/>
          <w:lang w:bidi="he-IL"/>
        </w:rPr>
        <w:t xml:space="preserve"> (“the prepositional </w:t>
      </w:r>
      <w:r w:rsidR="00710871" w:rsidRPr="00D4590B">
        <w:rPr>
          <w:i/>
          <w:iCs/>
          <w:sz w:val="26"/>
          <w:szCs w:val="26"/>
          <w:lang w:bidi="he-IL"/>
        </w:rPr>
        <w:t>bet</w:t>
      </w:r>
      <w:r w:rsidR="00710871" w:rsidRPr="00D4590B">
        <w:rPr>
          <w:sz w:val="26"/>
          <w:szCs w:val="26"/>
          <w:lang w:bidi="he-IL"/>
        </w:rPr>
        <w:t xml:space="preserve"> is elided”), </w:t>
      </w:r>
      <w:r w:rsidR="00710871" w:rsidRPr="00D4590B">
        <w:rPr>
          <w:rFonts w:hint="cs"/>
          <w:sz w:val="26"/>
          <w:szCs w:val="26"/>
          <w:rtl/>
          <w:lang w:bidi="he-IL"/>
        </w:rPr>
        <w:t>חסר כ"ף הדמיון</w:t>
      </w:r>
      <w:r w:rsidR="00710871" w:rsidRPr="00D4590B">
        <w:rPr>
          <w:sz w:val="26"/>
          <w:szCs w:val="26"/>
          <w:lang w:bidi="he-IL"/>
        </w:rPr>
        <w:t xml:space="preserve"> (“the comparative </w:t>
      </w:r>
      <w:proofErr w:type="spellStart"/>
      <w:r w:rsidR="00710871" w:rsidRPr="00D4590B">
        <w:rPr>
          <w:i/>
          <w:iCs/>
          <w:sz w:val="26"/>
          <w:szCs w:val="26"/>
          <w:lang w:bidi="he-IL"/>
        </w:rPr>
        <w:t>kaf</w:t>
      </w:r>
      <w:proofErr w:type="spellEnd"/>
      <w:r w:rsidR="00710871" w:rsidRPr="00D4590B">
        <w:rPr>
          <w:sz w:val="26"/>
          <w:szCs w:val="26"/>
          <w:lang w:bidi="he-IL"/>
        </w:rPr>
        <w:t xml:space="preserve"> is elided”), </w:t>
      </w:r>
      <w:r w:rsidR="00710871" w:rsidRPr="00D4590B">
        <w:rPr>
          <w:rFonts w:hint="cs"/>
          <w:sz w:val="26"/>
          <w:szCs w:val="26"/>
          <w:rtl/>
          <w:lang w:bidi="he-IL"/>
        </w:rPr>
        <w:t>[פירושו] כמו הפוך</w:t>
      </w:r>
      <w:r w:rsidR="00710871" w:rsidRPr="00D4590B">
        <w:rPr>
          <w:sz w:val="26"/>
          <w:szCs w:val="26"/>
          <w:lang w:bidi="he-IL"/>
        </w:rPr>
        <w:t xml:space="preserve"> (“it is [to be interpreted] as if it were reversed”), </w:t>
      </w:r>
      <w:r w:rsidR="00710871" w:rsidRPr="00D4590B">
        <w:rPr>
          <w:rFonts w:hint="cs"/>
          <w:sz w:val="26"/>
          <w:szCs w:val="26"/>
          <w:rtl/>
          <w:lang w:bidi="he-IL"/>
        </w:rPr>
        <w:t>כפל ואמר</w:t>
      </w:r>
      <w:r w:rsidR="00710871" w:rsidRPr="00D4590B">
        <w:rPr>
          <w:sz w:val="26"/>
          <w:szCs w:val="26"/>
          <w:lang w:bidi="he-IL"/>
        </w:rPr>
        <w:t xml:space="preserve"> (“it doubles it and says”), </w:t>
      </w:r>
      <w:r w:rsidR="00710871" w:rsidRPr="00D4590B">
        <w:rPr>
          <w:rFonts w:hint="cs"/>
          <w:sz w:val="26"/>
          <w:szCs w:val="26"/>
          <w:rtl/>
          <w:lang w:bidi="he-IL"/>
        </w:rPr>
        <w:t>וכפל עוד ואמר</w:t>
      </w:r>
      <w:r w:rsidR="00710871" w:rsidRPr="00D4590B">
        <w:rPr>
          <w:sz w:val="26"/>
          <w:szCs w:val="26"/>
          <w:lang w:bidi="he-IL"/>
        </w:rPr>
        <w:t xml:space="preserve"> (“it doubles it saying further”), </w:t>
      </w:r>
      <w:r w:rsidR="00710871" w:rsidRPr="00D4590B">
        <w:rPr>
          <w:rFonts w:hint="cs"/>
          <w:sz w:val="26"/>
          <w:szCs w:val="26"/>
          <w:rtl/>
          <w:lang w:bidi="he-IL"/>
        </w:rPr>
        <w:t>כפל הענין במלים\במלות שונות ואמר</w:t>
      </w:r>
      <w:r w:rsidR="00710871" w:rsidRPr="00D4590B">
        <w:rPr>
          <w:sz w:val="26"/>
          <w:szCs w:val="26"/>
          <w:lang w:bidi="he-IL"/>
        </w:rPr>
        <w:t xml:space="preserve"> (“it doubles the matter in different terms and says”), </w:t>
      </w:r>
      <w:r w:rsidR="00710871" w:rsidRPr="00D4590B">
        <w:rPr>
          <w:rFonts w:hint="cs"/>
          <w:sz w:val="26"/>
          <w:szCs w:val="26"/>
          <w:rtl/>
          <w:lang w:bidi="he-IL"/>
        </w:rPr>
        <w:t>לחזק הענין</w:t>
      </w:r>
      <w:r w:rsidR="000C7782" w:rsidRPr="00D4590B">
        <w:rPr>
          <w:rFonts w:hint="cs"/>
          <w:sz w:val="26"/>
          <w:szCs w:val="26"/>
          <w:rtl/>
          <w:lang w:bidi="he-IL"/>
        </w:rPr>
        <w:t>\הדבר</w:t>
      </w:r>
      <w:r w:rsidR="00710871" w:rsidRPr="00D4590B">
        <w:rPr>
          <w:sz w:val="26"/>
          <w:szCs w:val="26"/>
          <w:lang w:bidi="he-IL"/>
        </w:rPr>
        <w:t xml:space="preserve"> (“to strengthen the point</w:t>
      </w:r>
      <w:r w:rsidR="000C7782" w:rsidRPr="00D4590B">
        <w:rPr>
          <w:sz w:val="26"/>
          <w:szCs w:val="26"/>
          <w:lang w:bidi="he-IL"/>
        </w:rPr>
        <w:t>/matter</w:t>
      </w:r>
      <w:r w:rsidR="00710871" w:rsidRPr="00D4590B">
        <w:rPr>
          <w:sz w:val="26"/>
          <w:szCs w:val="26"/>
          <w:lang w:bidi="he-IL"/>
        </w:rPr>
        <w:t xml:space="preserve">”), </w:t>
      </w:r>
      <w:r w:rsidR="000C7782" w:rsidRPr="00D4590B">
        <w:rPr>
          <w:rFonts w:hint="cs"/>
          <w:sz w:val="26"/>
          <w:szCs w:val="26"/>
          <w:rtl/>
          <w:lang w:bidi="he-IL"/>
        </w:rPr>
        <w:t>כ</w:t>
      </w:r>
      <w:r w:rsidR="00710871" w:rsidRPr="00D4590B">
        <w:rPr>
          <w:rFonts w:hint="cs"/>
          <w:sz w:val="26"/>
          <w:szCs w:val="26"/>
          <w:rtl/>
          <w:lang w:bidi="he-IL"/>
        </w:rPr>
        <w:t>מו בה"א\באל"ף</w:t>
      </w:r>
      <w:r w:rsidR="00710871" w:rsidRPr="00D4590B">
        <w:rPr>
          <w:sz w:val="26"/>
          <w:szCs w:val="26"/>
          <w:lang w:bidi="he-IL"/>
        </w:rPr>
        <w:t xml:space="preserve"> (“as with a </w:t>
      </w:r>
      <w:proofErr w:type="spellStart"/>
      <w:r w:rsidR="00710871" w:rsidRPr="00D4590B">
        <w:rPr>
          <w:i/>
          <w:iCs/>
          <w:sz w:val="26"/>
          <w:szCs w:val="26"/>
          <w:lang w:bidi="he-IL"/>
        </w:rPr>
        <w:t>hei</w:t>
      </w:r>
      <w:proofErr w:type="spellEnd"/>
      <w:r w:rsidR="00710871" w:rsidRPr="00D4590B">
        <w:rPr>
          <w:sz w:val="26"/>
          <w:szCs w:val="26"/>
          <w:lang w:bidi="he-IL"/>
        </w:rPr>
        <w:t>/</w:t>
      </w:r>
      <w:r w:rsidR="00B25A50" w:rsidRPr="00D4590B">
        <w:rPr>
          <w:i/>
          <w:iCs/>
          <w:sz w:val="26"/>
          <w:szCs w:val="26"/>
          <w:lang w:bidi="he-IL"/>
        </w:rPr>
        <w:t>’</w:t>
      </w:r>
      <w:proofErr w:type="spellStart"/>
      <w:r w:rsidR="00710871" w:rsidRPr="00D4590B">
        <w:rPr>
          <w:i/>
          <w:iCs/>
          <w:sz w:val="26"/>
          <w:szCs w:val="26"/>
          <w:lang w:bidi="he-IL"/>
        </w:rPr>
        <w:t>alef</w:t>
      </w:r>
      <w:proofErr w:type="spellEnd"/>
      <w:r w:rsidR="00710871" w:rsidRPr="00D4590B">
        <w:rPr>
          <w:sz w:val="26"/>
          <w:szCs w:val="26"/>
          <w:lang w:bidi="he-IL"/>
        </w:rPr>
        <w:t xml:space="preserve">”), </w:t>
      </w:r>
      <w:r w:rsidR="00710871" w:rsidRPr="00D4590B">
        <w:rPr>
          <w:rFonts w:hint="cs"/>
          <w:sz w:val="26"/>
          <w:szCs w:val="26"/>
          <w:rtl/>
          <w:lang w:bidi="he-IL"/>
        </w:rPr>
        <w:t>במפיק הה"א</w:t>
      </w:r>
      <w:r w:rsidR="00710871" w:rsidRPr="00D4590B">
        <w:rPr>
          <w:sz w:val="26"/>
          <w:szCs w:val="26"/>
          <w:lang w:bidi="he-IL"/>
        </w:rPr>
        <w:t xml:space="preserve"> (“the </w:t>
      </w:r>
      <w:proofErr w:type="spellStart"/>
      <w:r w:rsidR="00710871" w:rsidRPr="00D4590B">
        <w:rPr>
          <w:i/>
          <w:iCs/>
          <w:sz w:val="26"/>
          <w:szCs w:val="26"/>
          <w:lang w:bidi="he-IL"/>
        </w:rPr>
        <w:t>hei</w:t>
      </w:r>
      <w:proofErr w:type="spellEnd"/>
      <w:r w:rsidR="00710871" w:rsidRPr="00D4590B">
        <w:rPr>
          <w:sz w:val="26"/>
          <w:szCs w:val="26"/>
          <w:lang w:bidi="he-IL"/>
        </w:rPr>
        <w:t xml:space="preserve"> has a </w:t>
      </w:r>
      <w:proofErr w:type="spellStart"/>
      <w:r w:rsidR="00710871" w:rsidRPr="00D4590B">
        <w:rPr>
          <w:i/>
          <w:iCs/>
          <w:sz w:val="26"/>
          <w:szCs w:val="26"/>
          <w:lang w:bidi="he-IL"/>
        </w:rPr>
        <w:t>mappiq</w:t>
      </w:r>
      <w:proofErr w:type="spellEnd"/>
      <w:r w:rsidR="00710871" w:rsidRPr="00D4590B">
        <w:rPr>
          <w:sz w:val="26"/>
          <w:szCs w:val="26"/>
          <w:lang w:bidi="he-IL"/>
        </w:rPr>
        <w:t xml:space="preserve">”), </w:t>
      </w:r>
      <w:r w:rsidR="00710871" w:rsidRPr="00D4590B">
        <w:rPr>
          <w:rFonts w:hint="cs"/>
          <w:sz w:val="26"/>
          <w:szCs w:val="26"/>
          <w:rtl/>
          <w:lang w:bidi="he-IL"/>
        </w:rPr>
        <w:t>מקום\במקום אות הכפל</w:t>
      </w:r>
      <w:r w:rsidR="00710871" w:rsidRPr="00D4590B">
        <w:rPr>
          <w:sz w:val="26"/>
          <w:szCs w:val="26"/>
          <w:lang w:bidi="he-IL"/>
        </w:rPr>
        <w:t xml:space="preserve"> (“in place of the doubled letter”), </w:t>
      </w:r>
      <w:r w:rsidR="005352A6" w:rsidRPr="00D4590B">
        <w:rPr>
          <w:rFonts w:hint="cs"/>
          <w:sz w:val="26"/>
          <w:szCs w:val="26"/>
          <w:rtl/>
          <w:lang w:bidi="he-IL"/>
        </w:rPr>
        <w:t>תוספת ביאור</w:t>
      </w:r>
      <w:r w:rsidR="005352A6" w:rsidRPr="00D4590B">
        <w:rPr>
          <w:sz w:val="26"/>
          <w:szCs w:val="26"/>
          <w:lang w:bidi="he-IL"/>
        </w:rPr>
        <w:t xml:space="preserve"> (“it adds elaboration”), </w:t>
      </w:r>
      <w:r w:rsidR="00710871" w:rsidRPr="00D4590B">
        <w:rPr>
          <w:sz w:val="26"/>
          <w:szCs w:val="26"/>
          <w:lang w:bidi="he-IL"/>
        </w:rPr>
        <w:t xml:space="preserve">and </w:t>
      </w:r>
      <w:r w:rsidR="00710871" w:rsidRPr="00D4590B">
        <w:rPr>
          <w:rFonts w:hint="cs"/>
          <w:sz w:val="26"/>
          <w:szCs w:val="26"/>
          <w:rtl/>
          <w:lang w:bidi="he-IL"/>
        </w:rPr>
        <w:t>כלל ואמר</w:t>
      </w:r>
      <w:r w:rsidR="00710871" w:rsidRPr="00D4590B">
        <w:rPr>
          <w:sz w:val="26"/>
          <w:szCs w:val="26"/>
          <w:lang w:bidi="he-IL"/>
        </w:rPr>
        <w:t xml:space="preserve"> </w:t>
      </w:r>
      <w:r w:rsidR="00710871" w:rsidRPr="00D4590B">
        <w:rPr>
          <w:rFonts w:hint="cs"/>
          <w:sz w:val="26"/>
          <w:szCs w:val="26"/>
          <w:rtl/>
          <w:lang w:bidi="he-IL"/>
        </w:rPr>
        <w:t>)</w:t>
      </w:r>
      <w:r w:rsidR="00710871" w:rsidRPr="00D4590B">
        <w:rPr>
          <w:sz w:val="26"/>
          <w:szCs w:val="26"/>
          <w:lang w:bidi="he-IL"/>
        </w:rPr>
        <w:t>“it says inclusively”).</w:t>
      </w:r>
      <w:r w:rsidR="000C7782" w:rsidRPr="00D4590B">
        <w:rPr>
          <w:rStyle w:val="a4"/>
          <w:sz w:val="26"/>
          <w:szCs w:val="26"/>
          <w:lang w:bidi="he-IL"/>
        </w:rPr>
        <w:footnoteReference w:id="80"/>
      </w:r>
      <w:r w:rsidR="008515BC" w:rsidRPr="00D4590B">
        <w:rPr>
          <w:sz w:val="26"/>
          <w:szCs w:val="26"/>
          <w:lang w:bidi="he-IL"/>
        </w:rPr>
        <w:t xml:space="preserve"> </w:t>
      </w:r>
      <w:r w:rsidR="00710871" w:rsidRPr="00D4590B">
        <w:rPr>
          <w:sz w:val="26"/>
          <w:szCs w:val="26"/>
          <w:lang w:bidi="he-IL"/>
        </w:rPr>
        <w:t xml:space="preserve">In some cases, </w:t>
      </w:r>
      <w:r w:rsidR="008D4EB5" w:rsidRPr="00D4590B">
        <w:rPr>
          <w:sz w:val="26"/>
          <w:szCs w:val="26"/>
          <w:lang w:bidi="he-IL"/>
        </w:rPr>
        <w:t>like</w:t>
      </w:r>
      <w:r w:rsidR="00710871" w:rsidRPr="00D4590B">
        <w:rPr>
          <w:sz w:val="26"/>
          <w:szCs w:val="26"/>
          <w:lang w:bidi="he-IL"/>
        </w:rPr>
        <w:t xml:space="preserve"> this </w:t>
      </w:r>
      <w:r w:rsidR="00710871" w:rsidRPr="00D4590B">
        <w:rPr>
          <w:sz w:val="26"/>
          <w:szCs w:val="26"/>
          <w:lang w:bidi="he-IL"/>
        </w:rPr>
        <w:lastRenderedPageBreak/>
        <w:t xml:space="preserve">last example, the phrase appears in </w:t>
      </w:r>
      <w:proofErr w:type="spellStart"/>
      <w:r w:rsidR="00710871" w:rsidRPr="00D4590B">
        <w:rPr>
          <w:sz w:val="26"/>
          <w:szCs w:val="26"/>
          <w:lang w:bidi="he-IL"/>
        </w:rPr>
        <w:t>Radak’s</w:t>
      </w:r>
      <w:proofErr w:type="spellEnd"/>
      <w:r w:rsidR="00710871" w:rsidRPr="00D4590B">
        <w:rPr>
          <w:sz w:val="26"/>
          <w:szCs w:val="26"/>
          <w:lang w:bidi="he-IL"/>
        </w:rPr>
        <w:t xml:space="preserve"> commentaries alone</w:t>
      </w:r>
      <w:r w:rsidR="008D4EB5" w:rsidRPr="00D4590B">
        <w:rPr>
          <w:sz w:val="26"/>
          <w:szCs w:val="26"/>
          <w:lang w:bidi="he-IL"/>
        </w:rPr>
        <w:t>,</w:t>
      </w:r>
      <w:r w:rsidR="00710871" w:rsidRPr="00D4590B">
        <w:rPr>
          <w:sz w:val="26"/>
          <w:szCs w:val="26"/>
          <w:lang w:bidi="he-IL"/>
        </w:rPr>
        <w:t xml:space="preserve"> but only rarely, so that once again, the possibility of its impact on the terminology of another commentator </w:t>
      </w:r>
      <w:r w:rsidR="008D4EB5" w:rsidRPr="00D4590B">
        <w:rPr>
          <w:sz w:val="26"/>
          <w:szCs w:val="26"/>
          <w:lang w:bidi="he-IL"/>
        </w:rPr>
        <w:t>is</w:t>
      </w:r>
      <w:r w:rsidR="00710871" w:rsidRPr="00D4590B">
        <w:rPr>
          <w:sz w:val="26"/>
          <w:szCs w:val="26"/>
          <w:lang w:bidi="he-IL"/>
        </w:rPr>
        <w:t xml:space="preserve"> quite small.</w:t>
      </w:r>
    </w:p>
    <w:p w:rsidR="00975572" w:rsidRPr="00D4590B" w:rsidRDefault="008D4EB5" w:rsidP="00FF0B7D">
      <w:pPr>
        <w:spacing w:line="300" w:lineRule="exact"/>
        <w:ind w:firstLine="284"/>
        <w:jc w:val="both"/>
        <w:rPr>
          <w:sz w:val="26"/>
          <w:szCs w:val="26"/>
          <w:lang w:bidi="he-IL"/>
        </w:rPr>
      </w:pPr>
      <w:r w:rsidRPr="00D4590B">
        <w:rPr>
          <w:sz w:val="26"/>
          <w:szCs w:val="26"/>
          <w:lang w:bidi="he-IL"/>
        </w:rPr>
        <w:t>E</w:t>
      </w:r>
      <w:r w:rsidR="00975572" w:rsidRPr="00D4590B">
        <w:rPr>
          <w:sz w:val="26"/>
          <w:szCs w:val="26"/>
          <w:lang w:bidi="he-IL"/>
        </w:rPr>
        <w:t xml:space="preserve">xpressions in the commentary that, while </w:t>
      </w:r>
      <w:r w:rsidRPr="00D4590B">
        <w:rPr>
          <w:sz w:val="26"/>
          <w:szCs w:val="26"/>
          <w:lang w:bidi="he-IL"/>
        </w:rPr>
        <w:t>typical of</w:t>
      </w:r>
      <w:r w:rsidR="00975572" w:rsidRPr="00D4590B">
        <w:rPr>
          <w:sz w:val="26"/>
          <w:szCs w:val="26"/>
          <w:lang w:bidi="he-IL"/>
        </w:rPr>
        <w:t xml:space="preserve"> at least some </w:t>
      </w:r>
      <w:r w:rsidR="0054124B" w:rsidRPr="00D4590B">
        <w:rPr>
          <w:sz w:val="26"/>
          <w:szCs w:val="26"/>
          <w:lang w:bidi="he-IL"/>
        </w:rPr>
        <w:t>other exegetes, are distinctly</w:t>
      </w:r>
      <w:r w:rsidR="00975572" w:rsidRPr="00D4590B">
        <w:rPr>
          <w:sz w:val="26"/>
          <w:szCs w:val="26"/>
          <w:lang w:bidi="he-IL"/>
        </w:rPr>
        <w:t xml:space="preserve"> characteristic of </w:t>
      </w:r>
      <w:proofErr w:type="spellStart"/>
      <w:r w:rsidR="00975572" w:rsidRPr="00D4590B">
        <w:rPr>
          <w:sz w:val="26"/>
          <w:szCs w:val="26"/>
          <w:lang w:bidi="he-IL"/>
        </w:rPr>
        <w:t>Radak</w:t>
      </w:r>
      <w:proofErr w:type="spellEnd"/>
      <w:r w:rsidR="00975572" w:rsidRPr="00D4590B">
        <w:rPr>
          <w:sz w:val="26"/>
          <w:szCs w:val="26"/>
          <w:lang w:bidi="he-IL"/>
        </w:rPr>
        <w:t>,</w:t>
      </w:r>
      <w:r w:rsidR="00975572" w:rsidRPr="00D4590B">
        <w:rPr>
          <w:rStyle w:val="a4"/>
          <w:sz w:val="26"/>
          <w:szCs w:val="26"/>
          <w:lang w:bidi="he-IL"/>
        </w:rPr>
        <w:footnoteReference w:id="81"/>
      </w:r>
      <w:r w:rsidR="00975572" w:rsidRPr="00D4590B">
        <w:rPr>
          <w:sz w:val="26"/>
          <w:szCs w:val="26"/>
          <w:lang w:bidi="he-IL"/>
        </w:rPr>
        <w:t xml:space="preserve"> include:</w:t>
      </w:r>
      <w:r w:rsidR="000B4338" w:rsidRPr="00D4590B">
        <w:rPr>
          <w:sz w:val="26"/>
          <w:szCs w:val="26"/>
          <w:lang w:bidi="he-IL"/>
        </w:rPr>
        <w:t xml:space="preserve"> </w:t>
      </w:r>
      <w:r w:rsidR="008515BC" w:rsidRPr="00D4590B">
        <w:rPr>
          <w:sz w:val="26"/>
          <w:szCs w:val="26"/>
          <w:rtl/>
          <w:lang w:bidi="he-IL"/>
        </w:rPr>
        <w:t xml:space="preserve"> </w:t>
      </w:r>
      <w:r w:rsidR="00975572" w:rsidRPr="00D4590B">
        <w:rPr>
          <w:rFonts w:hint="cs"/>
          <w:sz w:val="26"/>
          <w:szCs w:val="26"/>
          <w:rtl/>
          <w:lang w:bidi="he-IL"/>
        </w:rPr>
        <w:t>כמו שאמר</w:t>
      </w:r>
      <w:r w:rsidR="00975572" w:rsidRPr="00D4590B">
        <w:rPr>
          <w:sz w:val="26"/>
          <w:szCs w:val="26"/>
          <w:lang w:bidi="he-IL"/>
        </w:rPr>
        <w:t xml:space="preserve"> (“as it says”), </w:t>
      </w:r>
      <w:r w:rsidR="00975572" w:rsidRPr="00D4590B">
        <w:rPr>
          <w:rFonts w:hint="cs"/>
          <w:sz w:val="26"/>
          <w:szCs w:val="26"/>
          <w:rtl/>
          <w:lang w:bidi="he-IL"/>
        </w:rPr>
        <w:t>לא די...אלא\אבל</w:t>
      </w:r>
      <w:r w:rsidR="00975572" w:rsidRPr="00D4590B">
        <w:rPr>
          <w:sz w:val="26"/>
          <w:szCs w:val="26"/>
          <w:lang w:bidi="he-IL"/>
        </w:rPr>
        <w:t xml:space="preserve"> (“it is not only…but also”), </w:t>
      </w:r>
      <w:r w:rsidR="0054124B" w:rsidRPr="00D4590B">
        <w:rPr>
          <w:rFonts w:hint="cs"/>
          <w:sz w:val="26"/>
          <w:szCs w:val="26"/>
          <w:rtl/>
          <w:lang w:bidi="he-IL"/>
        </w:rPr>
        <w:t>דבק למעלה</w:t>
      </w:r>
      <w:r w:rsidR="0054124B" w:rsidRPr="00D4590B">
        <w:rPr>
          <w:sz w:val="26"/>
          <w:szCs w:val="26"/>
          <w:lang w:bidi="he-IL"/>
        </w:rPr>
        <w:t xml:space="preserve"> (“it connects to the above</w:t>
      </w:r>
      <w:r w:rsidR="00975572" w:rsidRPr="00D4590B">
        <w:rPr>
          <w:sz w:val="26"/>
          <w:szCs w:val="26"/>
          <w:lang w:bidi="he-IL"/>
        </w:rPr>
        <w:t xml:space="preserve">”), </w:t>
      </w:r>
      <w:r w:rsidR="00975572" w:rsidRPr="00D4590B">
        <w:rPr>
          <w:rFonts w:hint="cs"/>
          <w:sz w:val="26"/>
          <w:szCs w:val="26"/>
          <w:rtl/>
          <w:lang w:bidi="he-IL"/>
        </w:rPr>
        <w:t>כלומר</w:t>
      </w:r>
      <w:r w:rsidR="00975572" w:rsidRPr="00D4590B">
        <w:rPr>
          <w:sz w:val="26"/>
          <w:szCs w:val="26"/>
          <w:lang w:bidi="he-IL"/>
        </w:rPr>
        <w:t xml:space="preserve"> (“that is to say”),</w:t>
      </w:r>
      <w:r w:rsidR="002F4506" w:rsidRPr="00D4590B">
        <w:rPr>
          <w:rStyle w:val="a4"/>
          <w:sz w:val="26"/>
          <w:szCs w:val="26"/>
          <w:lang w:bidi="he-IL"/>
        </w:rPr>
        <w:footnoteReference w:id="82"/>
      </w:r>
      <w:r w:rsidR="00975572" w:rsidRPr="00D4590B">
        <w:rPr>
          <w:sz w:val="26"/>
          <w:szCs w:val="26"/>
          <w:lang w:bidi="he-IL"/>
        </w:rPr>
        <w:t xml:space="preserve"> </w:t>
      </w:r>
      <w:r w:rsidR="00975572" w:rsidRPr="00D4590B">
        <w:rPr>
          <w:rFonts w:hint="cs"/>
          <w:sz w:val="26"/>
          <w:szCs w:val="26"/>
          <w:rtl/>
          <w:lang w:bidi="he-IL"/>
        </w:rPr>
        <w:t>כמו שמספר והולך</w:t>
      </w:r>
      <w:r w:rsidR="00975572" w:rsidRPr="00D4590B">
        <w:rPr>
          <w:sz w:val="26"/>
          <w:szCs w:val="26"/>
          <w:lang w:bidi="he-IL"/>
        </w:rPr>
        <w:t xml:space="preserve"> (“as it continues to say”), </w:t>
      </w:r>
      <w:r w:rsidR="00975572" w:rsidRPr="00D4590B">
        <w:rPr>
          <w:rFonts w:hint="cs"/>
          <w:sz w:val="26"/>
          <w:szCs w:val="26"/>
          <w:rtl/>
          <w:lang w:bidi="he-IL"/>
        </w:rPr>
        <w:t>או פירושו</w:t>
      </w:r>
      <w:r w:rsidR="00975572" w:rsidRPr="00D4590B">
        <w:rPr>
          <w:sz w:val="26"/>
          <w:szCs w:val="26"/>
          <w:lang w:bidi="he-IL"/>
        </w:rPr>
        <w:t xml:space="preserve"> (“or</w:t>
      </w:r>
      <w:r w:rsidR="005D5EE7" w:rsidRPr="00D4590B">
        <w:rPr>
          <w:sz w:val="26"/>
          <w:szCs w:val="26"/>
          <w:lang w:bidi="he-IL"/>
        </w:rPr>
        <w:t xml:space="preserve"> its meaning is”),</w:t>
      </w:r>
      <w:r w:rsidR="00975572" w:rsidRPr="00D4590B">
        <w:rPr>
          <w:sz w:val="26"/>
          <w:szCs w:val="26"/>
          <w:lang w:bidi="he-IL"/>
        </w:rPr>
        <w:t xml:space="preserve"> </w:t>
      </w:r>
      <w:r w:rsidR="00975572" w:rsidRPr="00D4590B">
        <w:rPr>
          <w:rFonts w:hint="cs"/>
          <w:sz w:val="26"/>
          <w:szCs w:val="26"/>
          <w:rtl/>
          <w:lang w:bidi="he-IL"/>
        </w:rPr>
        <w:t>חסר הנסמך</w:t>
      </w:r>
      <w:r w:rsidR="00975572" w:rsidRPr="00D4590B">
        <w:rPr>
          <w:sz w:val="26"/>
          <w:szCs w:val="26"/>
          <w:lang w:bidi="he-IL"/>
        </w:rPr>
        <w:t xml:space="preserve"> (“it elides the noun governed </w:t>
      </w:r>
      <w:r w:rsidR="00067621" w:rsidRPr="00D4590B">
        <w:rPr>
          <w:sz w:val="26"/>
          <w:szCs w:val="26"/>
          <w:lang w:bidi="he-IL"/>
        </w:rPr>
        <w:t>b</w:t>
      </w:r>
      <w:r w:rsidR="00975572" w:rsidRPr="00D4590B">
        <w:rPr>
          <w:sz w:val="26"/>
          <w:szCs w:val="26"/>
          <w:lang w:bidi="he-IL"/>
        </w:rPr>
        <w:t xml:space="preserve">y the one in the construct state”), </w:t>
      </w:r>
      <w:r w:rsidR="00975572" w:rsidRPr="00D4590B">
        <w:rPr>
          <w:rFonts w:hint="cs"/>
          <w:sz w:val="26"/>
          <w:szCs w:val="26"/>
          <w:rtl/>
          <w:lang w:bidi="he-IL"/>
        </w:rPr>
        <w:t>משפטו</w:t>
      </w:r>
      <w:r w:rsidR="00975572" w:rsidRPr="00D4590B">
        <w:rPr>
          <w:sz w:val="26"/>
          <w:szCs w:val="26"/>
          <w:lang w:bidi="he-IL"/>
        </w:rPr>
        <w:t xml:space="preserve"> (“it would normally be”), </w:t>
      </w:r>
      <w:r w:rsidR="00975572" w:rsidRPr="00D4590B">
        <w:rPr>
          <w:rFonts w:hint="cs"/>
          <w:sz w:val="26"/>
          <w:szCs w:val="26"/>
          <w:rtl/>
          <w:lang w:bidi="he-IL"/>
        </w:rPr>
        <w:t>פירושו כמשמעו</w:t>
      </w:r>
      <w:r w:rsidR="00975572" w:rsidRPr="00D4590B">
        <w:rPr>
          <w:sz w:val="26"/>
          <w:szCs w:val="26"/>
          <w:lang w:bidi="he-IL"/>
        </w:rPr>
        <w:t xml:space="preserve"> (“its meaning is just as it says”), </w:t>
      </w:r>
      <w:r w:rsidR="00975572" w:rsidRPr="00D4590B">
        <w:rPr>
          <w:rFonts w:hint="cs"/>
          <w:sz w:val="26"/>
          <w:szCs w:val="26"/>
          <w:rtl/>
          <w:lang w:bidi="he-IL"/>
        </w:rPr>
        <w:t>על שני פנים</w:t>
      </w:r>
      <w:r w:rsidR="00975572" w:rsidRPr="00D4590B">
        <w:rPr>
          <w:sz w:val="26"/>
          <w:szCs w:val="26"/>
          <w:lang w:bidi="he-IL"/>
        </w:rPr>
        <w:t xml:space="preserve"> (“in two senses”), </w:t>
      </w:r>
      <w:r w:rsidR="00975572" w:rsidRPr="00D4590B">
        <w:rPr>
          <w:rFonts w:hint="cs"/>
          <w:sz w:val="26"/>
          <w:szCs w:val="26"/>
          <w:rtl/>
          <w:lang w:bidi="he-IL"/>
        </w:rPr>
        <w:t>המפרשים פירשו</w:t>
      </w:r>
      <w:r w:rsidR="00975572" w:rsidRPr="00D4590B">
        <w:rPr>
          <w:sz w:val="26"/>
          <w:szCs w:val="26"/>
          <w:lang w:bidi="he-IL"/>
        </w:rPr>
        <w:t xml:space="preserve"> (“the commentators have explained”), </w:t>
      </w:r>
      <w:r w:rsidR="00975572" w:rsidRPr="00D4590B">
        <w:rPr>
          <w:rFonts w:hint="cs"/>
          <w:sz w:val="26"/>
          <w:szCs w:val="26"/>
          <w:rtl/>
          <w:lang w:bidi="he-IL"/>
        </w:rPr>
        <w:t>פירשתיו למעלה</w:t>
      </w:r>
      <w:r w:rsidR="00975572" w:rsidRPr="00D4590B">
        <w:rPr>
          <w:sz w:val="26"/>
          <w:szCs w:val="26"/>
          <w:lang w:bidi="he-IL"/>
        </w:rPr>
        <w:t xml:space="preserve"> (“I have explained it above”), </w:t>
      </w:r>
      <w:r w:rsidR="00975572" w:rsidRPr="00D4590B">
        <w:rPr>
          <w:rFonts w:hint="cs"/>
          <w:sz w:val="26"/>
          <w:szCs w:val="26"/>
          <w:rtl/>
          <w:lang w:bidi="he-IL"/>
        </w:rPr>
        <w:t>היה לו לומר</w:t>
      </w:r>
      <w:r w:rsidR="00975572" w:rsidRPr="00D4590B">
        <w:rPr>
          <w:sz w:val="26"/>
          <w:szCs w:val="26"/>
          <w:lang w:bidi="he-IL"/>
        </w:rPr>
        <w:t xml:space="preserve"> (“it should have said”), and </w:t>
      </w:r>
      <w:r w:rsidR="00975572" w:rsidRPr="00D4590B">
        <w:rPr>
          <w:rFonts w:hint="cs"/>
          <w:sz w:val="26"/>
          <w:szCs w:val="26"/>
          <w:rtl/>
          <w:lang w:bidi="he-IL"/>
        </w:rPr>
        <w:lastRenderedPageBreak/>
        <w:t>לפי מקומו</w:t>
      </w:r>
      <w:r w:rsidR="00975572" w:rsidRPr="00D4590B">
        <w:rPr>
          <w:sz w:val="26"/>
          <w:szCs w:val="26"/>
          <w:lang w:bidi="he-IL"/>
        </w:rPr>
        <w:t xml:space="preserve"> (“based on its position”).</w:t>
      </w:r>
      <w:r w:rsidR="00584C56" w:rsidRPr="00D4590B">
        <w:rPr>
          <w:rStyle w:val="a4"/>
          <w:sz w:val="26"/>
          <w:szCs w:val="26"/>
          <w:lang w:bidi="he-IL"/>
        </w:rPr>
        <w:footnoteReference w:id="83"/>
      </w:r>
      <w:r w:rsidR="008515BC" w:rsidRPr="00D4590B">
        <w:rPr>
          <w:sz w:val="26"/>
          <w:szCs w:val="26"/>
          <w:lang w:bidi="he-IL"/>
        </w:rPr>
        <w:t xml:space="preserve"> </w:t>
      </w:r>
      <w:r w:rsidR="00975572" w:rsidRPr="00D4590B">
        <w:rPr>
          <w:sz w:val="26"/>
          <w:szCs w:val="26"/>
          <w:lang w:bidi="he-IL"/>
        </w:rPr>
        <w:t xml:space="preserve">It is also worth noting a string of </w:t>
      </w:r>
      <w:proofErr w:type="spellStart"/>
      <w:r w:rsidR="00975572" w:rsidRPr="00D4590B">
        <w:rPr>
          <w:sz w:val="26"/>
          <w:szCs w:val="26"/>
          <w:lang w:bidi="he-IL"/>
        </w:rPr>
        <w:t>Radak</w:t>
      </w:r>
      <w:proofErr w:type="spellEnd"/>
      <w:r w:rsidR="00975572" w:rsidRPr="00D4590B">
        <w:rPr>
          <w:sz w:val="26"/>
          <w:szCs w:val="26"/>
          <w:lang w:bidi="he-IL"/>
        </w:rPr>
        <w:t xml:space="preserve">-like phrases at </w:t>
      </w:r>
      <w:smartTag w:uri="urn:schemas-microsoft-com:office:smarttags" w:element="time">
        <w:smartTagPr>
          <w:attr w:name="Minute" w:val="19"/>
          <w:attr w:name="Hour" w:val="1"/>
        </w:smartTagPr>
        <w:r w:rsidR="00975572" w:rsidRPr="00D4590B">
          <w:rPr>
            <w:sz w:val="26"/>
            <w:szCs w:val="26"/>
            <w:lang w:bidi="he-IL"/>
          </w:rPr>
          <w:t>1:19</w:t>
        </w:r>
      </w:smartTag>
      <w:r w:rsidR="00975572" w:rsidRPr="00D4590B">
        <w:rPr>
          <w:sz w:val="26"/>
          <w:szCs w:val="26"/>
          <w:lang w:bidi="he-IL"/>
        </w:rPr>
        <w:t xml:space="preserve">, </w:t>
      </w:r>
      <w:r w:rsidR="00975572" w:rsidRPr="00D4590B">
        <w:rPr>
          <w:rFonts w:hint="cs"/>
          <w:sz w:val="26"/>
          <w:szCs w:val="26"/>
          <w:rtl/>
          <w:lang w:bidi="he-IL"/>
        </w:rPr>
        <w:t>חסר הנסמך כי סמך על המבין והרבה תמצא כמוהו בספר הזה</w:t>
      </w:r>
      <w:r w:rsidR="00975572" w:rsidRPr="00D4590B">
        <w:rPr>
          <w:sz w:val="26"/>
          <w:szCs w:val="26"/>
          <w:lang w:bidi="he-IL"/>
        </w:rPr>
        <w:t xml:space="preserve"> (“it elides the noun governed by the one in the construct state, since it relies on the reader</w:t>
      </w:r>
      <w:r w:rsidRPr="00D4590B">
        <w:rPr>
          <w:sz w:val="26"/>
          <w:szCs w:val="26"/>
          <w:lang w:bidi="he-IL"/>
        </w:rPr>
        <w:t>’</w:t>
      </w:r>
      <w:r w:rsidR="00975572" w:rsidRPr="00D4590B">
        <w:rPr>
          <w:sz w:val="26"/>
          <w:szCs w:val="26"/>
          <w:lang w:bidi="he-IL"/>
        </w:rPr>
        <w:t>s understanding; and you can find many such cases in this book”).</w:t>
      </w:r>
      <w:r w:rsidR="008515BC" w:rsidRPr="00D4590B">
        <w:rPr>
          <w:sz w:val="26"/>
          <w:szCs w:val="26"/>
          <w:lang w:bidi="he-IL"/>
        </w:rPr>
        <w:t xml:space="preserve"> </w:t>
      </w:r>
      <w:r w:rsidR="00975572" w:rsidRPr="00D4590B">
        <w:rPr>
          <w:sz w:val="26"/>
          <w:szCs w:val="26"/>
          <w:lang w:bidi="he-IL"/>
        </w:rPr>
        <w:t xml:space="preserve">The particular combination of </w:t>
      </w:r>
      <w:r w:rsidR="00975572" w:rsidRPr="00D4590B">
        <w:rPr>
          <w:rFonts w:hint="cs"/>
          <w:sz w:val="26"/>
          <w:szCs w:val="26"/>
          <w:rtl/>
          <w:lang w:bidi="he-IL"/>
        </w:rPr>
        <w:t>הרבה תמצא כמוהו</w:t>
      </w:r>
      <w:r w:rsidR="00975572" w:rsidRPr="00D4590B">
        <w:rPr>
          <w:sz w:val="26"/>
          <w:szCs w:val="26"/>
          <w:lang w:bidi="he-IL"/>
        </w:rPr>
        <w:t xml:space="preserve"> and </w:t>
      </w:r>
      <w:r w:rsidR="00975572" w:rsidRPr="00D4590B">
        <w:rPr>
          <w:rFonts w:hint="cs"/>
          <w:sz w:val="26"/>
          <w:szCs w:val="26"/>
          <w:rtl/>
          <w:lang w:bidi="he-IL"/>
        </w:rPr>
        <w:t>בספר הזה</w:t>
      </w:r>
      <w:r w:rsidR="00975572" w:rsidRPr="00D4590B">
        <w:rPr>
          <w:sz w:val="26"/>
          <w:szCs w:val="26"/>
          <w:lang w:bidi="he-IL"/>
        </w:rPr>
        <w:t xml:space="preserve">, or its close equivalent, appears several times </w:t>
      </w:r>
      <w:r w:rsidR="00975572" w:rsidRPr="00D4590B">
        <w:rPr>
          <w:i/>
          <w:iCs/>
          <w:sz w:val="26"/>
          <w:szCs w:val="26"/>
          <w:lang w:bidi="he-IL"/>
        </w:rPr>
        <w:t>specifically</w:t>
      </w:r>
      <w:r w:rsidR="00975572" w:rsidRPr="00D4590B">
        <w:rPr>
          <w:sz w:val="26"/>
          <w:szCs w:val="26"/>
          <w:lang w:bidi="he-IL"/>
        </w:rPr>
        <w:t xml:space="preserve"> in </w:t>
      </w:r>
      <w:proofErr w:type="spellStart"/>
      <w:r w:rsidR="00975572" w:rsidRPr="00D4590B">
        <w:rPr>
          <w:sz w:val="26"/>
          <w:szCs w:val="26"/>
          <w:lang w:bidi="he-IL"/>
        </w:rPr>
        <w:t>Radak</w:t>
      </w:r>
      <w:proofErr w:type="spellEnd"/>
      <w:r w:rsidR="00975572" w:rsidRPr="00D4590B">
        <w:rPr>
          <w:sz w:val="26"/>
          <w:szCs w:val="26"/>
          <w:lang w:bidi="he-IL"/>
        </w:rPr>
        <w:t xml:space="preserve"> on Chronicles,</w:t>
      </w:r>
      <w:r w:rsidR="00975572" w:rsidRPr="00D4590B">
        <w:rPr>
          <w:rStyle w:val="a4"/>
          <w:sz w:val="26"/>
          <w:szCs w:val="26"/>
          <w:lang w:bidi="he-IL"/>
        </w:rPr>
        <w:footnoteReference w:id="84"/>
      </w:r>
      <w:r w:rsidR="00975572" w:rsidRPr="00D4590B">
        <w:rPr>
          <w:sz w:val="26"/>
          <w:szCs w:val="26"/>
          <w:lang w:bidi="he-IL"/>
        </w:rPr>
        <w:t xml:space="preserve"> which again proves far more consistent with our claim that </w:t>
      </w:r>
      <w:proofErr w:type="spellStart"/>
      <w:r w:rsidR="00975572" w:rsidRPr="00D4590B">
        <w:rPr>
          <w:sz w:val="26"/>
          <w:szCs w:val="26"/>
          <w:lang w:bidi="he-IL"/>
        </w:rPr>
        <w:t>Radak</w:t>
      </w:r>
      <w:proofErr w:type="spellEnd"/>
      <w:r w:rsidR="00975572" w:rsidRPr="00D4590B">
        <w:rPr>
          <w:sz w:val="26"/>
          <w:szCs w:val="26"/>
          <w:lang w:bidi="he-IL"/>
        </w:rPr>
        <w:t xml:space="preserve"> himself composed the </w:t>
      </w:r>
      <w:r w:rsidR="004E7991">
        <w:rPr>
          <w:sz w:val="26"/>
          <w:szCs w:val="26"/>
          <w:lang w:bidi="he-IL"/>
        </w:rPr>
        <w:t>commentary on</w:t>
      </w:r>
      <w:r w:rsidR="00975572" w:rsidRPr="00D4590B">
        <w:rPr>
          <w:sz w:val="26"/>
          <w:szCs w:val="26"/>
          <w:lang w:bidi="he-IL"/>
        </w:rPr>
        <w:t xml:space="preserve"> Proverbs—toward the beginning of his career.</w:t>
      </w:r>
      <w:r w:rsidR="00F96445" w:rsidRPr="00D4590B">
        <w:rPr>
          <w:rStyle w:val="a4"/>
          <w:sz w:val="26"/>
          <w:szCs w:val="26"/>
          <w:lang w:bidi="he-IL"/>
        </w:rPr>
        <w:footnoteReference w:id="85"/>
      </w:r>
    </w:p>
    <w:p w:rsidR="00975572" w:rsidRPr="00D4590B" w:rsidRDefault="005C6A3A" w:rsidP="00652B40">
      <w:pPr>
        <w:spacing w:line="300" w:lineRule="exact"/>
        <w:ind w:firstLine="284"/>
        <w:jc w:val="both"/>
        <w:rPr>
          <w:sz w:val="26"/>
          <w:szCs w:val="26"/>
          <w:lang w:bidi="he-IL"/>
        </w:rPr>
      </w:pPr>
      <w:r w:rsidRPr="00D4590B">
        <w:rPr>
          <w:sz w:val="26"/>
          <w:szCs w:val="26"/>
          <w:lang w:bidi="he-IL"/>
        </w:rPr>
        <w:t>Finally, while as Grunhau</w:t>
      </w:r>
      <w:r w:rsidR="00975572" w:rsidRPr="00D4590B">
        <w:rPr>
          <w:sz w:val="26"/>
          <w:szCs w:val="26"/>
          <w:lang w:bidi="he-IL"/>
        </w:rPr>
        <w:t xml:space="preserve">s observes, the handful of rabbinic citations that appear in the commentary are mostly taken from </w:t>
      </w:r>
      <w:proofErr w:type="spellStart"/>
      <w:r w:rsidR="00975572" w:rsidRPr="00D4590B">
        <w:rPr>
          <w:sz w:val="26"/>
          <w:szCs w:val="26"/>
          <w:lang w:bidi="he-IL"/>
        </w:rPr>
        <w:t>Rashi</w:t>
      </w:r>
      <w:proofErr w:type="spellEnd"/>
      <w:r w:rsidR="00975572" w:rsidRPr="00D4590B">
        <w:rPr>
          <w:sz w:val="26"/>
          <w:szCs w:val="26"/>
          <w:lang w:bidi="he-IL"/>
        </w:rPr>
        <w:t>,</w:t>
      </w:r>
      <w:r w:rsidR="00975572" w:rsidRPr="00D4590B">
        <w:rPr>
          <w:rStyle w:val="a4"/>
          <w:sz w:val="26"/>
          <w:szCs w:val="26"/>
          <w:lang w:bidi="he-IL"/>
        </w:rPr>
        <w:footnoteReference w:id="86"/>
      </w:r>
      <w:r w:rsidR="00975572" w:rsidRPr="00D4590B">
        <w:rPr>
          <w:sz w:val="26"/>
          <w:szCs w:val="26"/>
          <w:lang w:bidi="he-IL"/>
        </w:rPr>
        <w:t xml:space="preserve"> the author generally introduces them using his own expressions.</w:t>
      </w:r>
      <w:r w:rsidR="008515BC" w:rsidRPr="00D4590B">
        <w:rPr>
          <w:sz w:val="26"/>
          <w:szCs w:val="26"/>
          <w:lang w:bidi="he-IL"/>
        </w:rPr>
        <w:t xml:space="preserve"> </w:t>
      </w:r>
      <w:r w:rsidR="00975572" w:rsidRPr="00D4590B">
        <w:rPr>
          <w:sz w:val="26"/>
          <w:szCs w:val="26"/>
          <w:lang w:bidi="he-IL"/>
        </w:rPr>
        <w:t xml:space="preserve">And indeed, the terms that appear are strikingly reminiscent of those employed by </w:t>
      </w:r>
      <w:proofErr w:type="spellStart"/>
      <w:r w:rsidR="00975572" w:rsidRPr="00D4590B">
        <w:rPr>
          <w:sz w:val="26"/>
          <w:szCs w:val="26"/>
          <w:lang w:bidi="he-IL"/>
        </w:rPr>
        <w:t>Radak</w:t>
      </w:r>
      <w:proofErr w:type="spellEnd"/>
      <w:r w:rsidR="00975572" w:rsidRPr="00D4590B">
        <w:rPr>
          <w:sz w:val="26"/>
          <w:szCs w:val="26"/>
          <w:lang w:bidi="he-IL"/>
        </w:rPr>
        <w:t>.</w:t>
      </w:r>
      <w:r w:rsidR="008515BC" w:rsidRPr="00D4590B">
        <w:rPr>
          <w:sz w:val="26"/>
          <w:szCs w:val="26"/>
          <w:lang w:bidi="he-IL"/>
        </w:rPr>
        <w:t xml:space="preserve"> </w:t>
      </w:r>
      <w:r w:rsidR="00975572" w:rsidRPr="00D4590B">
        <w:rPr>
          <w:sz w:val="26"/>
          <w:szCs w:val="26"/>
          <w:lang w:bidi="he-IL"/>
        </w:rPr>
        <w:t>These include</w:t>
      </w:r>
      <w:r w:rsidR="00201B35" w:rsidRPr="00D4590B">
        <w:rPr>
          <w:sz w:val="26"/>
          <w:szCs w:val="26"/>
          <w:lang w:bidi="he-IL"/>
        </w:rPr>
        <w:t>:</w:t>
      </w:r>
      <w:r w:rsidR="00975572" w:rsidRPr="00D4590B">
        <w:rPr>
          <w:sz w:val="26"/>
          <w:szCs w:val="26"/>
          <w:lang w:bidi="he-IL"/>
        </w:rPr>
        <w:t xml:space="preserve"> </w:t>
      </w:r>
      <w:r w:rsidR="00975572" w:rsidRPr="00D4590B">
        <w:rPr>
          <w:rFonts w:hint="cs"/>
          <w:sz w:val="26"/>
          <w:szCs w:val="26"/>
          <w:rtl/>
          <w:lang w:bidi="he-IL"/>
        </w:rPr>
        <w:t>יש בו דרש</w:t>
      </w:r>
      <w:r w:rsidR="005B10BC" w:rsidRPr="00D4590B">
        <w:rPr>
          <w:sz w:val="26"/>
          <w:szCs w:val="26"/>
          <w:lang w:bidi="he-IL"/>
        </w:rPr>
        <w:t xml:space="preserve"> (“</w:t>
      </w:r>
      <w:r w:rsidR="00975572" w:rsidRPr="00D4590B">
        <w:rPr>
          <w:sz w:val="26"/>
          <w:szCs w:val="26"/>
          <w:lang w:bidi="he-IL"/>
        </w:rPr>
        <w:t xml:space="preserve">there is a </w:t>
      </w:r>
      <w:proofErr w:type="spellStart"/>
      <w:r w:rsidR="00975572" w:rsidRPr="00D4590B">
        <w:rPr>
          <w:sz w:val="26"/>
          <w:szCs w:val="26"/>
          <w:lang w:bidi="he-IL"/>
        </w:rPr>
        <w:t>midrashic</w:t>
      </w:r>
      <w:proofErr w:type="spellEnd"/>
      <w:r w:rsidR="00975572" w:rsidRPr="00D4590B">
        <w:rPr>
          <w:sz w:val="26"/>
          <w:szCs w:val="26"/>
          <w:lang w:bidi="he-IL"/>
        </w:rPr>
        <w:t xml:space="preserve"> interpretation of it</w:t>
      </w:r>
      <w:r w:rsidR="00022DF4" w:rsidRPr="00D4590B">
        <w:rPr>
          <w:sz w:val="26"/>
          <w:szCs w:val="26"/>
          <w:lang w:bidi="he-IL"/>
        </w:rPr>
        <w:t xml:space="preserve">”), which is unique to </w:t>
      </w:r>
      <w:proofErr w:type="spellStart"/>
      <w:r w:rsidR="00022DF4" w:rsidRPr="00D4590B">
        <w:rPr>
          <w:sz w:val="26"/>
          <w:szCs w:val="26"/>
          <w:lang w:bidi="he-IL"/>
        </w:rPr>
        <w:t>Radak</w:t>
      </w:r>
      <w:proofErr w:type="spellEnd"/>
      <w:r w:rsidR="00975572" w:rsidRPr="00D4590B">
        <w:rPr>
          <w:sz w:val="26"/>
          <w:szCs w:val="26"/>
          <w:lang w:bidi="he-IL"/>
        </w:rPr>
        <w:t xml:space="preserve">; </w:t>
      </w:r>
      <w:r w:rsidR="00975572" w:rsidRPr="00D4590B">
        <w:rPr>
          <w:rFonts w:hint="cs"/>
          <w:sz w:val="26"/>
          <w:szCs w:val="26"/>
          <w:rtl/>
          <w:lang w:bidi="he-IL"/>
        </w:rPr>
        <w:t>ובדרש</w:t>
      </w:r>
      <w:r w:rsidR="00975572" w:rsidRPr="00D4590B">
        <w:rPr>
          <w:sz w:val="26"/>
          <w:szCs w:val="26"/>
          <w:lang w:bidi="he-IL"/>
        </w:rPr>
        <w:t xml:space="preserve"> (“and in the </w:t>
      </w:r>
      <w:proofErr w:type="spellStart"/>
      <w:r w:rsidR="00975572" w:rsidRPr="00D4590B">
        <w:rPr>
          <w:sz w:val="26"/>
          <w:szCs w:val="26"/>
          <w:lang w:bidi="he-IL"/>
        </w:rPr>
        <w:t>midrashic</w:t>
      </w:r>
      <w:proofErr w:type="spellEnd"/>
      <w:r w:rsidR="00975572" w:rsidRPr="00D4590B">
        <w:rPr>
          <w:sz w:val="26"/>
          <w:szCs w:val="26"/>
          <w:lang w:bidi="he-IL"/>
        </w:rPr>
        <w:t xml:space="preserve"> literature”), </w:t>
      </w:r>
      <w:proofErr w:type="spellStart"/>
      <w:r w:rsidR="00975572" w:rsidRPr="00D4590B">
        <w:rPr>
          <w:sz w:val="26"/>
          <w:szCs w:val="26"/>
          <w:lang w:bidi="he-IL"/>
        </w:rPr>
        <w:t>Radak’s</w:t>
      </w:r>
      <w:proofErr w:type="spellEnd"/>
      <w:r w:rsidR="00975572" w:rsidRPr="00D4590B">
        <w:rPr>
          <w:sz w:val="26"/>
          <w:szCs w:val="26"/>
          <w:lang w:bidi="he-IL"/>
        </w:rPr>
        <w:t xml:space="preserve"> most common </w:t>
      </w:r>
      <w:r w:rsidR="00022DF4" w:rsidRPr="00D4590B">
        <w:rPr>
          <w:sz w:val="26"/>
          <w:szCs w:val="26"/>
          <w:lang w:bidi="he-IL"/>
        </w:rPr>
        <w:t>phrase</w:t>
      </w:r>
      <w:r w:rsidR="00975572" w:rsidRPr="00D4590B">
        <w:rPr>
          <w:sz w:val="26"/>
          <w:szCs w:val="26"/>
          <w:lang w:bidi="he-IL"/>
        </w:rPr>
        <w:t xml:space="preserve">; </w:t>
      </w:r>
      <w:r w:rsidR="007F7D18" w:rsidRPr="00D4590B">
        <w:rPr>
          <w:rFonts w:hint="cs"/>
          <w:sz w:val="26"/>
          <w:szCs w:val="26"/>
          <w:rtl/>
          <w:lang w:bidi="he-IL"/>
        </w:rPr>
        <w:t xml:space="preserve">רבותינו ז"ל \ </w:t>
      </w:r>
      <w:r w:rsidR="00975572" w:rsidRPr="00D4590B">
        <w:rPr>
          <w:rFonts w:hint="cs"/>
          <w:sz w:val="26"/>
          <w:szCs w:val="26"/>
          <w:rtl/>
          <w:lang w:bidi="he-IL"/>
        </w:rPr>
        <w:t>רז"ל דרשו</w:t>
      </w:r>
      <w:r w:rsidR="00097ED7" w:rsidRPr="00D4590B">
        <w:rPr>
          <w:sz w:val="26"/>
          <w:szCs w:val="26"/>
          <w:lang w:bidi="he-IL"/>
        </w:rPr>
        <w:t xml:space="preserve"> (“</w:t>
      </w:r>
      <w:r w:rsidR="00975572" w:rsidRPr="00D4590B">
        <w:rPr>
          <w:sz w:val="26"/>
          <w:szCs w:val="26"/>
          <w:lang w:bidi="he-IL"/>
        </w:rPr>
        <w:t xml:space="preserve">our Sages, of blessed memory, explained homiletically”) and </w:t>
      </w:r>
      <w:r w:rsidR="00975572" w:rsidRPr="00D4590B">
        <w:rPr>
          <w:rFonts w:hint="cs"/>
          <w:sz w:val="26"/>
          <w:szCs w:val="26"/>
          <w:rtl/>
          <w:lang w:bidi="he-IL"/>
        </w:rPr>
        <w:t>וכן אמרו רבותינו ז"ל</w:t>
      </w:r>
      <w:r w:rsidR="00975572" w:rsidRPr="00D4590B">
        <w:rPr>
          <w:sz w:val="26"/>
          <w:szCs w:val="26"/>
          <w:lang w:bidi="he-IL"/>
        </w:rPr>
        <w:t xml:space="preserve"> (“and so said our Sages, of blessed memory”), which are common in </w:t>
      </w:r>
      <w:proofErr w:type="spellStart"/>
      <w:r w:rsidR="00975572" w:rsidRPr="00D4590B">
        <w:rPr>
          <w:sz w:val="26"/>
          <w:szCs w:val="26"/>
          <w:lang w:bidi="he-IL"/>
        </w:rPr>
        <w:t>Radak</w:t>
      </w:r>
      <w:proofErr w:type="spellEnd"/>
      <w:r w:rsidR="00975572" w:rsidRPr="00D4590B">
        <w:rPr>
          <w:sz w:val="26"/>
          <w:szCs w:val="26"/>
          <w:lang w:bidi="he-IL"/>
        </w:rPr>
        <w:t xml:space="preserve">; </w:t>
      </w:r>
      <w:r w:rsidR="00975572" w:rsidRPr="00D4590B">
        <w:rPr>
          <w:rFonts w:hint="cs"/>
          <w:sz w:val="26"/>
          <w:szCs w:val="26"/>
          <w:rtl/>
          <w:lang w:bidi="he-IL"/>
        </w:rPr>
        <w:t>ומדרשו</w:t>
      </w:r>
      <w:r w:rsidR="00975572" w:rsidRPr="00D4590B">
        <w:rPr>
          <w:sz w:val="26"/>
          <w:szCs w:val="26"/>
          <w:lang w:bidi="he-IL"/>
        </w:rPr>
        <w:t xml:space="preserve"> (“and its homiletic explanation is”) and </w:t>
      </w:r>
      <w:r w:rsidR="00975572" w:rsidRPr="00D4590B">
        <w:rPr>
          <w:rFonts w:hint="cs"/>
          <w:sz w:val="26"/>
          <w:szCs w:val="26"/>
          <w:rtl/>
          <w:lang w:bidi="he-IL"/>
        </w:rPr>
        <w:t>אמרו ז"ל</w:t>
      </w:r>
      <w:r w:rsidR="00097ED7" w:rsidRPr="00D4590B">
        <w:rPr>
          <w:sz w:val="26"/>
          <w:szCs w:val="26"/>
          <w:lang w:bidi="he-IL"/>
        </w:rPr>
        <w:t xml:space="preserve"> (“</w:t>
      </w:r>
      <w:r w:rsidR="00975572" w:rsidRPr="00D4590B">
        <w:rPr>
          <w:sz w:val="26"/>
          <w:szCs w:val="26"/>
          <w:lang w:bidi="he-IL"/>
        </w:rPr>
        <w:t xml:space="preserve">they, of blessed memory, said”), which appear in </w:t>
      </w:r>
      <w:proofErr w:type="spellStart"/>
      <w:r w:rsidR="00975572" w:rsidRPr="00D4590B">
        <w:rPr>
          <w:sz w:val="26"/>
          <w:szCs w:val="26"/>
          <w:lang w:bidi="he-IL"/>
        </w:rPr>
        <w:t>Radak</w:t>
      </w:r>
      <w:proofErr w:type="spellEnd"/>
      <w:r w:rsidR="00975572" w:rsidRPr="00D4590B">
        <w:rPr>
          <w:sz w:val="26"/>
          <w:szCs w:val="26"/>
          <w:lang w:bidi="he-IL"/>
        </w:rPr>
        <w:t xml:space="preserve"> albeit rarely; and </w:t>
      </w:r>
      <w:r w:rsidR="00975572" w:rsidRPr="00D4590B">
        <w:rPr>
          <w:rFonts w:hint="cs"/>
          <w:sz w:val="26"/>
          <w:szCs w:val="26"/>
          <w:rtl/>
          <w:lang w:bidi="he-IL"/>
        </w:rPr>
        <w:t>דרשו ז"ל</w:t>
      </w:r>
      <w:r w:rsidR="00975572" w:rsidRPr="00D4590B">
        <w:rPr>
          <w:sz w:val="26"/>
          <w:szCs w:val="26"/>
          <w:lang w:bidi="he-IL"/>
        </w:rPr>
        <w:t xml:space="preserve"> (“they, of blessed memory, explained homiletically”), which </w:t>
      </w:r>
      <w:r w:rsidR="00F214A0" w:rsidRPr="00D4590B">
        <w:rPr>
          <w:sz w:val="26"/>
          <w:szCs w:val="26"/>
          <w:lang w:bidi="he-IL"/>
        </w:rPr>
        <w:t xml:space="preserve">appears once in the Proverbs commentary and </w:t>
      </w:r>
      <w:r w:rsidR="00975572" w:rsidRPr="00D4590B">
        <w:rPr>
          <w:sz w:val="26"/>
          <w:szCs w:val="26"/>
          <w:lang w:bidi="he-IL"/>
        </w:rPr>
        <w:t xml:space="preserve">recalls </w:t>
      </w:r>
      <w:proofErr w:type="spellStart"/>
      <w:r w:rsidR="00975572" w:rsidRPr="00D4590B">
        <w:rPr>
          <w:sz w:val="26"/>
          <w:szCs w:val="26"/>
          <w:lang w:bidi="he-IL"/>
        </w:rPr>
        <w:t>Radak’s</w:t>
      </w:r>
      <w:proofErr w:type="spellEnd"/>
      <w:r w:rsidR="00975572" w:rsidRPr="00D4590B">
        <w:rPr>
          <w:sz w:val="26"/>
          <w:szCs w:val="26"/>
          <w:lang w:bidi="he-IL"/>
        </w:rPr>
        <w:t xml:space="preserve"> </w:t>
      </w:r>
      <w:r w:rsidR="00F214A0" w:rsidRPr="00D4590B">
        <w:rPr>
          <w:sz w:val="26"/>
          <w:szCs w:val="26"/>
          <w:lang w:bidi="he-IL"/>
        </w:rPr>
        <w:t xml:space="preserve">more </w:t>
      </w:r>
      <w:r w:rsidR="00975572" w:rsidRPr="00D4590B">
        <w:rPr>
          <w:sz w:val="26"/>
          <w:szCs w:val="26"/>
          <w:lang w:bidi="he-IL"/>
        </w:rPr>
        <w:t xml:space="preserve">common phrase </w:t>
      </w:r>
      <w:r w:rsidR="00975572" w:rsidRPr="00D4590B">
        <w:rPr>
          <w:rFonts w:hint="cs"/>
          <w:sz w:val="26"/>
          <w:szCs w:val="26"/>
          <w:rtl/>
          <w:lang w:bidi="he-IL"/>
        </w:rPr>
        <w:t>דרשו רבותינו ז"ל</w:t>
      </w:r>
      <w:r w:rsidR="00975572" w:rsidRPr="00D4590B">
        <w:rPr>
          <w:sz w:val="26"/>
          <w:szCs w:val="26"/>
          <w:lang w:bidi="he-IL"/>
        </w:rPr>
        <w:t xml:space="preserve"> (“our Sages, of blessed memory, explained homiletically”).</w:t>
      </w:r>
      <w:r w:rsidR="006A600E" w:rsidRPr="00D4590B">
        <w:rPr>
          <w:rStyle w:val="a4"/>
          <w:sz w:val="26"/>
          <w:szCs w:val="26"/>
          <w:lang w:bidi="he-IL"/>
        </w:rPr>
        <w:footnoteReference w:id="87"/>
      </w:r>
    </w:p>
    <w:p w:rsidR="00975572" w:rsidRPr="00D4590B" w:rsidRDefault="00975572" w:rsidP="00652B40">
      <w:pPr>
        <w:spacing w:line="300" w:lineRule="exact"/>
        <w:ind w:firstLine="284"/>
        <w:jc w:val="both"/>
        <w:rPr>
          <w:sz w:val="26"/>
          <w:szCs w:val="26"/>
          <w:lang w:bidi="he-IL"/>
        </w:rPr>
      </w:pPr>
      <w:r w:rsidRPr="00D4590B">
        <w:rPr>
          <w:sz w:val="26"/>
          <w:szCs w:val="26"/>
          <w:lang w:bidi="he-IL"/>
        </w:rPr>
        <w:t>All things considered, the many phrases we have</w:t>
      </w:r>
      <w:r w:rsidR="00B65095" w:rsidRPr="00D4590B">
        <w:rPr>
          <w:sz w:val="26"/>
          <w:szCs w:val="26"/>
          <w:lang w:bidi="he-IL"/>
        </w:rPr>
        <w:t xml:space="preserve"> seen are highly suggestive of</w:t>
      </w:r>
      <w:r w:rsidRPr="00D4590B">
        <w:rPr>
          <w:sz w:val="26"/>
          <w:szCs w:val="26"/>
          <w:lang w:bidi="he-IL"/>
        </w:rPr>
        <w:t xml:space="preserve"> </w:t>
      </w:r>
      <w:proofErr w:type="spellStart"/>
      <w:r w:rsidRPr="00D4590B">
        <w:rPr>
          <w:sz w:val="26"/>
          <w:szCs w:val="26"/>
          <w:lang w:bidi="he-IL"/>
        </w:rPr>
        <w:t>Radak’s</w:t>
      </w:r>
      <w:proofErr w:type="spellEnd"/>
      <w:r w:rsidRPr="00D4590B">
        <w:rPr>
          <w:sz w:val="26"/>
          <w:szCs w:val="26"/>
          <w:lang w:bidi="he-IL"/>
        </w:rPr>
        <w:t xml:space="preserve"> authorship, and Cassuto and Talmage undoubtedly had at least some of these in mind when, in making the attribution, they alluded to unspecified markings of </w:t>
      </w:r>
      <w:proofErr w:type="spellStart"/>
      <w:r w:rsidRPr="00D4590B">
        <w:rPr>
          <w:sz w:val="26"/>
          <w:szCs w:val="26"/>
          <w:lang w:bidi="he-IL"/>
        </w:rPr>
        <w:t>Radak’s</w:t>
      </w:r>
      <w:proofErr w:type="spellEnd"/>
      <w:r w:rsidRPr="00D4590B">
        <w:rPr>
          <w:sz w:val="26"/>
          <w:szCs w:val="26"/>
          <w:lang w:bidi="he-IL"/>
        </w:rPr>
        <w:t xml:space="preserve"> style.</w:t>
      </w:r>
      <w:r w:rsidRPr="00D4590B">
        <w:rPr>
          <w:rStyle w:val="a4"/>
          <w:sz w:val="26"/>
          <w:szCs w:val="26"/>
          <w:lang w:bidi="he-IL"/>
        </w:rPr>
        <w:footnoteReference w:id="88"/>
      </w:r>
      <w:r w:rsidR="008515BC" w:rsidRPr="00D4590B">
        <w:rPr>
          <w:sz w:val="26"/>
          <w:szCs w:val="26"/>
          <w:lang w:bidi="he-IL"/>
        </w:rPr>
        <w:t xml:space="preserve"> </w:t>
      </w:r>
      <w:r w:rsidR="00E72151" w:rsidRPr="00D4590B">
        <w:rPr>
          <w:sz w:val="26"/>
          <w:szCs w:val="26"/>
          <w:lang w:bidi="he-IL"/>
        </w:rPr>
        <w:t>On the other hand—crucially—</w:t>
      </w:r>
      <w:r w:rsidRPr="00D4590B">
        <w:rPr>
          <w:sz w:val="26"/>
          <w:szCs w:val="26"/>
          <w:lang w:bidi="he-IL"/>
        </w:rPr>
        <w:t xml:space="preserve">it appears that </w:t>
      </w:r>
      <w:proofErr w:type="spellStart"/>
      <w:r w:rsidRPr="00D4590B">
        <w:rPr>
          <w:sz w:val="26"/>
          <w:szCs w:val="26"/>
          <w:lang w:bidi="he-IL"/>
        </w:rPr>
        <w:t>Grunhaus’s</w:t>
      </w:r>
      <w:proofErr w:type="spellEnd"/>
      <w:r w:rsidRPr="00D4590B">
        <w:rPr>
          <w:sz w:val="26"/>
          <w:szCs w:val="26"/>
          <w:lang w:bidi="he-IL"/>
        </w:rPr>
        <w:t xml:space="preserve"> judgment on the matter of phraseology rested upon only a small percentage of relevant terms.</w:t>
      </w:r>
      <w:r w:rsidR="000524EE" w:rsidRPr="00D4590B">
        <w:rPr>
          <w:rStyle w:val="a4"/>
          <w:sz w:val="26"/>
          <w:szCs w:val="26"/>
          <w:lang w:bidi="he-IL"/>
        </w:rPr>
        <w:footnoteReference w:id="89"/>
      </w:r>
      <w:r w:rsidR="008515BC" w:rsidRPr="00D4590B">
        <w:rPr>
          <w:sz w:val="26"/>
          <w:szCs w:val="26"/>
          <w:lang w:bidi="he-IL"/>
        </w:rPr>
        <w:t xml:space="preserve"> </w:t>
      </w:r>
      <w:r w:rsidR="00201B35" w:rsidRPr="00D4590B">
        <w:rPr>
          <w:sz w:val="26"/>
          <w:szCs w:val="26"/>
          <w:lang w:bidi="he-IL"/>
        </w:rPr>
        <w:t>However,</w:t>
      </w:r>
      <w:r w:rsidRPr="00D4590B">
        <w:rPr>
          <w:sz w:val="26"/>
          <w:szCs w:val="26"/>
          <w:lang w:bidi="he-IL"/>
        </w:rPr>
        <w:t xml:space="preserve"> what is probably her more central stylistic objection to </w:t>
      </w:r>
      <w:r w:rsidR="00201B35" w:rsidRPr="00D4590B">
        <w:rPr>
          <w:sz w:val="26"/>
          <w:szCs w:val="26"/>
          <w:lang w:bidi="he-IL"/>
        </w:rPr>
        <w:t xml:space="preserve">attributing </w:t>
      </w:r>
      <w:r w:rsidRPr="00D4590B">
        <w:rPr>
          <w:sz w:val="26"/>
          <w:szCs w:val="26"/>
          <w:lang w:bidi="he-IL"/>
        </w:rPr>
        <w:t xml:space="preserve">the work to </w:t>
      </w:r>
      <w:proofErr w:type="spellStart"/>
      <w:r w:rsidRPr="00D4590B">
        <w:rPr>
          <w:sz w:val="26"/>
          <w:szCs w:val="26"/>
          <w:lang w:bidi="he-IL"/>
        </w:rPr>
        <w:t>Radak</w:t>
      </w:r>
      <w:proofErr w:type="spellEnd"/>
      <w:r w:rsidRPr="00D4590B">
        <w:rPr>
          <w:sz w:val="26"/>
          <w:szCs w:val="26"/>
          <w:lang w:bidi="he-IL"/>
        </w:rPr>
        <w:t xml:space="preserve"> relates to something far more fundamental, </w:t>
      </w:r>
      <w:r w:rsidR="00201B35" w:rsidRPr="00D4590B">
        <w:rPr>
          <w:sz w:val="26"/>
          <w:szCs w:val="26"/>
          <w:lang w:bidi="he-IL"/>
        </w:rPr>
        <w:t xml:space="preserve">to </w:t>
      </w:r>
      <w:r w:rsidRPr="00D4590B">
        <w:rPr>
          <w:sz w:val="26"/>
          <w:szCs w:val="26"/>
          <w:lang w:bidi="he-IL"/>
        </w:rPr>
        <w:t xml:space="preserve">which we </w:t>
      </w:r>
      <w:r w:rsidR="00201B35" w:rsidRPr="00D4590B">
        <w:rPr>
          <w:sz w:val="26"/>
          <w:szCs w:val="26"/>
          <w:lang w:bidi="he-IL"/>
        </w:rPr>
        <w:t>shall</w:t>
      </w:r>
      <w:r w:rsidRPr="00D4590B">
        <w:rPr>
          <w:sz w:val="26"/>
          <w:szCs w:val="26"/>
          <w:lang w:bidi="he-IL"/>
        </w:rPr>
        <w:t xml:space="preserve"> now direct our attention.</w:t>
      </w:r>
    </w:p>
    <w:p w:rsidR="00E663C7" w:rsidRDefault="00E663C7" w:rsidP="00D4590B">
      <w:pPr>
        <w:spacing w:line="300" w:lineRule="exact"/>
        <w:jc w:val="both"/>
        <w:rPr>
          <w:rFonts w:hint="cs"/>
          <w:sz w:val="26"/>
          <w:szCs w:val="26"/>
          <w:rtl/>
          <w:lang w:bidi="he-IL"/>
        </w:rPr>
      </w:pPr>
    </w:p>
    <w:p w:rsidR="00975572" w:rsidRPr="00D4590B" w:rsidRDefault="00975572" w:rsidP="00D4590B">
      <w:pPr>
        <w:spacing w:line="300" w:lineRule="exact"/>
        <w:jc w:val="both"/>
        <w:rPr>
          <w:sz w:val="26"/>
          <w:szCs w:val="26"/>
          <w:lang w:bidi="he-IL"/>
        </w:rPr>
      </w:pPr>
      <w:r w:rsidRPr="00D4590B">
        <w:rPr>
          <w:sz w:val="26"/>
          <w:szCs w:val="26"/>
          <w:lang w:bidi="he-IL"/>
        </w:rPr>
        <w:t>C. A Simplistic Style and a Moralizing Objective?</w:t>
      </w:r>
    </w:p>
    <w:p w:rsidR="00975572" w:rsidRDefault="00201B35" w:rsidP="00D4590B">
      <w:pPr>
        <w:spacing w:line="300" w:lineRule="exact"/>
        <w:jc w:val="both"/>
        <w:rPr>
          <w:rFonts w:hint="cs"/>
          <w:sz w:val="26"/>
          <w:szCs w:val="26"/>
          <w:rtl/>
          <w:lang w:bidi="he-IL"/>
        </w:rPr>
      </w:pPr>
      <w:r w:rsidRPr="00D4590B">
        <w:rPr>
          <w:sz w:val="26"/>
          <w:szCs w:val="26"/>
          <w:lang w:bidi="he-IL"/>
        </w:rPr>
        <w:t>According to Grunhaus, t</w:t>
      </w:r>
      <w:r w:rsidR="00975572" w:rsidRPr="00D4590B">
        <w:rPr>
          <w:sz w:val="26"/>
          <w:szCs w:val="26"/>
          <w:lang w:bidi="he-IL"/>
        </w:rPr>
        <w:t xml:space="preserve">he writing style of the author of the commentary “is conversational and loose, not crisp and analytical as in </w:t>
      </w:r>
      <w:proofErr w:type="spellStart"/>
      <w:r w:rsidR="00975572" w:rsidRPr="00D4590B">
        <w:rPr>
          <w:sz w:val="26"/>
          <w:szCs w:val="26"/>
          <w:lang w:bidi="he-IL"/>
        </w:rPr>
        <w:t>Radak’s</w:t>
      </w:r>
      <w:proofErr w:type="spellEnd"/>
      <w:r w:rsidR="00975572" w:rsidRPr="00D4590B">
        <w:rPr>
          <w:sz w:val="26"/>
          <w:szCs w:val="26"/>
          <w:lang w:bidi="he-IL"/>
        </w:rPr>
        <w:t xml:space="preserve"> commentaries.”</w:t>
      </w:r>
      <w:r w:rsidR="008515BC" w:rsidRPr="00D4590B">
        <w:rPr>
          <w:sz w:val="26"/>
          <w:szCs w:val="26"/>
          <w:lang w:bidi="he-IL"/>
        </w:rPr>
        <w:t xml:space="preserve"> </w:t>
      </w:r>
      <w:r w:rsidR="00975572" w:rsidRPr="00D4590B">
        <w:rPr>
          <w:sz w:val="26"/>
          <w:szCs w:val="26"/>
          <w:lang w:bidi="he-IL"/>
        </w:rPr>
        <w:t xml:space="preserve">His “verbosity and informal style is the antithesis of </w:t>
      </w:r>
      <w:proofErr w:type="spellStart"/>
      <w:r w:rsidR="00975572" w:rsidRPr="00D4590B">
        <w:rPr>
          <w:sz w:val="26"/>
          <w:szCs w:val="26"/>
          <w:lang w:bidi="he-IL"/>
        </w:rPr>
        <w:t>Radak’s</w:t>
      </w:r>
      <w:proofErr w:type="spellEnd"/>
      <w:r w:rsidR="00975572" w:rsidRPr="00D4590B">
        <w:rPr>
          <w:sz w:val="26"/>
          <w:szCs w:val="26"/>
          <w:lang w:bidi="he-IL"/>
        </w:rPr>
        <w:t xml:space="preserve"> investigative approach.”</w:t>
      </w:r>
      <w:r w:rsidR="008515BC" w:rsidRPr="00D4590B">
        <w:rPr>
          <w:sz w:val="26"/>
          <w:szCs w:val="26"/>
          <w:lang w:bidi="he-IL"/>
        </w:rPr>
        <w:t xml:space="preserve"> </w:t>
      </w:r>
      <w:r w:rsidR="00975572" w:rsidRPr="00D4590B">
        <w:rPr>
          <w:sz w:val="26"/>
          <w:szCs w:val="26"/>
          <w:lang w:bidi="he-IL"/>
        </w:rPr>
        <w:t>Furthermore, “</w:t>
      </w:r>
      <w:r w:rsidR="00975572" w:rsidRPr="00D4590B">
        <w:rPr>
          <w:i/>
          <w:iCs/>
          <w:sz w:val="26"/>
          <w:szCs w:val="26"/>
          <w:lang w:bidi="he-IL"/>
        </w:rPr>
        <w:t>the commentary</w:t>
      </w:r>
      <w:r w:rsidR="00975572" w:rsidRPr="00D4590B">
        <w:rPr>
          <w:sz w:val="26"/>
          <w:szCs w:val="26"/>
          <w:lang w:bidi="he-IL"/>
        </w:rPr>
        <w:t xml:space="preserve"> has a personal quality to it, as opposed to </w:t>
      </w:r>
      <w:proofErr w:type="spellStart"/>
      <w:r w:rsidR="00975572" w:rsidRPr="00D4590B">
        <w:rPr>
          <w:sz w:val="26"/>
          <w:szCs w:val="26"/>
          <w:lang w:bidi="he-IL"/>
        </w:rPr>
        <w:t>Radak’s</w:t>
      </w:r>
      <w:proofErr w:type="spellEnd"/>
      <w:r w:rsidR="00975572" w:rsidRPr="00D4590B">
        <w:rPr>
          <w:sz w:val="26"/>
          <w:szCs w:val="26"/>
          <w:lang w:bidi="he-IL"/>
        </w:rPr>
        <w:t xml:space="preserve"> objective, detached analysis.”</w:t>
      </w:r>
      <w:r w:rsidR="00975572" w:rsidRPr="00D4590B">
        <w:rPr>
          <w:rStyle w:val="a4"/>
          <w:sz w:val="26"/>
          <w:szCs w:val="26"/>
          <w:lang w:bidi="he-IL"/>
        </w:rPr>
        <w:footnoteReference w:id="90"/>
      </w:r>
      <w:r w:rsidR="008515BC" w:rsidRPr="00D4590B">
        <w:rPr>
          <w:sz w:val="26"/>
          <w:szCs w:val="26"/>
          <w:lang w:bidi="he-IL"/>
        </w:rPr>
        <w:t xml:space="preserve"> </w:t>
      </w:r>
      <w:r w:rsidR="00975572" w:rsidRPr="00D4590B">
        <w:rPr>
          <w:sz w:val="26"/>
          <w:szCs w:val="26"/>
          <w:lang w:bidi="he-IL"/>
        </w:rPr>
        <w:t>She encapsulates her impression of the style and attendant purpose of the commentary in the following lucid and forceful passage:</w:t>
      </w:r>
    </w:p>
    <w:p w:rsidR="00E663C7" w:rsidRPr="00D4590B" w:rsidRDefault="00E663C7" w:rsidP="00D4590B">
      <w:pPr>
        <w:spacing w:line="300" w:lineRule="exact"/>
        <w:jc w:val="both"/>
        <w:rPr>
          <w:rFonts w:hint="cs"/>
          <w:sz w:val="26"/>
          <w:szCs w:val="26"/>
          <w:lang w:bidi="he-IL"/>
        </w:rPr>
      </w:pPr>
    </w:p>
    <w:p w:rsidR="00975572" w:rsidRPr="00D4590B" w:rsidRDefault="00975572" w:rsidP="00E663C7">
      <w:pPr>
        <w:spacing w:line="300" w:lineRule="exact"/>
        <w:ind w:left="720"/>
        <w:jc w:val="both"/>
        <w:rPr>
          <w:sz w:val="26"/>
          <w:szCs w:val="26"/>
          <w:lang w:bidi="he-IL"/>
        </w:rPr>
      </w:pPr>
      <w:r w:rsidRPr="00D4590B">
        <w:rPr>
          <w:sz w:val="26"/>
          <w:szCs w:val="26"/>
          <w:lang w:bidi="he-IL"/>
        </w:rPr>
        <w:t xml:space="preserve">The style of </w:t>
      </w:r>
      <w:r w:rsidRPr="00D4590B">
        <w:rPr>
          <w:i/>
          <w:iCs/>
          <w:sz w:val="26"/>
          <w:szCs w:val="26"/>
          <w:lang w:bidi="he-IL"/>
        </w:rPr>
        <w:t>the commentary</w:t>
      </w:r>
      <w:r w:rsidRPr="00D4590B">
        <w:rPr>
          <w:sz w:val="26"/>
          <w:szCs w:val="26"/>
          <w:lang w:bidi="he-IL"/>
        </w:rPr>
        <w:t xml:space="preserve"> is simplistic and the tone is homiletical and flat—not rich, crisp, and analytical as </w:t>
      </w:r>
      <w:proofErr w:type="spellStart"/>
      <w:r w:rsidRPr="00D4590B">
        <w:rPr>
          <w:sz w:val="26"/>
          <w:szCs w:val="26"/>
          <w:lang w:bidi="he-IL"/>
        </w:rPr>
        <w:t>Radak’s</w:t>
      </w:r>
      <w:proofErr w:type="spellEnd"/>
      <w:r w:rsidRPr="00D4590B">
        <w:rPr>
          <w:sz w:val="26"/>
          <w:szCs w:val="26"/>
          <w:lang w:bidi="he-IL"/>
        </w:rPr>
        <w:t xml:space="preserve"> commentaries are.</w:t>
      </w:r>
      <w:r w:rsidR="008515BC" w:rsidRPr="00D4590B">
        <w:rPr>
          <w:sz w:val="26"/>
          <w:szCs w:val="26"/>
          <w:lang w:bidi="he-IL"/>
        </w:rPr>
        <w:t xml:space="preserve"> </w:t>
      </w:r>
      <w:r w:rsidRPr="00D4590B">
        <w:rPr>
          <w:sz w:val="26"/>
          <w:szCs w:val="26"/>
          <w:lang w:bidi="he-IL"/>
        </w:rPr>
        <w:t>The author uses the book of Proverbs as a tool to urge his readers to live an upright, God-fearing life.</w:t>
      </w:r>
      <w:r w:rsidR="008515BC" w:rsidRPr="00D4590B">
        <w:rPr>
          <w:sz w:val="26"/>
          <w:szCs w:val="26"/>
          <w:lang w:bidi="he-IL"/>
        </w:rPr>
        <w:t xml:space="preserve"> </w:t>
      </w:r>
      <w:r w:rsidRPr="00D4590B">
        <w:rPr>
          <w:sz w:val="26"/>
          <w:szCs w:val="26"/>
          <w:lang w:bidi="he-IL"/>
        </w:rPr>
        <w:t>He persistently reiterates themes of the struggle between good and evil, reward and punishment, and the world to come and reflects on the prerequisites for the proper functioning of the different castes of society.</w:t>
      </w:r>
    </w:p>
    <w:p w:rsidR="00975572" w:rsidRDefault="00975572" w:rsidP="00E663C7">
      <w:pPr>
        <w:spacing w:line="300" w:lineRule="exact"/>
        <w:ind w:left="720"/>
        <w:jc w:val="both"/>
        <w:rPr>
          <w:rFonts w:hint="cs"/>
          <w:sz w:val="26"/>
          <w:szCs w:val="26"/>
          <w:rtl/>
          <w:lang w:bidi="he-IL"/>
        </w:rPr>
      </w:pPr>
      <w:r w:rsidRPr="00D4590B">
        <w:rPr>
          <w:sz w:val="26"/>
          <w:szCs w:val="26"/>
          <w:lang w:bidi="he-IL"/>
        </w:rPr>
        <w:t xml:space="preserve">While </w:t>
      </w:r>
      <w:proofErr w:type="spellStart"/>
      <w:r w:rsidRPr="00D4590B">
        <w:rPr>
          <w:sz w:val="26"/>
          <w:szCs w:val="26"/>
          <w:lang w:bidi="he-IL"/>
        </w:rPr>
        <w:t>Radak</w:t>
      </w:r>
      <w:proofErr w:type="spellEnd"/>
      <w:r w:rsidRPr="00D4590B">
        <w:rPr>
          <w:sz w:val="26"/>
          <w:szCs w:val="26"/>
          <w:lang w:bidi="he-IL"/>
        </w:rPr>
        <w:t xml:space="preserve"> addresses many of these themes in his Bible commentaries, they are incidental and used merely to explicate the biblical text.</w:t>
      </w:r>
      <w:r w:rsidR="008515BC" w:rsidRPr="00D4590B">
        <w:rPr>
          <w:sz w:val="26"/>
          <w:szCs w:val="26"/>
          <w:lang w:bidi="he-IL"/>
        </w:rPr>
        <w:t xml:space="preserve"> </w:t>
      </w:r>
      <w:r w:rsidRPr="00D4590B">
        <w:rPr>
          <w:sz w:val="26"/>
          <w:szCs w:val="26"/>
          <w:lang w:bidi="he-IL"/>
        </w:rPr>
        <w:t xml:space="preserve">In </w:t>
      </w:r>
      <w:r w:rsidRPr="00D4590B">
        <w:rPr>
          <w:i/>
          <w:iCs/>
          <w:sz w:val="26"/>
          <w:szCs w:val="26"/>
          <w:lang w:bidi="he-IL"/>
        </w:rPr>
        <w:t>the commentary</w:t>
      </w:r>
      <w:r w:rsidRPr="00D4590B">
        <w:rPr>
          <w:sz w:val="26"/>
          <w:szCs w:val="26"/>
          <w:lang w:bidi="he-IL"/>
        </w:rPr>
        <w:t>, though, the encouragement of moral rectitude is the dominant goal and the explication of the verses is incidental.</w:t>
      </w:r>
      <w:r w:rsidR="008515BC" w:rsidRPr="00D4590B">
        <w:rPr>
          <w:sz w:val="26"/>
          <w:szCs w:val="26"/>
          <w:lang w:bidi="he-IL"/>
        </w:rPr>
        <w:t xml:space="preserve"> </w:t>
      </w:r>
      <w:r w:rsidRPr="00D4590B">
        <w:rPr>
          <w:sz w:val="26"/>
          <w:szCs w:val="26"/>
          <w:lang w:bidi="he-IL"/>
        </w:rPr>
        <w:t>The correlation of the words in the Bible to the ideas that they convey is limited and artless.</w:t>
      </w:r>
      <w:r w:rsidRPr="00D4590B">
        <w:rPr>
          <w:rStyle w:val="a4"/>
          <w:sz w:val="26"/>
          <w:szCs w:val="26"/>
          <w:lang w:bidi="he-IL"/>
        </w:rPr>
        <w:footnoteReference w:id="91"/>
      </w:r>
    </w:p>
    <w:p w:rsidR="00E663C7" w:rsidRPr="00D4590B" w:rsidRDefault="00E663C7" w:rsidP="00E663C7">
      <w:pPr>
        <w:spacing w:line="300" w:lineRule="exact"/>
        <w:ind w:left="720"/>
        <w:jc w:val="both"/>
        <w:rPr>
          <w:rFonts w:hint="cs"/>
          <w:sz w:val="26"/>
          <w:szCs w:val="26"/>
          <w:lang w:bidi="he-IL"/>
        </w:rPr>
      </w:pPr>
    </w:p>
    <w:p w:rsidR="00975572" w:rsidRPr="00D4590B" w:rsidRDefault="00975572" w:rsidP="00D4590B">
      <w:pPr>
        <w:tabs>
          <w:tab w:val="left" w:pos="8460"/>
          <w:tab w:val="left" w:pos="8640"/>
        </w:tabs>
        <w:spacing w:line="300" w:lineRule="exact"/>
        <w:jc w:val="both"/>
        <w:rPr>
          <w:sz w:val="26"/>
          <w:szCs w:val="26"/>
          <w:lang w:bidi="he-IL"/>
        </w:rPr>
      </w:pPr>
      <w:r w:rsidRPr="00D4590B">
        <w:rPr>
          <w:sz w:val="26"/>
          <w:szCs w:val="26"/>
          <w:lang w:bidi="he-IL"/>
        </w:rPr>
        <w:t>The boldest and most crucial claim here—that the primary goal of the work is hortatory and that its exegetical component is incidental—is one with which I strongly disagree.</w:t>
      </w:r>
      <w:r w:rsidR="008515BC" w:rsidRPr="00D4590B">
        <w:rPr>
          <w:sz w:val="26"/>
          <w:szCs w:val="26"/>
          <w:lang w:bidi="he-IL"/>
        </w:rPr>
        <w:t xml:space="preserve"> </w:t>
      </w:r>
      <w:r w:rsidRPr="00D4590B">
        <w:rPr>
          <w:sz w:val="26"/>
          <w:szCs w:val="26"/>
          <w:lang w:bidi="he-IL"/>
        </w:rPr>
        <w:t xml:space="preserve">Rather, in keeping with the commentary’s introductory statement, it is </w:t>
      </w:r>
      <w:r w:rsidR="009F2136">
        <w:rPr>
          <w:sz w:val="26"/>
          <w:szCs w:val="26"/>
          <w:lang w:bidi="he-IL"/>
        </w:rPr>
        <w:t>my powerful sense</w:t>
      </w:r>
      <w:r w:rsidRPr="00D4590B">
        <w:rPr>
          <w:sz w:val="26"/>
          <w:szCs w:val="26"/>
          <w:lang w:bidi="he-IL"/>
        </w:rPr>
        <w:t xml:space="preserve"> that the author’s chief objective is to explain the text and its flow.</w:t>
      </w:r>
      <w:r w:rsidR="008515BC" w:rsidRPr="00D4590B">
        <w:rPr>
          <w:sz w:val="26"/>
          <w:szCs w:val="26"/>
          <w:lang w:bidi="he-IL"/>
        </w:rPr>
        <w:t xml:space="preserve"> </w:t>
      </w:r>
      <w:r w:rsidRPr="00D4590B">
        <w:rPr>
          <w:sz w:val="26"/>
          <w:szCs w:val="26"/>
          <w:lang w:bidi="he-IL"/>
        </w:rPr>
        <w:t>Indeed, he follows through on this program quite consistently.</w:t>
      </w:r>
    </w:p>
    <w:p w:rsidR="00975572" w:rsidRDefault="00975572" w:rsidP="00652B40">
      <w:pPr>
        <w:spacing w:line="300" w:lineRule="exact"/>
        <w:ind w:firstLine="284"/>
        <w:jc w:val="both"/>
        <w:rPr>
          <w:rFonts w:hint="cs"/>
          <w:sz w:val="26"/>
          <w:szCs w:val="26"/>
          <w:rtl/>
          <w:lang w:bidi="he-IL"/>
        </w:rPr>
      </w:pPr>
      <w:r w:rsidRPr="00D4590B">
        <w:rPr>
          <w:sz w:val="26"/>
          <w:szCs w:val="26"/>
          <w:lang w:bidi="he-IL"/>
        </w:rPr>
        <w:t xml:space="preserve">To obtain a sense of the style in question, it is essential to consider a </w:t>
      </w:r>
      <w:r w:rsidR="000B4338" w:rsidRPr="00D4590B">
        <w:rPr>
          <w:sz w:val="26"/>
          <w:szCs w:val="26"/>
          <w:lang w:bidi="he-IL"/>
        </w:rPr>
        <w:t>sizable</w:t>
      </w:r>
      <w:r w:rsidRPr="00D4590B">
        <w:rPr>
          <w:sz w:val="26"/>
          <w:szCs w:val="26"/>
          <w:lang w:bidi="he-IL"/>
        </w:rPr>
        <w:t xml:space="preserve"> sequence of comments.</w:t>
      </w:r>
      <w:r w:rsidR="008515BC" w:rsidRPr="00D4590B">
        <w:rPr>
          <w:sz w:val="26"/>
          <w:szCs w:val="26"/>
          <w:lang w:bidi="he-IL"/>
        </w:rPr>
        <w:t xml:space="preserve"> </w:t>
      </w:r>
      <w:r w:rsidRPr="00D4590B">
        <w:rPr>
          <w:sz w:val="26"/>
          <w:szCs w:val="26"/>
          <w:lang w:bidi="he-IL"/>
        </w:rPr>
        <w:t>On chapter 1 verses 2-3, the beginning of the actual commentary,</w:t>
      </w:r>
      <w:r w:rsidR="00BF15B0" w:rsidRPr="00D4590B">
        <w:rPr>
          <w:rStyle w:val="a4"/>
          <w:sz w:val="26"/>
          <w:szCs w:val="26"/>
          <w:lang w:bidi="he-IL"/>
        </w:rPr>
        <w:footnoteReference w:id="92"/>
      </w:r>
      <w:r w:rsidRPr="00D4590B">
        <w:rPr>
          <w:sz w:val="26"/>
          <w:szCs w:val="26"/>
          <w:lang w:bidi="he-IL"/>
        </w:rPr>
        <w:t xml:space="preserve"> we read as follows:</w:t>
      </w:r>
    </w:p>
    <w:p w:rsidR="00E663C7" w:rsidRPr="00D4590B" w:rsidRDefault="00E663C7" w:rsidP="00D4590B">
      <w:pPr>
        <w:spacing w:line="300" w:lineRule="exact"/>
        <w:jc w:val="both"/>
        <w:rPr>
          <w:rFonts w:hint="cs"/>
          <w:sz w:val="26"/>
          <w:szCs w:val="26"/>
          <w:lang w:bidi="he-IL"/>
        </w:rPr>
      </w:pPr>
    </w:p>
    <w:p w:rsidR="00975572" w:rsidRDefault="00975572" w:rsidP="00E663C7">
      <w:pPr>
        <w:spacing w:line="300" w:lineRule="exact"/>
        <w:ind w:left="720"/>
        <w:jc w:val="both"/>
        <w:rPr>
          <w:rFonts w:hint="cs"/>
          <w:sz w:val="26"/>
          <w:szCs w:val="26"/>
          <w:rtl/>
          <w:lang w:bidi="he-IL"/>
        </w:rPr>
      </w:pPr>
      <w:r w:rsidRPr="00D4590B">
        <w:rPr>
          <w:sz w:val="26"/>
          <w:szCs w:val="26"/>
          <w:lang w:bidi="he-IL"/>
        </w:rPr>
        <w:t xml:space="preserve">(2) “To know </w:t>
      </w:r>
      <w:proofErr w:type="spellStart"/>
      <w:r w:rsidRPr="00D4590B">
        <w:rPr>
          <w:i/>
          <w:iCs/>
          <w:sz w:val="26"/>
          <w:szCs w:val="26"/>
          <w:lang w:bidi="he-IL"/>
        </w:rPr>
        <w:t>h</w:t>
      </w:r>
      <w:r w:rsidRPr="00D4590B">
        <w:rPr>
          <w:i/>
          <w:iCs/>
          <w:sz w:val="26"/>
          <w:szCs w:val="26"/>
          <w:lang w:bidi="he-IL"/>
        </w:rPr>
        <w:t>okhmah</w:t>
      </w:r>
      <w:proofErr w:type="spellEnd"/>
      <w:r w:rsidRPr="00D4590B">
        <w:rPr>
          <w:sz w:val="26"/>
          <w:szCs w:val="26"/>
          <w:lang w:bidi="he-IL"/>
        </w:rPr>
        <w:t xml:space="preserve"> and </w:t>
      </w:r>
      <w:proofErr w:type="spellStart"/>
      <w:r w:rsidRPr="00D4590B">
        <w:rPr>
          <w:i/>
          <w:iCs/>
          <w:sz w:val="26"/>
          <w:szCs w:val="26"/>
          <w:lang w:bidi="he-IL"/>
        </w:rPr>
        <w:t>musar</w:t>
      </w:r>
      <w:proofErr w:type="spellEnd"/>
      <w:r w:rsidRPr="00D4590B">
        <w:rPr>
          <w:sz w:val="26"/>
          <w:szCs w:val="26"/>
          <w:lang w:bidi="he-IL"/>
        </w:rPr>
        <w:t>”</w:t>
      </w:r>
      <w:r w:rsidR="00F241E3" w:rsidRPr="00D4590B">
        <w:rPr>
          <w:sz w:val="26"/>
          <w:szCs w:val="26"/>
          <w:lang w:bidi="he-IL"/>
        </w:rPr>
        <w:t>—</w:t>
      </w:r>
      <w:r w:rsidRPr="00D4590B">
        <w:rPr>
          <w:sz w:val="26"/>
          <w:szCs w:val="26"/>
          <w:lang w:bidi="he-IL"/>
        </w:rPr>
        <w:t xml:space="preserve">that is, to know the benefit attained by a person from </w:t>
      </w:r>
      <w:proofErr w:type="spellStart"/>
      <w:r w:rsidRPr="00D4590B">
        <w:rPr>
          <w:i/>
          <w:iCs/>
          <w:sz w:val="26"/>
          <w:szCs w:val="26"/>
          <w:lang w:bidi="he-IL"/>
        </w:rPr>
        <w:t>h</w:t>
      </w:r>
      <w:r w:rsidRPr="00D4590B">
        <w:rPr>
          <w:i/>
          <w:iCs/>
          <w:sz w:val="26"/>
          <w:szCs w:val="26"/>
          <w:lang w:bidi="he-IL"/>
        </w:rPr>
        <w:t>okhmah</w:t>
      </w:r>
      <w:proofErr w:type="spellEnd"/>
      <w:r w:rsidR="00EB46ED" w:rsidRPr="00D4590B">
        <w:rPr>
          <w:sz w:val="26"/>
          <w:szCs w:val="26"/>
          <w:lang w:bidi="he-IL"/>
        </w:rPr>
        <w:t xml:space="preserve"> [=wisdom], as the text</w:t>
      </w:r>
      <w:r w:rsidRPr="00D4590B">
        <w:rPr>
          <w:sz w:val="26"/>
          <w:szCs w:val="26"/>
          <w:lang w:bidi="he-IL"/>
        </w:rPr>
        <w:t xml:space="preserve"> continues to explain.</w:t>
      </w:r>
      <w:r w:rsidR="008515BC" w:rsidRPr="00D4590B">
        <w:rPr>
          <w:sz w:val="26"/>
          <w:szCs w:val="26"/>
          <w:lang w:bidi="he-IL"/>
        </w:rPr>
        <w:t xml:space="preserve"> </w:t>
      </w:r>
      <w:r w:rsidRPr="00D4590B">
        <w:rPr>
          <w:sz w:val="26"/>
          <w:szCs w:val="26"/>
          <w:lang w:bidi="he-IL"/>
        </w:rPr>
        <w:t xml:space="preserve">“And </w:t>
      </w:r>
      <w:proofErr w:type="spellStart"/>
      <w:r w:rsidRPr="00D4590B">
        <w:rPr>
          <w:i/>
          <w:iCs/>
          <w:sz w:val="26"/>
          <w:szCs w:val="26"/>
          <w:lang w:bidi="he-IL"/>
        </w:rPr>
        <w:t>musar</w:t>
      </w:r>
      <w:proofErr w:type="spellEnd"/>
      <w:r w:rsidRPr="00D4590B">
        <w:rPr>
          <w:sz w:val="26"/>
          <w:szCs w:val="26"/>
          <w:lang w:bidi="he-IL"/>
        </w:rPr>
        <w:t>”</w:t>
      </w:r>
      <w:r w:rsidR="009211A7" w:rsidRPr="00D4590B">
        <w:rPr>
          <w:sz w:val="26"/>
          <w:szCs w:val="26"/>
          <w:lang w:bidi="he-IL"/>
        </w:rPr>
        <w:t>—</w:t>
      </w:r>
      <w:r w:rsidRPr="00D4590B">
        <w:rPr>
          <w:sz w:val="26"/>
          <w:szCs w:val="26"/>
          <w:lang w:bidi="he-IL"/>
        </w:rPr>
        <w:t xml:space="preserve">this means the punishment, that is, the afflictions that come upon a person from foolishness, which is the opposite of </w:t>
      </w:r>
      <w:proofErr w:type="spellStart"/>
      <w:r w:rsidRPr="00D4590B">
        <w:rPr>
          <w:i/>
          <w:iCs/>
          <w:sz w:val="26"/>
          <w:szCs w:val="26"/>
          <w:lang w:bidi="he-IL"/>
        </w:rPr>
        <w:t>hokhmah</w:t>
      </w:r>
      <w:proofErr w:type="spellEnd"/>
      <w:r w:rsidRPr="00D4590B">
        <w:rPr>
          <w:sz w:val="26"/>
          <w:szCs w:val="26"/>
          <w:lang w:bidi="he-IL"/>
        </w:rPr>
        <w:t>.</w:t>
      </w:r>
      <w:r w:rsidR="008515BC" w:rsidRPr="00D4590B">
        <w:rPr>
          <w:sz w:val="26"/>
          <w:szCs w:val="26"/>
          <w:lang w:bidi="he-IL"/>
        </w:rPr>
        <w:t xml:space="preserve"> </w:t>
      </w:r>
      <w:r w:rsidRPr="00D4590B">
        <w:rPr>
          <w:sz w:val="26"/>
          <w:szCs w:val="26"/>
          <w:lang w:bidi="he-IL"/>
        </w:rPr>
        <w:t>“</w:t>
      </w:r>
      <w:r w:rsidRPr="00D4590B">
        <w:rPr>
          <w:i/>
          <w:iCs/>
          <w:sz w:val="26"/>
          <w:szCs w:val="26"/>
          <w:lang w:bidi="he-IL"/>
        </w:rPr>
        <w:t>Le-</w:t>
      </w:r>
      <w:proofErr w:type="spellStart"/>
      <w:r w:rsidRPr="00D4590B">
        <w:rPr>
          <w:i/>
          <w:iCs/>
          <w:sz w:val="26"/>
          <w:szCs w:val="26"/>
          <w:lang w:bidi="he-IL"/>
        </w:rPr>
        <w:t>havin</w:t>
      </w:r>
      <w:proofErr w:type="spellEnd"/>
      <w:r w:rsidRPr="00D4590B">
        <w:rPr>
          <w:sz w:val="26"/>
          <w:szCs w:val="26"/>
          <w:lang w:bidi="he-IL"/>
        </w:rPr>
        <w:t xml:space="preserve"> [=to understand] matters of </w:t>
      </w:r>
      <w:proofErr w:type="spellStart"/>
      <w:r w:rsidRPr="00D4590B">
        <w:rPr>
          <w:i/>
          <w:iCs/>
          <w:sz w:val="26"/>
          <w:szCs w:val="26"/>
          <w:lang w:bidi="he-IL"/>
        </w:rPr>
        <w:t>binah</w:t>
      </w:r>
      <w:proofErr w:type="spellEnd"/>
      <w:r w:rsidRPr="00D4590B">
        <w:rPr>
          <w:sz w:val="26"/>
          <w:szCs w:val="26"/>
          <w:lang w:bidi="he-IL"/>
        </w:rPr>
        <w:t>”</w:t>
      </w:r>
      <w:r w:rsidR="00F241E3" w:rsidRPr="00D4590B">
        <w:rPr>
          <w:sz w:val="26"/>
          <w:szCs w:val="26"/>
          <w:lang w:bidi="he-IL"/>
        </w:rPr>
        <w:t>—</w:t>
      </w:r>
      <w:r w:rsidRPr="00D4590B">
        <w:rPr>
          <w:sz w:val="26"/>
          <w:szCs w:val="26"/>
          <w:lang w:bidi="he-IL"/>
        </w:rPr>
        <w:t>that is, the matters upon which a person ought to reflect (</w:t>
      </w:r>
      <w:r w:rsidRPr="00D4590B">
        <w:rPr>
          <w:i/>
          <w:iCs/>
          <w:sz w:val="26"/>
          <w:szCs w:val="26"/>
          <w:lang w:bidi="he-IL"/>
        </w:rPr>
        <w:t>le-</w:t>
      </w:r>
      <w:proofErr w:type="spellStart"/>
      <w:r w:rsidRPr="00D4590B">
        <w:rPr>
          <w:i/>
          <w:iCs/>
          <w:sz w:val="26"/>
          <w:szCs w:val="26"/>
          <w:lang w:bidi="he-IL"/>
        </w:rPr>
        <w:t>hitbonen</w:t>
      </w:r>
      <w:proofErr w:type="spellEnd"/>
      <w:r w:rsidRPr="00D4590B">
        <w:rPr>
          <w:sz w:val="26"/>
          <w:szCs w:val="26"/>
          <w:lang w:bidi="he-IL"/>
        </w:rPr>
        <w:t>) before performing them, so that he will know what his future will be, and he will choose the good and reject the bad.</w:t>
      </w:r>
      <w:r w:rsidR="008515BC" w:rsidRPr="00D4590B">
        <w:rPr>
          <w:sz w:val="26"/>
          <w:szCs w:val="26"/>
          <w:lang w:bidi="he-IL"/>
        </w:rPr>
        <w:t xml:space="preserve"> </w:t>
      </w:r>
      <w:r w:rsidRPr="00D4590B">
        <w:rPr>
          <w:sz w:val="26"/>
          <w:szCs w:val="26"/>
          <w:lang w:bidi="he-IL"/>
        </w:rPr>
        <w:t>(3) “</w:t>
      </w:r>
      <w:proofErr w:type="spellStart"/>
      <w:r w:rsidRPr="00D4590B">
        <w:rPr>
          <w:i/>
          <w:iCs/>
          <w:sz w:val="26"/>
          <w:szCs w:val="26"/>
          <w:lang w:bidi="he-IL"/>
        </w:rPr>
        <w:t>Laqah</w:t>
      </w:r>
      <w:r w:rsidRPr="00D4590B">
        <w:rPr>
          <w:i/>
          <w:iCs/>
          <w:sz w:val="26"/>
          <w:szCs w:val="26"/>
          <w:lang w:bidi="he-IL"/>
        </w:rPr>
        <w:t>at</w:t>
      </w:r>
      <w:proofErr w:type="spellEnd"/>
      <w:r w:rsidRPr="00D4590B">
        <w:rPr>
          <w:i/>
          <w:iCs/>
          <w:sz w:val="26"/>
          <w:szCs w:val="26"/>
          <w:lang w:bidi="he-IL"/>
        </w:rPr>
        <w:t xml:space="preserve"> </w:t>
      </w:r>
      <w:proofErr w:type="spellStart"/>
      <w:r w:rsidRPr="00D4590B">
        <w:rPr>
          <w:i/>
          <w:iCs/>
          <w:sz w:val="26"/>
          <w:szCs w:val="26"/>
          <w:lang w:bidi="he-IL"/>
        </w:rPr>
        <w:t>musar</w:t>
      </w:r>
      <w:proofErr w:type="spellEnd"/>
      <w:r w:rsidRPr="00D4590B">
        <w:rPr>
          <w:i/>
          <w:iCs/>
          <w:sz w:val="26"/>
          <w:szCs w:val="26"/>
          <w:lang w:bidi="he-IL"/>
        </w:rPr>
        <w:t xml:space="preserve"> </w:t>
      </w:r>
      <w:proofErr w:type="spellStart"/>
      <w:r w:rsidRPr="00D4590B">
        <w:rPr>
          <w:i/>
          <w:iCs/>
          <w:sz w:val="26"/>
          <w:szCs w:val="26"/>
          <w:lang w:bidi="he-IL"/>
        </w:rPr>
        <w:t>haskel</w:t>
      </w:r>
      <w:proofErr w:type="spellEnd"/>
      <w:r w:rsidRPr="00D4590B">
        <w:rPr>
          <w:sz w:val="26"/>
          <w:szCs w:val="26"/>
          <w:lang w:bidi="he-IL"/>
        </w:rPr>
        <w:t>”</w:t>
      </w:r>
      <w:r w:rsidR="00F241E3" w:rsidRPr="00D4590B">
        <w:rPr>
          <w:sz w:val="26"/>
          <w:szCs w:val="26"/>
          <w:lang w:bidi="he-IL"/>
        </w:rPr>
        <w:t>—</w:t>
      </w:r>
      <w:proofErr w:type="spellStart"/>
      <w:r w:rsidRPr="00D4590B">
        <w:rPr>
          <w:i/>
          <w:iCs/>
          <w:sz w:val="26"/>
          <w:szCs w:val="26"/>
          <w:lang w:bidi="he-IL"/>
        </w:rPr>
        <w:t>Laqah</w:t>
      </w:r>
      <w:r w:rsidRPr="00D4590B">
        <w:rPr>
          <w:i/>
          <w:iCs/>
          <w:sz w:val="26"/>
          <w:szCs w:val="26"/>
          <w:lang w:bidi="he-IL"/>
        </w:rPr>
        <w:t>at</w:t>
      </w:r>
      <w:proofErr w:type="spellEnd"/>
      <w:r w:rsidRPr="00D4590B">
        <w:rPr>
          <w:sz w:val="26"/>
          <w:szCs w:val="26"/>
          <w:lang w:bidi="he-IL"/>
        </w:rPr>
        <w:t xml:space="preserve"> means to learn, as in “May my </w:t>
      </w:r>
      <w:proofErr w:type="spellStart"/>
      <w:r w:rsidRPr="00D4590B">
        <w:rPr>
          <w:i/>
          <w:iCs/>
          <w:sz w:val="26"/>
          <w:szCs w:val="26"/>
          <w:lang w:bidi="he-IL"/>
        </w:rPr>
        <w:t>leqah</w:t>
      </w:r>
      <w:proofErr w:type="spellEnd"/>
      <w:r w:rsidRPr="00D4590B">
        <w:rPr>
          <w:i/>
          <w:iCs/>
          <w:sz w:val="26"/>
          <w:szCs w:val="26"/>
          <w:lang w:bidi="he-IL"/>
        </w:rPr>
        <w:t></w:t>
      </w:r>
      <w:r w:rsidRPr="00D4590B">
        <w:rPr>
          <w:sz w:val="26"/>
          <w:szCs w:val="26"/>
          <w:lang w:bidi="he-IL"/>
        </w:rPr>
        <w:t xml:space="preserve"> come down as the rain” (Deut 32:2), </w:t>
      </w:r>
      <w:r w:rsidR="002525B8" w:rsidRPr="00D4590B">
        <w:rPr>
          <w:sz w:val="26"/>
          <w:szCs w:val="26"/>
          <w:lang w:bidi="he-IL"/>
        </w:rPr>
        <w:t>which the Targum renders</w:t>
      </w:r>
      <w:r w:rsidRPr="00D4590B">
        <w:rPr>
          <w:sz w:val="26"/>
          <w:szCs w:val="26"/>
          <w:lang w:bidi="he-IL"/>
        </w:rPr>
        <w:t xml:space="preserve"> “my teaching.”</w:t>
      </w:r>
      <w:r w:rsidR="008515BC" w:rsidRPr="00D4590B">
        <w:rPr>
          <w:sz w:val="26"/>
          <w:szCs w:val="26"/>
          <w:lang w:bidi="he-IL"/>
        </w:rPr>
        <w:t xml:space="preserve"> </w:t>
      </w:r>
      <w:r w:rsidRPr="00D4590B">
        <w:rPr>
          <w:sz w:val="26"/>
          <w:szCs w:val="26"/>
          <w:lang w:bidi="he-IL"/>
        </w:rPr>
        <w:t>“</w:t>
      </w:r>
      <w:proofErr w:type="spellStart"/>
      <w:r w:rsidRPr="00D4590B">
        <w:rPr>
          <w:i/>
          <w:iCs/>
          <w:sz w:val="26"/>
          <w:szCs w:val="26"/>
          <w:lang w:bidi="he-IL"/>
        </w:rPr>
        <w:t>Musar</w:t>
      </w:r>
      <w:proofErr w:type="spellEnd"/>
      <w:r w:rsidRPr="00D4590B">
        <w:rPr>
          <w:i/>
          <w:iCs/>
          <w:sz w:val="26"/>
          <w:szCs w:val="26"/>
          <w:lang w:bidi="he-IL"/>
        </w:rPr>
        <w:t xml:space="preserve"> </w:t>
      </w:r>
      <w:proofErr w:type="spellStart"/>
      <w:r w:rsidRPr="00D4590B">
        <w:rPr>
          <w:i/>
          <w:iCs/>
          <w:sz w:val="26"/>
          <w:szCs w:val="26"/>
          <w:lang w:bidi="he-IL"/>
        </w:rPr>
        <w:t>haskel</w:t>
      </w:r>
      <w:proofErr w:type="spellEnd"/>
      <w:r w:rsidRPr="00D4590B">
        <w:rPr>
          <w:sz w:val="26"/>
          <w:szCs w:val="26"/>
          <w:lang w:bidi="he-IL"/>
        </w:rPr>
        <w:t>”</w:t>
      </w:r>
      <w:r w:rsidR="00F241E3" w:rsidRPr="00D4590B">
        <w:rPr>
          <w:sz w:val="26"/>
          <w:szCs w:val="26"/>
          <w:lang w:bidi="he-IL"/>
        </w:rPr>
        <w:t>—</w:t>
      </w:r>
      <w:r w:rsidRPr="00D4590B">
        <w:rPr>
          <w:sz w:val="26"/>
          <w:szCs w:val="26"/>
          <w:lang w:bidi="he-IL"/>
        </w:rPr>
        <w:t xml:space="preserve">that is, to learn well the proper way to conduct oneself with people—with </w:t>
      </w:r>
      <w:proofErr w:type="spellStart"/>
      <w:r w:rsidRPr="00D4590B">
        <w:rPr>
          <w:i/>
          <w:iCs/>
          <w:sz w:val="26"/>
          <w:szCs w:val="26"/>
          <w:lang w:bidi="he-IL"/>
        </w:rPr>
        <w:t>haskel</w:t>
      </w:r>
      <w:proofErr w:type="spellEnd"/>
      <w:r w:rsidRPr="00D4590B">
        <w:rPr>
          <w:sz w:val="26"/>
          <w:szCs w:val="26"/>
          <w:lang w:bidi="he-IL"/>
        </w:rPr>
        <w:t xml:space="preserve"> [=good sense] and with the best effort—specifically “</w:t>
      </w:r>
      <w:proofErr w:type="spellStart"/>
      <w:r w:rsidRPr="00D4590B">
        <w:rPr>
          <w:i/>
          <w:iCs/>
          <w:sz w:val="26"/>
          <w:szCs w:val="26"/>
          <w:lang w:bidi="he-IL"/>
        </w:rPr>
        <w:t>s</w:t>
      </w:r>
      <w:r w:rsidRPr="00D4590B">
        <w:rPr>
          <w:i/>
          <w:iCs/>
          <w:sz w:val="26"/>
          <w:szCs w:val="26"/>
          <w:lang w:bidi="he-IL"/>
        </w:rPr>
        <w:t>edeq</w:t>
      </w:r>
      <w:proofErr w:type="spellEnd"/>
      <w:r w:rsidRPr="00D4590B">
        <w:rPr>
          <w:i/>
          <w:iCs/>
          <w:sz w:val="26"/>
          <w:szCs w:val="26"/>
          <w:lang w:bidi="he-IL"/>
        </w:rPr>
        <w:t xml:space="preserve"> u-</w:t>
      </w:r>
      <w:proofErr w:type="spellStart"/>
      <w:r w:rsidRPr="00D4590B">
        <w:rPr>
          <w:i/>
          <w:iCs/>
          <w:sz w:val="26"/>
          <w:szCs w:val="26"/>
          <w:lang w:bidi="he-IL"/>
        </w:rPr>
        <w:t>mishpat</w:t>
      </w:r>
      <w:proofErr w:type="spellEnd"/>
      <w:r w:rsidRPr="00D4590B">
        <w:rPr>
          <w:i/>
          <w:iCs/>
          <w:sz w:val="26"/>
          <w:szCs w:val="26"/>
          <w:lang w:bidi="he-IL"/>
        </w:rPr>
        <w:t xml:space="preserve"> u-</w:t>
      </w:r>
      <w:proofErr w:type="spellStart"/>
      <w:r w:rsidRPr="00D4590B">
        <w:rPr>
          <w:i/>
          <w:iCs/>
          <w:sz w:val="26"/>
          <w:szCs w:val="26"/>
          <w:lang w:bidi="he-IL"/>
        </w:rPr>
        <w:t>mesharim</w:t>
      </w:r>
      <w:proofErr w:type="spellEnd"/>
      <w:r w:rsidRPr="00D4590B">
        <w:rPr>
          <w:sz w:val="26"/>
          <w:szCs w:val="26"/>
          <w:lang w:bidi="he-IL"/>
        </w:rPr>
        <w:t>”: “</w:t>
      </w:r>
      <w:proofErr w:type="spellStart"/>
      <w:r w:rsidRPr="00D4590B">
        <w:rPr>
          <w:i/>
          <w:iCs/>
          <w:sz w:val="26"/>
          <w:szCs w:val="26"/>
          <w:lang w:bidi="he-IL"/>
        </w:rPr>
        <w:t>s</w:t>
      </w:r>
      <w:r w:rsidRPr="00D4590B">
        <w:rPr>
          <w:i/>
          <w:iCs/>
          <w:sz w:val="26"/>
          <w:szCs w:val="26"/>
          <w:lang w:bidi="he-IL"/>
        </w:rPr>
        <w:t>edeq</w:t>
      </w:r>
      <w:proofErr w:type="spellEnd"/>
      <w:r w:rsidRPr="00D4590B">
        <w:rPr>
          <w:sz w:val="26"/>
          <w:szCs w:val="26"/>
          <w:lang w:bidi="he-IL"/>
        </w:rPr>
        <w:t>”</w:t>
      </w:r>
      <w:r w:rsidR="00F241E3" w:rsidRPr="00D4590B">
        <w:rPr>
          <w:sz w:val="26"/>
          <w:szCs w:val="26"/>
          <w:lang w:bidi="he-IL"/>
        </w:rPr>
        <w:t>—</w:t>
      </w:r>
      <w:r w:rsidRPr="00D4590B">
        <w:rPr>
          <w:sz w:val="26"/>
          <w:szCs w:val="26"/>
          <w:lang w:bidi="he-IL"/>
        </w:rPr>
        <w:t>to be honest in one’s dealings and not veer from this to the right or to the left; “</w:t>
      </w:r>
      <w:r w:rsidRPr="00D4590B">
        <w:rPr>
          <w:i/>
          <w:iCs/>
          <w:sz w:val="26"/>
          <w:szCs w:val="26"/>
          <w:lang w:bidi="he-IL"/>
        </w:rPr>
        <w:t>u-</w:t>
      </w:r>
      <w:proofErr w:type="spellStart"/>
      <w:r w:rsidRPr="00D4590B">
        <w:rPr>
          <w:i/>
          <w:iCs/>
          <w:sz w:val="26"/>
          <w:szCs w:val="26"/>
          <w:lang w:bidi="he-IL"/>
        </w:rPr>
        <w:t>mishpat</w:t>
      </w:r>
      <w:proofErr w:type="spellEnd"/>
      <w:r w:rsidRPr="00D4590B">
        <w:rPr>
          <w:sz w:val="26"/>
          <w:szCs w:val="26"/>
          <w:lang w:bidi="he-IL"/>
        </w:rPr>
        <w:t>”</w:t>
      </w:r>
      <w:r w:rsidR="00F241E3" w:rsidRPr="00D4590B">
        <w:rPr>
          <w:sz w:val="26"/>
          <w:szCs w:val="26"/>
          <w:lang w:bidi="he-IL"/>
        </w:rPr>
        <w:t>—</w:t>
      </w:r>
      <w:r w:rsidRPr="00D4590B">
        <w:rPr>
          <w:sz w:val="26"/>
          <w:szCs w:val="26"/>
          <w:lang w:bidi="he-IL"/>
        </w:rPr>
        <w:t>this is a warning to judges and kings to judge righteously, placing the rich and the poor equal before the law; “</w:t>
      </w:r>
      <w:r w:rsidRPr="00D4590B">
        <w:rPr>
          <w:i/>
          <w:iCs/>
          <w:sz w:val="26"/>
          <w:szCs w:val="26"/>
          <w:lang w:bidi="he-IL"/>
        </w:rPr>
        <w:t>u-</w:t>
      </w:r>
      <w:proofErr w:type="spellStart"/>
      <w:r w:rsidRPr="00D4590B">
        <w:rPr>
          <w:i/>
          <w:iCs/>
          <w:sz w:val="26"/>
          <w:szCs w:val="26"/>
          <w:lang w:bidi="he-IL"/>
        </w:rPr>
        <w:t>mesharim</w:t>
      </w:r>
      <w:proofErr w:type="spellEnd"/>
      <w:r w:rsidRPr="00D4590B">
        <w:rPr>
          <w:sz w:val="26"/>
          <w:szCs w:val="26"/>
          <w:lang w:bidi="he-IL"/>
        </w:rPr>
        <w:t>”–</w:t>
      </w:r>
      <w:r w:rsidR="00F241E3" w:rsidRPr="00D4590B">
        <w:rPr>
          <w:sz w:val="26"/>
          <w:szCs w:val="26"/>
          <w:lang w:bidi="he-IL"/>
        </w:rPr>
        <w:t>–</w:t>
      </w:r>
      <w:r w:rsidRPr="00D4590B">
        <w:rPr>
          <w:sz w:val="26"/>
          <w:szCs w:val="26"/>
          <w:lang w:bidi="he-IL"/>
        </w:rPr>
        <w:t>that all your deeds be with integrity, without cunning and deceit.</w:t>
      </w:r>
      <w:r w:rsidR="008515BC" w:rsidRPr="00D4590B">
        <w:rPr>
          <w:sz w:val="26"/>
          <w:szCs w:val="26"/>
          <w:lang w:bidi="he-IL"/>
        </w:rPr>
        <w:t xml:space="preserve"> </w:t>
      </w:r>
      <w:r w:rsidRPr="00D4590B">
        <w:rPr>
          <w:sz w:val="26"/>
          <w:szCs w:val="26"/>
          <w:lang w:bidi="he-IL"/>
        </w:rPr>
        <w:t>These are the things that kings should do so that their kingship should last; and the people too should conduct themselves in this way with one another so that there should be peace between them, each one peacefully in his place.</w:t>
      </w:r>
      <w:r w:rsidR="008515BC" w:rsidRPr="00D4590B">
        <w:rPr>
          <w:sz w:val="26"/>
          <w:szCs w:val="26"/>
          <w:lang w:bidi="he-IL"/>
        </w:rPr>
        <w:t xml:space="preserve"> </w:t>
      </w:r>
      <w:r w:rsidRPr="00D4590B">
        <w:rPr>
          <w:sz w:val="26"/>
          <w:szCs w:val="26"/>
          <w:lang w:bidi="he-IL"/>
        </w:rPr>
        <w:t xml:space="preserve">It is of these matters that </w:t>
      </w:r>
      <w:proofErr w:type="spellStart"/>
      <w:r w:rsidRPr="00D4590B">
        <w:rPr>
          <w:i/>
          <w:iCs/>
          <w:sz w:val="26"/>
          <w:szCs w:val="26"/>
          <w:lang w:bidi="he-IL"/>
        </w:rPr>
        <w:t>hokhmah</w:t>
      </w:r>
      <w:proofErr w:type="spellEnd"/>
      <w:r w:rsidRPr="00D4590B">
        <w:rPr>
          <w:i/>
          <w:iCs/>
          <w:sz w:val="26"/>
          <w:szCs w:val="26"/>
          <w:lang w:bidi="he-IL"/>
        </w:rPr>
        <w:t xml:space="preserve"> </w:t>
      </w:r>
      <w:r w:rsidRPr="00D4590B">
        <w:rPr>
          <w:sz w:val="26"/>
          <w:szCs w:val="26"/>
          <w:lang w:bidi="he-IL"/>
        </w:rPr>
        <w:t>is comprised.</w:t>
      </w:r>
    </w:p>
    <w:p w:rsidR="00E663C7" w:rsidRPr="00D4590B" w:rsidRDefault="00E663C7" w:rsidP="00D4590B">
      <w:pPr>
        <w:spacing w:line="300" w:lineRule="exact"/>
        <w:ind w:left="360" w:right="360"/>
        <w:jc w:val="both"/>
        <w:rPr>
          <w:rFonts w:hint="cs"/>
          <w:sz w:val="26"/>
          <w:szCs w:val="26"/>
          <w:lang w:bidi="he-IL"/>
        </w:rPr>
      </w:pPr>
    </w:p>
    <w:p w:rsidR="00975572" w:rsidRDefault="00975572" w:rsidP="009027F0">
      <w:pPr>
        <w:spacing w:line="300" w:lineRule="exact"/>
        <w:jc w:val="both"/>
        <w:rPr>
          <w:rFonts w:hint="cs"/>
          <w:sz w:val="26"/>
          <w:szCs w:val="26"/>
          <w:rtl/>
          <w:lang w:bidi="he-IL"/>
        </w:rPr>
      </w:pPr>
      <w:r w:rsidRPr="00D4590B">
        <w:rPr>
          <w:sz w:val="26"/>
          <w:szCs w:val="26"/>
          <w:lang w:bidi="he-IL"/>
        </w:rPr>
        <w:t>It is fair to say that this selection, quite representative of the author’s style, is very much an effort at interpretation of both language and content.</w:t>
      </w:r>
      <w:r w:rsidR="008515BC" w:rsidRPr="00D4590B">
        <w:rPr>
          <w:sz w:val="26"/>
          <w:szCs w:val="26"/>
          <w:lang w:bidi="he-IL"/>
        </w:rPr>
        <w:t xml:space="preserve"> </w:t>
      </w:r>
      <w:r w:rsidR="00643241" w:rsidRPr="00D4590B">
        <w:rPr>
          <w:sz w:val="26"/>
          <w:szCs w:val="26"/>
          <w:lang w:bidi="he-IL"/>
        </w:rPr>
        <w:t>L</w:t>
      </w:r>
      <w:r w:rsidRPr="00D4590B">
        <w:rPr>
          <w:sz w:val="26"/>
          <w:szCs w:val="26"/>
          <w:lang w:bidi="he-IL"/>
        </w:rPr>
        <w:t xml:space="preserve">ittle if anything can fairly be called nonanalytical, and as I see it, the connection between the text and the ideas presented is </w:t>
      </w:r>
      <w:r w:rsidR="009027F0">
        <w:rPr>
          <w:sz w:val="26"/>
          <w:szCs w:val="26"/>
          <w:lang w:bidi="he-IL"/>
        </w:rPr>
        <w:t>not at all unartful</w:t>
      </w:r>
      <w:r w:rsidRPr="00D4590B">
        <w:rPr>
          <w:sz w:val="26"/>
          <w:szCs w:val="26"/>
          <w:lang w:bidi="he-IL"/>
        </w:rPr>
        <w:t>.</w:t>
      </w:r>
      <w:r w:rsidR="008515BC" w:rsidRPr="00D4590B">
        <w:rPr>
          <w:sz w:val="26"/>
          <w:szCs w:val="26"/>
          <w:lang w:bidi="he-IL"/>
        </w:rPr>
        <w:t xml:space="preserve"> </w:t>
      </w:r>
      <w:r w:rsidRPr="00D4590B">
        <w:rPr>
          <w:sz w:val="26"/>
          <w:szCs w:val="26"/>
          <w:lang w:bidi="he-IL"/>
        </w:rPr>
        <w:t>The didactic flavor is a direct result of the book’s subject matter, and only toward the end does our commentator elaborate upon the book’s message in a manner not fundamentally connected to his explanation of the flow of the text.</w:t>
      </w:r>
      <w:r w:rsidR="008515BC" w:rsidRPr="00D4590B">
        <w:rPr>
          <w:sz w:val="26"/>
          <w:szCs w:val="26"/>
          <w:lang w:bidi="he-IL"/>
        </w:rPr>
        <w:t xml:space="preserve"> </w:t>
      </w:r>
      <w:r w:rsidRPr="00D4590B">
        <w:rPr>
          <w:sz w:val="26"/>
          <w:szCs w:val="26"/>
          <w:lang w:bidi="he-IL"/>
        </w:rPr>
        <w:t>Indeed, he acknowledges the specific hortatory objective of the book in the latter part of his introduction, and it will be instructive to cite from this briefly:</w:t>
      </w:r>
    </w:p>
    <w:p w:rsidR="00E663C7" w:rsidRPr="00D4590B" w:rsidRDefault="00E663C7" w:rsidP="00D4590B">
      <w:pPr>
        <w:spacing w:line="300" w:lineRule="exact"/>
        <w:jc w:val="both"/>
        <w:rPr>
          <w:rFonts w:hint="cs"/>
          <w:sz w:val="26"/>
          <w:szCs w:val="26"/>
          <w:lang w:bidi="he-IL"/>
        </w:rPr>
      </w:pPr>
    </w:p>
    <w:p w:rsidR="00975572" w:rsidRDefault="00975572" w:rsidP="00E663C7">
      <w:pPr>
        <w:spacing w:line="300" w:lineRule="exact"/>
        <w:ind w:left="720"/>
        <w:jc w:val="both"/>
        <w:rPr>
          <w:rFonts w:hint="cs"/>
          <w:sz w:val="26"/>
          <w:szCs w:val="26"/>
          <w:rtl/>
          <w:lang w:bidi="he-IL"/>
        </w:rPr>
      </w:pPr>
      <w:r w:rsidRPr="00D4590B">
        <w:rPr>
          <w:sz w:val="26"/>
          <w:szCs w:val="26"/>
          <w:lang w:bidi="he-IL"/>
        </w:rPr>
        <w:t>[The redactor</w:t>
      </w:r>
      <w:r w:rsidR="000C3D74" w:rsidRPr="00D4590B">
        <w:rPr>
          <w:sz w:val="26"/>
          <w:szCs w:val="26"/>
          <w:lang w:bidi="he-IL"/>
        </w:rPr>
        <w:t xml:space="preserve"> (</w:t>
      </w:r>
      <w:r w:rsidR="000C3D74" w:rsidRPr="00D4590B">
        <w:rPr>
          <w:rFonts w:hint="cs"/>
          <w:sz w:val="26"/>
          <w:szCs w:val="26"/>
          <w:rtl/>
          <w:lang w:bidi="he-IL"/>
        </w:rPr>
        <w:t>הסופר</w:t>
      </w:r>
      <w:r w:rsidR="000C3D74" w:rsidRPr="00D4590B">
        <w:rPr>
          <w:sz w:val="26"/>
          <w:szCs w:val="26"/>
          <w:lang w:bidi="he-IL"/>
        </w:rPr>
        <w:t>)</w:t>
      </w:r>
      <w:r w:rsidRPr="00D4590B">
        <w:rPr>
          <w:sz w:val="26"/>
          <w:szCs w:val="26"/>
          <w:lang w:bidi="he-IL"/>
        </w:rPr>
        <w:t>, in the first few verses,] writes of the intention of the book’s author</w:t>
      </w:r>
      <w:r w:rsidR="00A854E6" w:rsidRPr="00D4590B">
        <w:rPr>
          <w:sz w:val="26"/>
          <w:szCs w:val="26"/>
          <w:lang w:bidi="he-IL"/>
        </w:rPr>
        <w:t xml:space="preserve"> (</w:t>
      </w:r>
      <w:r w:rsidR="00A854E6" w:rsidRPr="00D4590B">
        <w:rPr>
          <w:rFonts w:hint="cs"/>
          <w:sz w:val="26"/>
          <w:szCs w:val="26"/>
          <w:rtl/>
          <w:lang w:bidi="he-IL"/>
        </w:rPr>
        <w:t>המחבר הספר</w:t>
      </w:r>
      <w:r w:rsidR="00A854E6" w:rsidRPr="00D4590B">
        <w:rPr>
          <w:sz w:val="26"/>
          <w:szCs w:val="26"/>
          <w:lang w:bidi="he-IL"/>
        </w:rPr>
        <w:t>)</w:t>
      </w:r>
      <w:r w:rsidRPr="00D4590B">
        <w:rPr>
          <w:sz w:val="26"/>
          <w:szCs w:val="26"/>
          <w:lang w:bidi="he-IL"/>
        </w:rPr>
        <w:t>:</w:t>
      </w:r>
      <w:r w:rsidR="00A854E6" w:rsidRPr="00D4590B">
        <w:rPr>
          <w:rStyle w:val="a4"/>
          <w:sz w:val="26"/>
          <w:szCs w:val="26"/>
          <w:lang w:bidi="he-IL"/>
        </w:rPr>
        <w:footnoteReference w:id="93"/>
      </w:r>
      <w:r w:rsidRPr="00D4590B">
        <w:rPr>
          <w:sz w:val="26"/>
          <w:szCs w:val="26"/>
          <w:lang w:bidi="he-IL"/>
        </w:rPr>
        <w:t xml:space="preserve"> his intention was to benefit people interested in hearing his admonishment, so that their energies should be appropriately pure in the worship of their Creator, in order that each [person] should attain his reward—which is life in the world to come—and so that they should conduct themselves with integrity in all their matters and dealings…</w:t>
      </w:r>
    </w:p>
    <w:p w:rsidR="00E663C7" w:rsidRPr="00D4590B" w:rsidRDefault="00E663C7" w:rsidP="00D4590B">
      <w:pPr>
        <w:spacing w:line="300" w:lineRule="exact"/>
        <w:ind w:left="360" w:right="360"/>
        <w:jc w:val="both"/>
        <w:rPr>
          <w:rFonts w:hint="cs"/>
          <w:sz w:val="26"/>
          <w:szCs w:val="26"/>
          <w:lang w:bidi="he-IL"/>
        </w:rPr>
      </w:pPr>
    </w:p>
    <w:p w:rsidR="00975572" w:rsidRPr="00D4590B" w:rsidRDefault="00975572" w:rsidP="00D4590B">
      <w:pPr>
        <w:spacing w:line="300" w:lineRule="exact"/>
        <w:jc w:val="both"/>
        <w:rPr>
          <w:sz w:val="26"/>
          <w:szCs w:val="26"/>
          <w:lang w:bidi="he-IL"/>
        </w:rPr>
      </w:pPr>
      <w:r w:rsidRPr="00D4590B">
        <w:rPr>
          <w:sz w:val="26"/>
          <w:szCs w:val="26"/>
          <w:lang w:bidi="he-IL"/>
        </w:rPr>
        <w:t xml:space="preserve">If these are the goals of the author of Proverbs, then it is only to be expected that an exposition of the book’s content </w:t>
      </w:r>
      <w:r w:rsidR="002525B8" w:rsidRPr="00D4590B">
        <w:rPr>
          <w:sz w:val="26"/>
          <w:szCs w:val="26"/>
          <w:lang w:bidi="he-IL"/>
        </w:rPr>
        <w:t xml:space="preserve">would </w:t>
      </w:r>
      <w:r w:rsidRPr="00D4590B">
        <w:rPr>
          <w:sz w:val="26"/>
          <w:szCs w:val="26"/>
          <w:lang w:bidi="he-IL"/>
        </w:rPr>
        <w:t>contain a moralistic dimension.</w:t>
      </w:r>
    </w:p>
    <w:p w:rsidR="00975572" w:rsidRPr="00D4590B" w:rsidRDefault="00975572" w:rsidP="00652B40">
      <w:pPr>
        <w:spacing w:line="300" w:lineRule="exact"/>
        <w:ind w:firstLine="284"/>
        <w:jc w:val="both"/>
        <w:rPr>
          <w:sz w:val="26"/>
          <w:szCs w:val="26"/>
          <w:lang w:bidi="he-IL"/>
        </w:rPr>
      </w:pPr>
      <w:r w:rsidRPr="00D4590B">
        <w:rPr>
          <w:sz w:val="26"/>
          <w:szCs w:val="26"/>
          <w:lang w:bidi="he-IL"/>
        </w:rPr>
        <w:t>To the extent that there is a “personal quality” to the commentary (e.g.</w:t>
      </w:r>
      <w:r w:rsidR="005A04C4" w:rsidRPr="00D4590B">
        <w:rPr>
          <w:sz w:val="26"/>
          <w:szCs w:val="26"/>
          <w:lang w:bidi="he-IL"/>
        </w:rPr>
        <w:t>,</w:t>
      </w:r>
      <w:r w:rsidRPr="00D4590B">
        <w:rPr>
          <w:sz w:val="26"/>
          <w:szCs w:val="26"/>
          <w:lang w:bidi="he-IL"/>
        </w:rPr>
        <w:t xml:space="preserve"> “that all your deeds be with integrity” in the selection above), this also reflects the nature of the material.</w:t>
      </w:r>
      <w:r w:rsidR="008515BC" w:rsidRPr="00D4590B">
        <w:rPr>
          <w:sz w:val="26"/>
          <w:szCs w:val="26"/>
          <w:lang w:bidi="he-IL"/>
        </w:rPr>
        <w:t xml:space="preserve"> </w:t>
      </w:r>
      <w:r w:rsidRPr="00D4590B">
        <w:rPr>
          <w:sz w:val="26"/>
          <w:szCs w:val="26"/>
          <w:lang w:bidi="he-IL"/>
        </w:rPr>
        <w:t>Indeed, much of the book itself is written in the form of admonishment in second-person form.</w:t>
      </w:r>
      <w:r w:rsidR="008515BC" w:rsidRPr="00D4590B">
        <w:rPr>
          <w:sz w:val="26"/>
          <w:szCs w:val="26"/>
          <w:lang w:bidi="he-IL"/>
        </w:rPr>
        <w:t xml:space="preserve"> </w:t>
      </w:r>
      <w:r w:rsidRPr="00D4590B">
        <w:rPr>
          <w:sz w:val="26"/>
          <w:szCs w:val="26"/>
          <w:lang w:bidi="he-IL"/>
        </w:rPr>
        <w:t xml:space="preserve">It is telling, in fact, that the one example that Grunhaus cites in the text of her article—allegedly among the author’s “direct addresses to the reader”—is really no more than an explanatory </w:t>
      </w:r>
      <w:r w:rsidR="00643241" w:rsidRPr="00D4590B">
        <w:rPr>
          <w:sz w:val="26"/>
          <w:szCs w:val="26"/>
          <w:lang w:bidi="he-IL"/>
        </w:rPr>
        <w:t>comment that</w:t>
      </w:r>
      <w:r w:rsidRPr="00D4590B">
        <w:rPr>
          <w:sz w:val="26"/>
          <w:szCs w:val="26"/>
          <w:lang w:bidi="he-IL"/>
        </w:rPr>
        <w:t xml:space="preserve"> adopts the grammatical form of the verse.</w:t>
      </w:r>
      <w:r w:rsidRPr="00D4590B">
        <w:rPr>
          <w:rStyle w:val="a4"/>
          <w:sz w:val="26"/>
          <w:szCs w:val="26"/>
          <w:lang w:bidi="he-IL"/>
        </w:rPr>
        <w:footnoteReference w:id="94"/>
      </w:r>
      <w:r w:rsidR="008515BC" w:rsidRPr="00D4590B">
        <w:rPr>
          <w:sz w:val="26"/>
          <w:szCs w:val="26"/>
          <w:lang w:bidi="he-IL"/>
        </w:rPr>
        <w:t xml:space="preserve"> </w:t>
      </w:r>
      <w:r w:rsidRPr="00D4590B">
        <w:rPr>
          <w:sz w:val="26"/>
          <w:szCs w:val="26"/>
          <w:lang w:bidi="he-IL"/>
        </w:rPr>
        <w:t>In this example, at 6:6, the t</w:t>
      </w:r>
      <w:r w:rsidR="008F10CE" w:rsidRPr="00D4590B">
        <w:rPr>
          <w:sz w:val="26"/>
          <w:szCs w:val="26"/>
          <w:lang w:bidi="he-IL"/>
        </w:rPr>
        <w:t>ext exhorts a lazy individual</w:t>
      </w:r>
      <w:r w:rsidRPr="00D4590B">
        <w:rPr>
          <w:sz w:val="26"/>
          <w:szCs w:val="26"/>
          <w:lang w:bidi="he-IL"/>
        </w:rPr>
        <w:t xml:space="preserve"> to derive a lesson from the industrious ant.</w:t>
      </w:r>
      <w:r w:rsidR="008515BC" w:rsidRPr="00D4590B">
        <w:rPr>
          <w:sz w:val="26"/>
          <w:szCs w:val="26"/>
          <w:lang w:bidi="he-IL"/>
        </w:rPr>
        <w:t xml:space="preserve"> </w:t>
      </w:r>
      <w:r w:rsidRPr="00D4590B">
        <w:rPr>
          <w:sz w:val="26"/>
          <w:szCs w:val="26"/>
          <w:lang w:bidi="he-IL"/>
        </w:rPr>
        <w:t xml:space="preserve">In what I see as a moderate elaboration of this </w:t>
      </w:r>
      <w:r w:rsidR="002525B8" w:rsidRPr="00D4590B">
        <w:rPr>
          <w:sz w:val="26"/>
          <w:szCs w:val="26"/>
          <w:lang w:bidi="he-IL"/>
        </w:rPr>
        <w:t>that is</w:t>
      </w:r>
      <w:r w:rsidR="00BE43F0" w:rsidRPr="00D4590B">
        <w:rPr>
          <w:sz w:val="26"/>
          <w:szCs w:val="26"/>
          <w:lang w:bidi="he-IL"/>
        </w:rPr>
        <w:t xml:space="preserve"> typical</w:t>
      </w:r>
      <w:r w:rsidRPr="00D4590B">
        <w:rPr>
          <w:sz w:val="26"/>
          <w:szCs w:val="26"/>
          <w:lang w:bidi="he-IL"/>
        </w:rPr>
        <w:t xml:space="preserve"> of </w:t>
      </w:r>
      <w:proofErr w:type="spellStart"/>
      <w:r w:rsidRPr="00D4590B">
        <w:rPr>
          <w:sz w:val="26"/>
          <w:szCs w:val="26"/>
          <w:lang w:bidi="he-IL"/>
        </w:rPr>
        <w:t>Radak</w:t>
      </w:r>
      <w:proofErr w:type="spellEnd"/>
      <w:r w:rsidRPr="00D4590B">
        <w:rPr>
          <w:sz w:val="26"/>
          <w:szCs w:val="26"/>
          <w:lang w:bidi="he-IL"/>
        </w:rPr>
        <w:t xml:space="preserve">, our commentator, liberally paraphrasing the verse, instructs this individual (in second person) to draw a simple inference regarding himself: if an ant prepares its food, then all the more so I, who possess </w:t>
      </w:r>
      <w:r w:rsidR="005F786D" w:rsidRPr="00D4590B">
        <w:rPr>
          <w:sz w:val="26"/>
          <w:szCs w:val="26"/>
          <w:lang w:bidi="he-IL"/>
        </w:rPr>
        <w:t xml:space="preserve">the </w:t>
      </w:r>
      <w:r w:rsidRPr="00D4590B">
        <w:rPr>
          <w:sz w:val="26"/>
          <w:szCs w:val="26"/>
          <w:lang w:bidi="he-IL"/>
        </w:rPr>
        <w:t>power of reason, ought to place genuine effort into matters of concern to me.</w:t>
      </w:r>
    </w:p>
    <w:p w:rsidR="00975572" w:rsidRDefault="00975572" w:rsidP="00652B40">
      <w:pPr>
        <w:spacing w:line="300" w:lineRule="exact"/>
        <w:ind w:firstLine="284"/>
        <w:jc w:val="both"/>
        <w:rPr>
          <w:rFonts w:hint="cs"/>
          <w:sz w:val="26"/>
          <w:szCs w:val="26"/>
          <w:rtl/>
          <w:lang w:bidi="he-IL"/>
        </w:rPr>
      </w:pPr>
      <w:r w:rsidRPr="00D4590B">
        <w:rPr>
          <w:sz w:val="26"/>
          <w:szCs w:val="26"/>
          <w:lang w:bidi="he-IL"/>
        </w:rPr>
        <w:t xml:space="preserve">Finally, the </w:t>
      </w:r>
      <w:r w:rsidR="009027F0">
        <w:rPr>
          <w:sz w:val="26"/>
          <w:szCs w:val="26"/>
          <w:lang w:bidi="he-IL"/>
        </w:rPr>
        <w:t xml:space="preserve">sweeping </w:t>
      </w:r>
      <w:r w:rsidRPr="00D4590B">
        <w:rPr>
          <w:sz w:val="26"/>
          <w:szCs w:val="26"/>
          <w:lang w:bidi="he-IL"/>
        </w:rPr>
        <w:t xml:space="preserve">assertion that moralistic themes in </w:t>
      </w:r>
      <w:proofErr w:type="spellStart"/>
      <w:r w:rsidRPr="00D4590B">
        <w:rPr>
          <w:sz w:val="26"/>
          <w:szCs w:val="26"/>
          <w:lang w:bidi="he-IL"/>
        </w:rPr>
        <w:t>Radak’s</w:t>
      </w:r>
      <w:proofErr w:type="spellEnd"/>
      <w:r w:rsidRPr="00D4590B">
        <w:rPr>
          <w:sz w:val="26"/>
          <w:szCs w:val="26"/>
          <w:lang w:bidi="he-IL"/>
        </w:rPr>
        <w:t xml:space="preserve"> commentaries are “incidental and used merely to explicate the biblical text” is </w:t>
      </w:r>
      <w:r w:rsidR="009027F0">
        <w:rPr>
          <w:sz w:val="26"/>
          <w:szCs w:val="26"/>
          <w:lang w:bidi="he-IL"/>
        </w:rPr>
        <w:t>in</w:t>
      </w:r>
      <w:r w:rsidRPr="00D4590B">
        <w:rPr>
          <w:sz w:val="26"/>
          <w:szCs w:val="26"/>
          <w:lang w:bidi="he-IL"/>
        </w:rPr>
        <w:t>accurate.</w:t>
      </w:r>
      <w:r w:rsidR="008515BC" w:rsidRPr="00D4590B">
        <w:rPr>
          <w:sz w:val="26"/>
          <w:szCs w:val="26"/>
          <w:lang w:bidi="he-IL"/>
        </w:rPr>
        <w:t xml:space="preserve"> </w:t>
      </w:r>
      <w:r w:rsidRPr="00D4590B">
        <w:rPr>
          <w:sz w:val="26"/>
          <w:szCs w:val="26"/>
          <w:lang w:bidi="he-IL"/>
        </w:rPr>
        <w:t xml:space="preserve">For our purposes, it is of considerable relevance that even on biblical books that are not essentially hortatory, </w:t>
      </w:r>
      <w:proofErr w:type="spellStart"/>
      <w:r w:rsidRPr="00D4590B">
        <w:rPr>
          <w:sz w:val="26"/>
          <w:szCs w:val="26"/>
          <w:lang w:bidi="he-IL"/>
        </w:rPr>
        <w:t>Radak</w:t>
      </w:r>
      <w:proofErr w:type="spellEnd"/>
      <w:r w:rsidRPr="00D4590B">
        <w:rPr>
          <w:sz w:val="26"/>
          <w:szCs w:val="26"/>
          <w:lang w:bidi="he-IL"/>
        </w:rPr>
        <w:t xml:space="preserve"> will periodically go beyond strict interpretation to provide a moral lesson.</w:t>
      </w:r>
      <w:r w:rsidRPr="00D4590B">
        <w:rPr>
          <w:rStyle w:val="a4"/>
          <w:sz w:val="26"/>
          <w:szCs w:val="26"/>
          <w:lang w:bidi="he-IL"/>
        </w:rPr>
        <w:footnoteReference w:id="95"/>
      </w:r>
      <w:r w:rsidR="008515BC" w:rsidRPr="00D4590B">
        <w:rPr>
          <w:sz w:val="26"/>
          <w:szCs w:val="26"/>
          <w:lang w:bidi="he-IL"/>
        </w:rPr>
        <w:t xml:space="preserve"> </w:t>
      </w:r>
      <w:r w:rsidRPr="00D4590B">
        <w:rPr>
          <w:sz w:val="26"/>
          <w:szCs w:val="26"/>
          <w:lang w:bidi="he-IL"/>
        </w:rPr>
        <w:t xml:space="preserve">For example, in the course of </w:t>
      </w:r>
      <w:proofErr w:type="spellStart"/>
      <w:r w:rsidRPr="00D4590B">
        <w:rPr>
          <w:sz w:val="26"/>
          <w:szCs w:val="26"/>
          <w:lang w:bidi="he-IL"/>
        </w:rPr>
        <w:t>Radak’s</w:t>
      </w:r>
      <w:proofErr w:type="spellEnd"/>
      <w:r w:rsidRPr="00D4590B">
        <w:rPr>
          <w:sz w:val="26"/>
          <w:szCs w:val="26"/>
          <w:lang w:bidi="he-IL"/>
        </w:rPr>
        <w:t xml:space="preserve"> comment on Psalms 40:13, where King David attributes his sufferings to his own misconduct, the eminent commentator-pedagogue makes a remark that is similar to the occasional asides found in the Proverbs commentary:</w:t>
      </w:r>
    </w:p>
    <w:p w:rsidR="00E663C7" w:rsidRPr="00D4590B" w:rsidRDefault="00E663C7" w:rsidP="00D4590B">
      <w:pPr>
        <w:spacing w:line="300" w:lineRule="exact"/>
        <w:ind w:firstLine="360"/>
        <w:jc w:val="both"/>
        <w:rPr>
          <w:rFonts w:hint="cs"/>
          <w:sz w:val="26"/>
          <w:szCs w:val="26"/>
          <w:lang w:bidi="he-IL"/>
        </w:rPr>
      </w:pPr>
    </w:p>
    <w:p w:rsidR="00975572" w:rsidRDefault="00975572" w:rsidP="00E663C7">
      <w:pPr>
        <w:spacing w:line="300" w:lineRule="exact"/>
        <w:ind w:left="720"/>
        <w:jc w:val="both"/>
        <w:rPr>
          <w:rFonts w:hint="cs"/>
          <w:sz w:val="26"/>
          <w:szCs w:val="26"/>
          <w:rtl/>
          <w:lang w:bidi="he-IL"/>
        </w:rPr>
      </w:pPr>
      <w:r w:rsidRPr="00D4590B">
        <w:rPr>
          <w:sz w:val="26"/>
          <w:szCs w:val="26"/>
          <w:lang w:bidi="he-IL"/>
        </w:rPr>
        <w:t>And likewise, it is proper for every pious individual, when praying before God, to emphasize his sins and play down his merits, to say that he is full of sins, and to appeal for atonement and mercy.</w:t>
      </w:r>
      <w:r w:rsidRPr="00D4590B">
        <w:rPr>
          <w:rStyle w:val="a4"/>
          <w:sz w:val="26"/>
          <w:szCs w:val="26"/>
          <w:lang w:bidi="he-IL"/>
        </w:rPr>
        <w:footnoteReference w:id="96"/>
      </w:r>
    </w:p>
    <w:p w:rsidR="00E663C7" w:rsidRPr="00D4590B" w:rsidRDefault="00E663C7" w:rsidP="00D4590B">
      <w:pPr>
        <w:spacing w:line="300" w:lineRule="exact"/>
        <w:ind w:left="360" w:right="360"/>
        <w:jc w:val="both"/>
        <w:rPr>
          <w:rFonts w:hint="cs"/>
          <w:sz w:val="26"/>
          <w:szCs w:val="26"/>
          <w:lang w:bidi="he-IL"/>
        </w:rPr>
      </w:pPr>
    </w:p>
    <w:p w:rsidR="00975572" w:rsidRPr="00D4590B" w:rsidRDefault="00975572" w:rsidP="00D4590B">
      <w:pPr>
        <w:spacing w:line="300" w:lineRule="exact"/>
        <w:jc w:val="both"/>
        <w:rPr>
          <w:sz w:val="26"/>
          <w:szCs w:val="26"/>
          <w:lang w:bidi="he-IL"/>
        </w:rPr>
      </w:pPr>
      <w:r w:rsidRPr="00D4590B">
        <w:rPr>
          <w:sz w:val="26"/>
          <w:szCs w:val="26"/>
          <w:lang w:bidi="he-IL"/>
        </w:rPr>
        <w:t xml:space="preserve">When the nature of the </w:t>
      </w:r>
      <w:r w:rsidR="00BE43F0" w:rsidRPr="00D4590B">
        <w:rPr>
          <w:sz w:val="26"/>
          <w:szCs w:val="26"/>
          <w:lang w:bidi="he-IL"/>
        </w:rPr>
        <w:t xml:space="preserve">Book </w:t>
      </w:r>
      <w:r w:rsidRPr="00D4590B">
        <w:rPr>
          <w:sz w:val="26"/>
          <w:szCs w:val="26"/>
          <w:lang w:bidi="he-IL"/>
        </w:rPr>
        <w:t xml:space="preserve">of Proverbs is properly taken into account, then, the commentary’s compositional style provides us with little reason to doubt that </w:t>
      </w:r>
      <w:proofErr w:type="spellStart"/>
      <w:r w:rsidRPr="00D4590B">
        <w:rPr>
          <w:sz w:val="26"/>
          <w:szCs w:val="26"/>
          <w:lang w:bidi="he-IL"/>
        </w:rPr>
        <w:t>Radak</w:t>
      </w:r>
      <w:proofErr w:type="spellEnd"/>
      <w:r w:rsidRPr="00D4590B">
        <w:rPr>
          <w:sz w:val="26"/>
          <w:szCs w:val="26"/>
          <w:lang w:bidi="he-IL"/>
        </w:rPr>
        <w:t xml:space="preserve"> authored the work.</w:t>
      </w:r>
      <w:r w:rsidR="008515BC" w:rsidRPr="00D4590B">
        <w:rPr>
          <w:sz w:val="26"/>
          <w:szCs w:val="26"/>
          <w:lang w:bidi="he-IL"/>
        </w:rPr>
        <w:t xml:space="preserve"> </w:t>
      </w:r>
      <w:r w:rsidRPr="00D4590B">
        <w:rPr>
          <w:sz w:val="26"/>
          <w:szCs w:val="26"/>
          <w:lang w:bidi="he-IL"/>
        </w:rPr>
        <w:t xml:space="preserve">The sum total of all stylistic considerations, in fact, tilts the evidence rather decisively in the direction of </w:t>
      </w:r>
      <w:proofErr w:type="spellStart"/>
      <w:r w:rsidRPr="00D4590B">
        <w:rPr>
          <w:sz w:val="26"/>
          <w:szCs w:val="26"/>
          <w:lang w:bidi="he-IL"/>
        </w:rPr>
        <w:t>Radak’s</w:t>
      </w:r>
      <w:proofErr w:type="spellEnd"/>
      <w:r w:rsidRPr="00D4590B">
        <w:rPr>
          <w:sz w:val="26"/>
          <w:szCs w:val="26"/>
          <w:lang w:bidi="he-IL"/>
        </w:rPr>
        <w:t xml:space="preserve"> authorship.</w:t>
      </w:r>
    </w:p>
    <w:p w:rsidR="00975572" w:rsidRPr="00D4590B" w:rsidRDefault="00E663C7" w:rsidP="00D4590B">
      <w:pPr>
        <w:spacing w:line="300" w:lineRule="exact"/>
        <w:jc w:val="both"/>
        <w:rPr>
          <w:sz w:val="26"/>
          <w:szCs w:val="26"/>
          <w:lang w:bidi="he-IL"/>
        </w:rPr>
      </w:pPr>
      <w:r w:rsidRPr="00E641C4">
        <w:rPr>
          <w:bCs/>
          <w:sz w:val="28"/>
          <w:szCs w:val="26"/>
          <w:lang w:bidi="he-IL"/>
        </w:rPr>
        <w:br w:type="page"/>
      </w:r>
      <w:r w:rsidR="00975572" w:rsidRPr="00E641C4">
        <w:rPr>
          <w:bCs/>
          <w:sz w:val="28"/>
          <w:szCs w:val="26"/>
          <w:lang w:bidi="he-IL"/>
        </w:rPr>
        <w:t xml:space="preserve">Challenges to the Attribution to </w:t>
      </w:r>
      <w:proofErr w:type="spellStart"/>
      <w:r w:rsidR="00975572" w:rsidRPr="00E641C4">
        <w:rPr>
          <w:bCs/>
          <w:sz w:val="28"/>
          <w:szCs w:val="26"/>
          <w:lang w:bidi="he-IL"/>
        </w:rPr>
        <w:t>Radak</w:t>
      </w:r>
      <w:proofErr w:type="spellEnd"/>
    </w:p>
    <w:p w:rsidR="00975572" w:rsidRPr="00D4590B" w:rsidRDefault="00975572" w:rsidP="00D4590B">
      <w:pPr>
        <w:spacing w:line="300" w:lineRule="exact"/>
        <w:jc w:val="both"/>
        <w:rPr>
          <w:sz w:val="26"/>
          <w:szCs w:val="26"/>
          <w:lang w:bidi="he-IL"/>
        </w:rPr>
      </w:pPr>
      <w:r w:rsidRPr="00D4590B">
        <w:rPr>
          <w:i/>
          <w:iCs/>
          <w:sz w:val="26"/>
          <w:szCs w:val="26"/>
          <w:lang w:bidi="he-IL"/>
        </w:rPr>
        <w:t>The Meaning of “</w:t>
      </w:r>
      <w:proofErr w:type="spellStart"/>
      <w:r w:rsidRPr="00D4590B">
        <w:rPr>
          <w:i/>
          <w:iCs/>
          <w:sz w:val="26"/>
          <w:szCs w:val="26"/>
          <w:lang w:bidi="he-IL"/>
        </w:rPr>
        <w:t>Peshat</w:t>
      </w:r>
      <w:proofErr w:type="spellEnd"/>
      <w:r w:rsidRPr="00D4590B">
        <w:rPr>
          <w:i/>
          <w:iCs/>
          <w:sz w:val="26"/>
          <w:szCs w:val="26"/>
          <w:lang w:bidi="he-IL"/>
        </w:rPr>
        <w:t>”</w:t>
      </w:r>
    </w:p>
    <w:p w:rsidR="00975572" w:rsidRPr="00D4590B" w:rsidRDefault="00975572" w:rsidP="006F7965">
      <w:pPr>
        <w:spacing w:line="300" w:lineRule="exact"/>
        <w:jc w:val="both"/>
        <w:rPr>
          <w:sz w:val="26"/>
          <w:szCs w:val="26"/>
          <w:lang w:bidi="he-IL"/>
        </w:rPr>
      </w:pPr>
      <w:r w:rsidRPr="00D4590B">
        <w:rPr>
          <w:sz w:val="26"/>
          <w:szCs w:val="26"/>
          <w:lang w:bidi="he-IL"/>
        </w:rPr>
        <w:t>The distinctive subject matter of Proverbs will remain significant as we t</w:t>
      </w:r>
      <w:r w:rsidR="00462F2E" w:rsidRPr="00D4590B">
        <w:rPr>
          <w:sz w:val="26"/>
          <w:szCs w:val="26"/>
          <w:lang w:bidi="he-IL"/>
        </w:rPr>
        <w:t>urn our attention to a terminological matter that merits independent consideration</w:t>
      </w:r>
      <w:r w:rsidRPr="00D4590B">
        <w:rPr>
          <w:sz w:val="26"/>
          <w:szCs w:val="26"/>
          <w:lang w:bidi="he-IL"/>
        </w:rPr>
        <w:t xml:space="preserve">: our commentator’s use of the term </w:t>
      </w:r>
      <w:proofErr w:type="spellStart"/>
      <w:r w:rsidRPr="00D4590B">
        <w:rPr>
          <w:i/>
          <w:iCs/>
          <w:sz w:val="26"/>
          <w:szCs w:val="26"/>
          <w:lang w:bidi="he-IL"/>
        </w:rPr>
        <w:t>peshat</w:t>
      </w:r>
      <w:proofErr w:type="spellEnd"/>
      <w:r w:rsidRPr="00D4590B">
        <w:rPr>
          <w:sz w:val="26"/>
          <w:szCs w:val="26"/>
          <w:lang w:bidi="he-IL"/>
        </w:rPr>
        <w:t>.</w:t>
      </w:r>
      <w:r w:rsidR="008515BC" w:rsidRPr="00D4590B">
        <w:rPr>
          <w:sz w:val="26"/>
          <w:szCs w:val="26"/>
          <w:lang w:bidi="he-IL"/>
        </w:rPr>
        <w:t xml:space="preserve"> </w:t>
      </w:r>
      <w:r w:rsidRPr="00D4590B">
        <w:rPr>
          <w:sz w:val="26"/>
          <w:szCs w:val="26"/>
          <w:lang w:bidi="he-IL"/>
        </w:rPr>
        <w:t>G</w:t>
      </w:r>
      <w:r w:rsidR="00671D5F" w:rsidRPr="00D4590B">
        <w:rPr>
          <w:sz w:val="26"/>
          <w:szCs w:val="26"/>
          <w:lang w:bidi="he-IL"/>
        </w:rPr>
        <w:t>runhaus correctly observes that</w:t>
      </w:r>
      <w:r w:rsidRPr="00D4590B">
        <w:rPr>
          <w:sz w:val="26"/>
          <w:szCs w:val="26"/>
          <w:lang w:bidi="he-IL"/>
        </w:rPr>
        <w:t xml:space="preserve"> </w:t>
      </w:r>
      <w:proofErr w:type="spellStart"/>
      <w:r w:rsidRPr="00D4590B">
        <w:rPr>
          <w:i/>
          <w:iCs/>
          <w:sz w:val="26"/>
          <w:szCs w:val="26"/>
          <w:lang w:bidi="he-IL"/>
        </w:rPr>
        <w:t>peshat</w:t>
      </w:r>
      <w:proofErr w:type="spellEnd"/>
      <w:r w:rsidRPr="00D4590B">
        <w:rPr>
          <w:sz w:val="26"/>
          <w:szCs w:val="26"/>
          <w:lang w:bidi="he-IL"/>
        </w:rPr>
        <w:t xml:space="preserve"> in this commentary refers to the literal, non-figurative sense of the text (although not exclusively so in my opinion), including in the introduction, where the author sets forth his agenda of providing non-figurative interpretation.</w:t>
      </w:r>
      <w:r w:rsidRPr="00D4590B">
        <w:rPr>
          <w:rStyle w:val="a4"/>
          <w:sz w:val="26"/>
          <w:szCs w:val="26"/>
          <w:lang w:bidi="he-IL"/>
        </w:rPr>
        <w:footnoteReference w:id="97"/>
      </w:r>
      <w:r w:rsidR="008515BC" w:rsidRPr="00D4590B">
        <w:rPr>
          <w:sz w:val="26"/>
          <w:szCs w:val="26"/>
          <w:lang w:bidi="he-IL"/>
        </w:rPr>
        <w:t xml:space="preserve"> </w:t>
      </w:r>
      <w:r w:rsidRPr="00D4590B">
        <w:rPr>
          <w:sz w:val="26"/>
          <w:szCs w:val="26"/>
          <w:lang w:bidi="he-IL"/>
        </w:rPr>
        <w:t>On the other hand, she writes, “</w:t>
      </w:r>
      <w:proofErr w:type="spellStart"/>
      <w:r w:rsidRPr="00D4590B">
        <w:rPr>
          <w:sz w:val="26"/>
          <w:szCs w:val="26"/>
          <w:lang w:bidi="he-IL"/>
        </w:rPr>
        <w:t>Radak’s</w:t>
      </w:r>
      <w:proofErr w:type="spellEnd"/>
      <w:r w:rsidRPr="00D4590B">
        <w:rPr>
          <w:sz w:val="26"/>
          <w:szCs w:val="26"/>
          <w:lang w:bidi="he-IL"/>
        </w:rPr>
        <w:t xml:space="preserve"> complex tradition of the meaning of the term </w:t>
      </w:r>
      <w:proofErr w:type="spellStart"/>
      <w:r w:rsidRPr="00D4590B">
        <w:rPr>
          <w:i/>
          <w:iCs/>
          <w:sz w:val="26"/>
          <w:szCs w:val="26"/>
          <w:lang w:bidi="he-IL"/>
        </w:rPr>
        <w:t>peshat</w:t>
      </w:r>
      <w:proofErr w:type="spellEnd"/>
      <w:r w:rsidRPr="00D4590B">
        <w:rPr>
          <w:sz w:val="26"/>
          <w:szCs w:val="26"/>
          <w:lang w:bidi="he-IL"/>
        </w:rPr>
        <w:t>” draws on “grammar, philology, lexicography, biblical stylistics, and comparison to other biblical texts.”</w:t>
      </w:r>
      <w:r w:rsidRPr="00D4590B">
        <w:rPr>
          <w:rStyle w:val="a4"/>
          <w:sz w:val="26"/>
          <w:szCs w:val="26"/>
          <w:lang w:bidi="he-IL"/>
        </w:rPr>
        <w:footnoteReference w:id="98"/>
      </w:r>
      <w:r w:rsidR="008515BC" w:rsidRPr="00D4590B">
        <w:rPr>
          <w:sz w:val="26"/>
          <w:szCs w:val="26"/>
          <w:lang w:bidi="he-IL"/>
        </w:rPr>
        <w:t xml:space="preserve"> </w:t>
      </w:r>
      <w:r w:rsidRPr="00D4590B">
        <w:rPr>
          <w:sz w:val="26"/>
          <w:szCs w:val="26"/>
          <w:lang w:bidi="he-IL"/>
        </w:rPr>
        <w:t xml:space="preserve">This is more a (partly redundant) list of certain criteria that a </w:t>
      </w:r>
      <w:proofErr w:type="spellStart"/>
      <w:r w:rsidRPr="00D4590B">
        <w:rPr>
          <w:i/>
          <w:iCs/>
          <w:sz w:val="26"/>
          <w:szCs w:val="26"/>
          <w:lang w:bidi="he-IL"/>
        </w:rPr>
        <w:t>peshat</w:t>
      </w:r>
      <w:proofErr w:type="spellEnd"/>
      <w:r w:rsidRPr="00D4590B">
        <w:rPr>
          <w:sz w:val="26"/>
          <w:szCs w:val="26"/>
          <w:lang w:bidi="he-IL"/>
        </w:rPr>
        <w:t xml:space="preserve"> interpretation must meet than an attempt at defining the concept; and the main point appears to be that the term </w:t>
      </w:r>
      <w:proofErr w:type="spellStart"/>
      <w:r w:rsidRPr="00D4590B">
        <w:rPr>
          <w:i/>
          <w:iCs/>
          <w:sz w:val="26"/>
          <w:szCs w:val="26"/>
          <w:lang w:bidi="he-IL"/>
        </w:rPr>
        <w:t>peshat</w:t>
      </w:r>
      <w:proofErr w:type="spellEnd"/>
      <w:r w:rsidRPr="00D4590B">
        <w:rPr>
          <w:sz w:val="26"/>
          <w:szCs w:val="26"/>
          <w:lang w:bidi="he-IL"/>
        </w:rPr>
        <w:t xml:space="preserve"> in </w:t>
      </w:r>
      <w:proofErr w:type="spellStart"/>
      <w:r w:rsidRPr="00D4590B">
        <w:rPr>
          <w:sz w:val="26"/>
          <w:szCs w:val="26"/>
          <w:lang w:bidi="he-IL"/>
        </w:rPr>
        <w:t>Radak</w:t>
      </w:r>
      <w:proofErr w:type="spellEnd"/>
      <w:r w:rsidRPr="00D4590B">
        <w:rPr>
          <w:sz w:val="26"/>
          <w:szCs w:val="26"/>
          <w:lang w:bidi="he-IL"/>
        </w:rPr>
        <w:t xml:space="preserve"> signifies the opposite of </w:t>
      </w:r>
      <w:r w:rsidRPr="00D4590B">
        <w:rPr>
          <w:i/>
          <w:iCs/>
          <w:sz w:val="26"/>
          <w:szCs w:val="26"/>
          <w:lang w:bidi="he-IL"/>
        </w:rPr>
        <w:t>derash</w:t>
      </w:r>
      <w:r w:rsidR="006F7965" w:rsidRPr="006F7965">
        <w:rPr>
          <w:sz w:val="26"/>
          <w:szCs w:val="26"/>
          <w:lang w:bidi="he-IL"/>
        </w:rPr>
        <w:t>,</w:t>
      </w:r>
      <w:r w:rsidRPr="00D4590B">
        <w:rPr>
          <w:sz w:val="26"/>
          <w:szCs w:val="26"/>
          <w:lang w:bidi="he-IL"/>
        </w:rPr>
        <w:t xml:space="preserve"> which </w:t>
      </w:r>
      <w:r w:rsidR="00B90D27" w:rsidRPr="00D4590B">
        <w:rPr>
          <w:sz w:val="26"/>
          <w:szCs w:val="26"/>
          <w:lang w:bidi="he-IL"/>
        </w:rPr>
        <w:t>need not meet</w:t>
      </w:r>
      <w:r w:rsidRPr="00D4590B">
        <w:rPr>
          <w:sz w:val="26"/>
          <w:szCs w:val="26"/>
          <w:lang w:bidi="he-IL"/>
        </w:rPr>
        <w:t xml:space="preserve"> these criteria, rather than excluding figurative meaning (</w:t>
      </w:r>
      <w:proofErr w:type="spellStart"/>
      <w:r w:rsidRPr="00D4590B">
        <w:rPr>
          <w:i/>
          <w:iCs/>
          <w:sz w:val="26"/>
          <w:szCs w:val="26"/>
          <w:lang w:bidi="he-IL"/>
        </w:rPr>
        <w:t>mashal</w:t>
      </w:r>
      <w:proofErr w:type="spellEnd"/>
      <w:r w:rsidRPr="00D4590B">
        <w:rPr>
          <w:sz w:val="26"/>
          <w:szCs w:val="26"/>
          <w:lang w:bidi="he-IL"/>
        </w:rPr>
        <w:t>), the term’s usual function in the Proverbs commentary.</w:t>
      </w:r>
    </w:p>
    <w:p w:rsidR="00975572" w:rsidRPr="00D4590B" w:rsidRDefault="00975572" w:rsidP="00652B40">
      <w:pPr>
        <w:spacing w:line="300" w:lineRule="exact"/>
        <w:ind w:firstLine="284"/>
        <w:jc w:val="both"/>
        <w:rPr>
          <w:sz w:val="26"/>
          <w:szCs w:val="26"/>
          <w:lang w:bidi="he-IL"/>
        </w:rPr>
      </w:pPr>
      <w:r w:rsidRPr="00D4590B">
        <w:rPr>
          <w:sz w:val="26"/>
          <w:szCs w:val="26"/>
          <w:lang w:bidi="he-IL"/>
        </w:rPr>
        <w:t xml:space="preserve">Crucially, however, there are numerous instances where </w:t>
      </w:r>
      <w:proofErr w:type="spellStart"/>
      <w:r w:rsidRPr="00D4590B">
        <w:rPr>
          <w:sz w:val="26"/>
          <w:szCs w:val="26"/>
          <w:lang w:bidi="he-IL"/>
        </w:rPr>
        <w:t>Radak</w:t>
      </w:r>
      <w:proofErr w:type="spellEnd"/>
      <w:r w:rsidRPr="00D4590B">
        <w:rPr>
          <w:sz w:val="26"/>
          <w:szCs w:val="26"/>
          <w:lang w:bidi="he-IL"/>
        </w:rPr>
        <w:t xml:space="preserve"> does use the term </w:t>
      </w:r>
      <w:proofErr w:type="spellStart"/>
      <w:r w:rsidRPr="00D4590B">
        <w:rPr>
          <w:i/>
          <w:iCs/>
          <w:sz w:val="26"/>
          <w:szCs w:val="26"/>
          <w:lang w:bidi="he-IL"/>
        </w:rPr>
        <w:t>peshat</w:t>
      </w:r>
      <w:proofErr w:type="spellEnd"/>
      <w:r w:rsidRPr="00D4590B">
        <w:rPr>
          <w:sz w:val="26"/>
          <w:szCs w:val="26"/>
          <w:lang w:bidi="he-IL"/>
        </w:rPr>
        <w:t xml:space="preserve"> </w:t>
      </w:r>
      <w:r w:rsidR="00842B7F" w:rsidRPr="00D4590B">
        <w:rPr>
          <w:sz w:val="26"/>
          <w:szCs w:val="26"/>
          <w:lang w:bidi="he-IL"/>
        </w:rPr>
        <w:t>to mean the opposite of</w:t>
      </w:r>
      <w:r w:rsidRPr="00D4590B">
        <w:rPr>
          <w:sz w:val="26"/>
          <w:szCs w:val="26"/>
          <w:lang w:bidi="he-IL"/>
        </w:rPr>
        <w:t xml:space="preserve"> </w:t>
      </w:r>
      <w:proofErr w:type="spellStart"/>
      <w:r w:rsidRPr="00D4590B">
        <w:rPr>
          <w:i/>
          <w:iCs/>
          <w:sz w:val="26"/>
          <w:szCs w:val="26"/>
          <w:lang w:bidi="he-IL"/>
        </w:rPr>
        <w:t>mashal</w:t>
      </w:r>
      <w:proofErr w:type="spellEnd"/>
      <w:r w:rsidRPr="00D4590B">
        <w:rPr>
          <w:sz w:val="26"/>
          <w:szCs w:val="26"/>
          <w:lang w:bidi="he-IL"/>
        </w:rPr>
        <w:t>.</w:t>
      </w:r>
      <w:r w:rsidR="008515BC" w:rsidRPr="00D4590B">
        <w:rPr>
          <w:sz w:val="26"/>
          <w:szCs w:val="26"/>
          <w:lang w:bidi="he-IL"/>
        </w:rPr>
        <w:t xml:space="preserve"> </w:t>
      </w:r>
      <w:r w:rsidRPr="00D4590B">
        <w:rPr>
          <w:sz w:val="26"/>
          <w:szCs w:val="26"/>
          <w:lang w:bidi="he-IL"/>
        </w:rPr>
        <w:t xml:space="preserve">To cite but one example, at Ezekiel 9:1-2 </w:t>
      </w:r>
      <w:proofErr w:type="spellStart"/>
      <w:r w:rsidRPr="00D4590B">
        <w:rPr>
          <w:sz w:val="26"/>
          <w:szCs w:val="26"/>
          <w:lang w:bidi="he-IL"/>
        </w:rPr>
        <w:t>Radak</w:t>
      </w:r>
      <w:proofErr w:type="spellEnd"/>
      <w:r w:rsidRPr="00D4590B">
        <w:rPr>
          <w:sz w:val="26"/>
          <w:szCs w:val="26"/>
          <w:lang w:bidi="he-IL"/>
        </w:rPr>
        <w:t xml:space="preserve"> provides a literal interpretation, and then writes</w:t>
      </w:r>
      <w:r w:rsidR="00E5182D" w:rsidRPr="00D4590B">
        <w:rPr>
          <w:sz w:val="26"/>
          <w:szCs w:val="26"/>
          <w:lang w:bidi="he-IL"/>
        </w:rPr>
        <w:t xml:space="preserve">, </w:t>
      </w:r>
      <w:r w:rsidRPr="00D4590B">
        <w:rPr>
          <w:sz w:val="26"/>
          <w:szCs w:val="26"/>
          <w:lang w:bidi="he-IL"/>
        </w:rPr>
        <w:t xml:space="preserve">“We have explained it in the manner of its </w:t>
      </w:r>
      <w:proofErr w:type="spellStart"/>
      <w:r w:rsidRPr="00D4590B">
        <w:rPr>
          <w:i/>
          <w:iCs/>
          <w:sz w:val="26"/>
          <w:szCs w:val="26"/>
          <w:lang w:bidi="he-IL"/>
        </w:rPr>
        <w:t>peshat</w:t>
      </w:r>
      <w:proofErr w:type="spellEnd"/>
      <w:r w:rsidRPr="00D4590B">
        <w:rPr>
          <w:sz w:val="26"/>
          <w:szCs w:val="26"/>
          <w:lang w:bidi="he-IL"/>
        </w:rPr>
        <w:t>.</w:t>
      </w:r>
      <w:r w:rsidR="008515BC" w:rsidRPr="00D4590B">
        <w:rPr>
          <w:sz w:val="26"/>
          <w:szCs w:val="26"/>
          <w:lang w:bidi="he-IL"/>
        </w:rPr>
        <w:t xml:space="preserve"> </w:t>
      </w:r>
      <w:r w:rsidRPr="00D4590B">
        <w:rPr>
          <w:sz w:val="26"/>
          <w:szCs w:val="26"/>
          <w:lang w:bidi="he-IL"/>
        </w:rPr>
        <w:t xml:space="preserve">And in the manner of </w:t>
      </w:r>
      <w:proofErr w:type="spellStart"/>
      <w:r w:rsidRPr="00D4590B">
        <w:rPr>
          <w:i/>
          <w:iCs/>
          <w:sz w:val="26"/>
          <w:szCs w:val="26"/>
          <w:lang w:bidi="he-IL"/>
        </w:rPr>
        <w:t>mashal</w:t>
      </w:r>
      <w:proofErr w:type="spellEnd"/>
      <w:r w:rsidR="005301A4" w:rsidRPr="00D4590B">
        <w:rPr>
          <w:sz w:val="26"/>
          <w:szCs w:val="26"/>
          <w:lang w:bidi="he-IL"/>
        </w:rPr>
        <w:t>….”</w:t>
      </w:r>
      <w:r w:rsidR="008515BC" w:rsidRPr="00D4590B">
        <w:rPr>
          <w:sz w:val="26"/>
          <w:szCs w:val="26"/>
          <w:lang w:bidi="he-IL"/>
        </w:rPr>
        <w:t xml:space="preserve"> </w:t>
      </w:r>
      <w:r w:rsidR="005301A4" w:rsidRPr="00D4590B">
        <w:rPr>
          <w:sz w:val="26"/>
          <w:szCs w:val="26"/>
          <w:lang w:bidi="he-IL"/>
        </w:rPr>
        <w:t xml:space="preserve">While it </w:t>
      </w:r>
      <w:r w:rsidR="00DB6261" w:rsidRPr="00D4590B">
        <w:rPr>
          <w:sz w:val="26"/>
          <w:szCs w:val="26"/>
          <w:lang w:bidi="he-IL"/>
        </w:rPr>
        <w:t xml:space="preserve">is </w:t>
      </w:r>
      <w:r w:rsidR="005301A4" w:rsidRPr="00D4590B">
        <w:rPr>
          <w:sz w:val="26"/>
          <w:szCs w:val="26"/>
          <w:lang w:bidi="he-IL"/>
        </w:rPr>
        <w:t xml:space="preserve">true that </w:t>
      </w:r>
      <w:proofErr w:type="spellStart"/>
      <w:r w:rsidR="005301A4" w:rsidRPr="00D4590B">
        <w:rPr>
          <w:sz w:val="26"/>
          <w:szCs w:val="26"/>
          <w:lang w:bidi="he-IL"/>
        </w:rPr>
        <w:t>Radak</w:t>
      </w:r>
      <w:proofErr w:type="spellEnd"/>
      <w:r w:rsidR="005301A4" w:rsidRPr="00D4590B">
        <w:rPr>
          <w:sz w:val="26"/>
          <w:szCs w:val="26"/>
          <w:lang w:bidi="he-IL"/>
        </w:rPr>
        <w:t xml:space="preserve"> generally</w:t>
      </w:r>
      <w:r w:rsidRPr="00D4590B">
        <w:rPr>
          <w:sz w:val="26"/>
          <w:szCs w:val="26"/>
          <w:lang w:bidi="he-IL"/>
        </w:rPr>
        <w:t xml:space="preserve"> prefers the alternative term </w:t>
      </w:r>
      <w:proofErr w:type="spellStart"/>
      <w:r w:rsidRPr="00D4590B">
        <w:rPr>
          <w:i/>
          <w:iCs/>
          <w:sz w:val="26"/>
          <w:szCs w:val="26"/>
          <w:lang w:bidi="he-IL"/>
        </w:rPr>
        <w:t>ke-mashma</w:t>
      </w:r>
      <w:r w:rsidR="00B67003" w:rsidRPr="00D4590B">
        <w:rPr>
          <w:i/>
          <w:iCs/>
          <w:sz w:val="26"/>
          <w:szCs w:val="26"/>
          <w:lang w:bidi="he-IL"/>
        </w:rPr>
        <w:t>‘</w:t>
      </w:r>
      <w:r w:rsidRPr="00D4590B">
        <w:rPr>
          <w:i/>
          <w:iCs/>
          <w:sz w:val="26"/>
          <w:szCs w:val="26"/>
          <w:lang w:bidi="he-IL"/>
        </w:rPr>
        <w:t>o</w:t>
      </w:r>
      <w:proofErr w:type="spellEnd"/>
      <w:r w:rsidRPr="00D4590B">
        <w:rPr>
          <w:sz w:val="26"/>
          <w:szCs w:val="26"/>
          <w:lang w:bidi="he-IL"/>
        </w:rPr>
        <w:t xml:space="preserve"> to denote l</w:t>
      </w:r>
      <w:r w:rsidR="00DB6261" w:rsidRPr="00D4590B">
        <w:rPr>
          <w:sz w:val="26"/>
          <w:szCs w:val="26"/>
          <w:lang w:bidi="he-IL"/>
        </w:rPr>
        <w:t>iteral meaning, he</w:t>
      </w:r>
      <w:r w:rsidRPr="00D4590B">
        <w:rPr>
          <w:sz w:val="26"/>
          <w:szCs w:val="26"/>
          <w:lang w:bidi="he-IL"/>
        </w:rPr>
        <w:t xml:space="preserve"> </w:t>
      </w:r>
      <w:r w:rsidR="00DB6261" w:rsidRPr="00D4590B">
        <w:rPr>
          <w:sz w:val="26"/>
          <w:szCs w:val="26"/>
          <w:lang w:bidi="he-IL"/>
        </w:rPr>
        <w:t xml:space="preserve">will </w:t>
      </w:r>
      <w:r w:rsidR="00ED6A29" w:rsidRPr="00D4590B">
        <w:rPr>
          <w:sz w:val="26"/>
          <w:szCs w:val="26"/>
          <w:lang w:bidi="he-IL"/>
        </w:rPr>
        <w:t xml:space="preserve">less commonly </w:t>
      </w:r>
      <w:r w:rsidRPr="00D4590B">
        <w:rPr>
          <w:sz w:val="26"/>
          <w:szCs w:val="26"/>
          <w:lang w:bidi="he-IL"/>
        </w:rPr>
        <w:t xml:space="preserve">employ the term </w:t>
      </w:r>
      <w:proofErr w:type="spellStart"/>
      <w:r w:rsidRPr="00D4590B">
        <w:rPr>
          <w:i/>
          <w:iCs/>
          <w:sz w:val="26"/>
          <w:szCs w:val="26"/>
          <w:lang w:bidi="he-IL"/>
        </w:rPr>
        <w:t>peshat</w:t>
      </w:r>
      <w:proofErr w:type="spellEnd"/>
      <w:r w:rsidRPr="00D4590B">
        <w:rPr>
          <w:sz w:val="26"/>
          <w:szCs w:val="26"/>
          <w:lang w:bidi="he-IL"/>
        </w:rPr>
        <w:t xml:space="preserve"> in effectively the same way</w:t>
      </w:r>
      <w:r w:rsidR="00ED6A29" w:rsidRPr="00D4590B">
        <w:rPr>
          <w:sz w:val="26"/>
          <w:szCs w:val="26"/>
          <w:lang w:bidi="he-IL"/>
        </w:rPr>
        <w:t>.</w:t>
      </w:r>
      <w:r w:rsidR="008515BC" w:rsidRPr="00D4590B">
        <w:rPr>
          <w:sz w:val="26"/>
          <w:szCs w:val="26"/>
          <w:lang w:bidi="he-IL"/>
        </w:rPr>
        <w:t xml:space="preserve"> </w:t>
      </w:r>
      <w:r w:rsidRPr="00D4590B">
        <w:rPr>
          <w:sz w:val="26"/>
          <w:szCs w:val="26"/>
          <w:lang w:bidi="he-IL"/>
        </w:rPr>
        <w:t>Indeed, in the Proverbs commentary itself, both expressions appear in this sense.</w:t>
      </w:r>
      <w:r w:rsidRPr="00D4590B">
        <w:rPr>
          <w:rStyle w:val="a4"/>
          <w:sz w:val="26"/>
          <w:szCs w:val="26"/>
          <w:lang w:bidi="he-IL"/>
        </w:rPr>
        <w:footnoteReference w:id="99"/>
      </w:r>
      <w:r w:rsidR="008515BC" w:rsidRPr="00D4590B">
        <w:rPr>
          <w:sz w:val="26"/>
          <w:szCs w:val="26"/>
          <w:lang w:bidi="he-IL"/>
        </w:rPr>
        <w:t xml:space="preserve"> </w:t>
      </w:r>
      <w:r w:rsidR="00842B7F" w:rsidRPr="00D4590B">
        <w:rPr>
          <w:sz w:val="26"/>
          <w:szCs w:val="26"/>
          <w:lang w:bidi="he-IL"/>
        </w:rPr>
        <w:t>And even though</w:t>
      </w:r>
      <w:r w:rsidRPr="00D4590B">
        <w:rPr>
          <w:sz w:val="26"/>
          <w:szCs w:val="26"/>
          <w:lang w:bidi="he-IL"/>
        </w:rPr>
        <w:t xml:space="preserve"> the term </w:t>
      </w:r>
      <w:proofErr w:type="spellStart"/>
      <w:r w:rsidRPr="00D4590B">
        <w:rPr>
          <w:i/>
          <w:iCs/>
          <w:sz w:val="26"/>
          <w:szCs w:val="26"/>
          <w:lang w:bidi="he-IL"/>
        </w:rPr>
        <w:t>peshat</w:t>
      </w:r>
      <w:proofErr w:type="spellEnd"/>
      <w:r w:rsidRPr="00D4590B">
        <w:rPr>
          <w:sz w:val="26"/>
          <w:szCs w:val="26"/>
          <w:lang w:bidi="he-IL"/>
        </w:rPr>
        <w:t xml:space="preserve"> emerges as the dominant one in this work, this falls well short of suggesting that </w:t>
      </w:r>
      <w:proofErr w:type="spellStart"/>
      <w:r w:rsidRPr="00D4590B">
        <w:rPr>
          <w:sz w:val="26"/>
          <w:szCs w:val="26"/>
          <w:lang w:bidi="he-IL"/>
        </w:rPr>
        <w:t>Radak</w:t>
      </w:r>
      <w:proofErr w:type="spellEnd"/>
      <w:r w:rsidRPr="00D4590B">
        <w:rPr>
          <w:sz w:val="26"/>
          <w:szCs w:val="26"/>
          <w:lang w:bidi="he-IL"/>
        </w:rPr>
        <w:t xml:space="preserve"> is not its author—for an entirely reasonable explanation is readily at hand.</w:t>
      </w:r>
      <w:r w:rsidR="008515BC" w:rsidRPr="00D4590B">
        <w:rPr>
          <w:sz w:val="26"/>
          <w:szCs w:val="26"/>
          <w:lang w:bidi="he-IL"/>
        </w:rPr>
        <w:t xml:space="preserve"> </w:t>
      </w:r>
      <w:r w:rsidR="00ED6A29" w:rsidRPr="00D4590B">
        <w:rPr>
          <w:sz w:val="26"/>
          <w:szCs w:val="26"/>
          <w:lang w:bidi="he-IL"/>
        </w:rPr>
        <w:t>S</w:t>
      </w:r>
      <w:r w:rsidRPr="00D4590B">
        <w:rPr>
          <w:sz w:val="26"/>
          <w:szCs w:val="26"/>
          <w:lang w:bidi="he-IL"/>
        </w:rPr>
        <w:t xml:space="preserve">ince </w:t>
      </w:r>
      <w:r w:rsidR="00ED6A29" w:rsidRPr="00D4590B">
        <w:rPr>
          <w:sz w:val="26"/>
          <w:szCs w:val="26"/>
          <w:lang w:bidi="he-IL"/>
        </w:rPr>
        <w:t xml:space="preserve">the primary opposition that one finds </w:t>
      </w:r>
      <w:r w:rsidRPr="00D4590B">
        <w:rPr>
          <w:sz w:val="26"/>
          <w:szCs w:val="26"/>
          <w:lang w:bidi="he-IL"/>
        </w:rPr>
        <w:t xml:space="preserve">in </w:t>
      </w:r>
      <w:proofErr w:type="spellStart"/>
      <w:r w:rsidRPr="00D4590B">
        <w:rPr>
          <w:sz w:val="26"/>
          <w:szCs w:val="26"/>
          <w:lang w:bidi="he-IL"/>
        </w:rPr>
        <w:t>Radak’s</w:t>
      </w:r>
      <w:proofErr w:type="spellEnd"/>
      <w:r w:rsidRPr="00D4590B">
        <w:rPr>
          <w:sz w:val="26"/>
          <w:szCs w:val="26"/>
          <w:lang w:bidi="he-IL"/>
        </w:rPr>
        <w:t xml:space="preserve"> other commentaries is between the text’s simple meaning and its homiletic one, most often the term </w:t>
      </w:r>
      <w:proofErr w:type="spellStart"/>
      <w:r w:rsidRPr="00D4590B">
        <w:rPr>
          <w:i/>
          <w:iCs/>
          <w:sz w:val="26"/>
          <w:szCs w:val="26"/>
          <w:lang w:bidi="he-IL"/>
        </w:rPr>
        <w:t>peshat</w:t>
      </w:r>
      <w:proofErr w:type="spellEnd"/>
      <w:r w:rsidRPr="00D4590B">
        <w:rPr>
          <w:sz w:val="26"/>
          <w:szCs w:val="26"/>
          <w:lang w:bidi="he-IL"/>
        </w:rPr>
        <w:t xml:space="preserve"> stands in contrast to </w:t>
      </w:r>
      <w:r w:rsidRPr="00D4590B">
        <w:rPr>
          <w:i/>
          <w:iCs/>
          <w:sz w:val="26"/>
          <w:szCs w:val="26"/>
          <w:lang w:bidi="he-IL"/>
        </w:rPr>
        <w:t>derash</w:t>
      </w:r>
      <w:r w:rsidRPr="00D4590B">
        <w:rPr>
          <w:sz w:val="26"/>
          <w:szCs w:val="26"/>
          <w:lang w:bidi="he-IL"/>
        </w:rPr>
        <w:t xml:space="preserve">, and the alternative </w:t>
      </w:r>
      <w:proofErr w:type="spellStart"/>
      <w:r w:rsidR="00B67003" w:rsidRPr="00D4590B">
        <w:rPr>
          <w:i/>
          <w:iCs/>
          <w:sz w:val="26"/>
          <w:szCs w:val="26"/>
          <w:lang w:bidi="he-IL"/>
        </w:rPr>
        <w:t>ke-mashma‘</w:t>
      </w:r>
      <w:r w:rsidRPr="00D4590B">
        <w:rPr>
          <w:i/>
          <w:iCs/>
          <w:sz w:val="26"/>
          <w:szCs w:val="26"/>
          <w:lang w:bidi="he-IL"/>
        </w:rPr>
        <w:t>o</w:t>
      </w:r>
      <w:proofErr w:type="spellEnd"/>
      <w:r w:rsidRPr="00D4590B">
        <w:rPr>
          <w:sz w:val="26"/>
          <w:szCs w:val="26"/>
          <w:lang w:bidi="he-IL"/>
        </w:rPr>
        <w:t xml:space="preserve"> becomes the more common expression distinguishing literal meaning from </w:t>
      </w:r>
      <w:proofErr w:type="spellStart"/>
      <w:r w:rsidRPr="00D4590B">
        <w:rPr>
          <w:i/>
          <w:iCs/>
          <w:sz w:val="26"/>
          <w:szCs w:val="26"/>
          <w:lang w:bidi="he-IL"/>
        </w:rPr>
        <w:t>mashal</w:t>
      </w:r>
      <w:proofErr w:type="spellEnd"/>
      <w:r w:rsidR="00BA4906" w:rsidRPr="00D4590B">
        <w:rPr>
          <w:sz w:val="26"/>
          <w:szCs w:val="26"/>
          <w:lang w:bidi="he-IL"/>
        </w:rPr>
        <w:t>.</w:t>
      </w:r>
      <w:r w:rsidR="008515BC" w:rsidRPr="00D4590B">
        <w:rPr>
          <w:sz w:val="26"/>
          <w:szCs w:val="26"/>
          <w:lang w:bidi="he-IL"/>
        </w:rPr>
        <w:t xml:space="preserve"> </w:t>
      </w:r>
      <w:r w:rsidR="00BA4906" w:rsidRPr="00D4590B">
        <w:rPr>
          <w:sz w:val="26"/>
          <w:szCs w:val="26"/>
          <w:lang w:bidi="he-IL"/>
        </w:rPr>
        <w:t>I</w:t>
      </w:r>
      <w:r w:rsidRPr="00D4590B">
        <w:rPr>
          <w:sz w:val="26"/>
          <w:szCs w:val="26"/>
          <w:lang w:bidi="he-IL"/>
        </w:rPr>
        <w:t xml:space="preserve">n </w:t>
      </w:r>
      <w:r w:rsidR="00BA4906" w:rsidRPr="00D4590B">
        <w:rPr>
          <w:sz w:val="26"/>
          <w:szCs w:val="26"/>
          <w:lang w:bidi="he-IL"/>
        </w:rPr>
        <w:t xml:space="preserve">the case of </w:t>
      </w:r>
      <w:r w:rsidRPr="00D4590B">
        <w:rPr>
          <w:sz w:val="26"/>
          <w:szCs w:val="26"/>
          <w:lang w:bidi="he-IL"/>
        </w:rPr>
        <w:t xml:space="preserve">Proverbs, however, where the distinction between literal and figurative meaning takes center stage, </w:t>
      </w:r>
      <w:proofErr w:type="spellStart"/>
      <w:r w:rsidRPr="00D4590B">
        <w:rPr>
          <w:i/>
          <w:iCs/>
          <w:sz w:val="26"/>
          <w:szCs w:val="26"/>
          <w:lang w:bidi="he-IL"/>
        </w:rPr>
        <w:t>peshat</w:t>
      </w:r>
      <w:proofErr w:type="spellEnd"/>
      <w:r w:rsidRPr="00D4590B">
        <w:rPr>
          <w:sz w:val="26"/>
          <w:szCs w:val="26"/>
          <w:lang w:bidi="he-IL"/>
        </w:rPr>
        <w:t xml:space="preserve"> becomes </w:t>
      </w:r>
      <w:proofErr w:type="spellStart"/>
      <w:r w:rsidRPr="00D4590B">
        <w:rPr>
          <w:sz w:val="26"/>
          <w:szCs w:val="26"/>
          <w:lang w:bidi="he-IL"/>
        </w:rPr>
        <w:t>Radak’s</w:t>
      </w:r>
      <w:proofErr w:type="spellEnd"/>
      <w:r w:rsidRPr="00D4590B">
        <w:rPr>
          <w:sz w:val="26"/>
          <w:szCs w:val="26"/>
          <w:lang w:bidi="he-IL"/>
        </w:rPr>
        <w:t xml:space="preserve"> primary term </w:t>
      </w:r>
      <w:r w:rsidR="00ED6A29" w:rsidRPr="00D4590B">
        <w:rPr>
          <w:sz w:val="26"/>
          <w:szCs w:val="26"/>
          <w:lang w:bidi="he-IL"/>
        </w:rPr>
        <w:t xml:space="preserve">for </w:t>
      </w:r>
      <w:r w:rsidRPr="00D4590B">
        <w:rPr>
          <w:sz w:val="26"/>
          <w:szCs w:val="26"/>
          <w:lang w:bidi="he-IL"/>
        </w:rPr>
        <w:t>denoting non-figurative interpretation.</w:t>
      </w:r>
      <w:r w:rsidR="008515BC" w:rsidRPr="00D4590B">
        <w:rPr>
          <w:sz w:val="26"/>
          <w:szCs w:val="26"/>
          <w:lang w:bidi="he-IL"/>
        </w:rPr>
        <w:t xml:space="preserve"> </w:t>
      </w:r>
      <w:r w:rsidRPr="00D4590B">
        <w:rPr>
          <w:sz w:val="26"/>
          <w:szCs w:val="26"/>
          <w:lang w:bidi="he-IL"/>
        </w:rPr>
        <w:t xml:space="preserve">It is </w:t>
      </w:r>
      <w:r w:rsidR="00ED6A29" w:rsidRPr="00D4590B">
        <w:rPr>
          <w:sz w:val="26"/>
          <w:szCs w:val="26"/>
          <w:lang w:bidi="he-IL"/>
        </w:rPr>
        <w:t xml:space="preserve">not surprising </w:t>
      </w:r>
      <w:r w:rsidRPr="00D4590B">
        <w:rPr>
          <w:sz w:val="26"/>
          <w:szCs w:val="26"/>
          <w:lang w:bidi="he-IL"/>
        </w:rPr>
        <w:t xml:space="preserve">that in setting out to fill a need for a non-figurative commentary, </w:t>
      </w:r>
      <w:proofErr w:type="spellStart"/>
      <w:r w:rsidRPr="00D4590B">
        <w:rPr>
          <w:sz w:val="26"/>
          <w:szCs w:val="26"/>
          <w:lang w:bidi="he-IL"/>
        </w:rPr>
        <w:t>Radak</w:t>
      </w:r>
      <w:proofErr w:type="spellEnd"/>
      <w:r w:rsidRPr="00D4590B">
        <w:rPr>
          <w:sz w:val="26"/>
          <w:szCs w:val="26"/>
          <w:lang w:bidi="he-IL"/>
        </w:rPr>
        <w:t xml:space="preserve"> would tell us that he will explain the text according to</w:t>
      </w:r>
      <w:r w:rsidR="00ED6A29" w:rsidRPr="00D4590B">
        <w:rPr>
          <w:sz w:val="26"/>
          <w:szCs w:val="26"/>
          <w:lang w:bidi="he-IL"/>
        </w:rPr>
        <w:t xml:space="preserve"> </w:t>
      </w:r>
      <w:proofErr w:type="spellStart"/>
      <w:r w:rsidR="00ED6A29" w:rsidRPr="00D4590B">
        <w:rPr>
          <w:i/>
          <w:iCs/>
          <w:sz w:val="26"/>
          <w:szCs w:val="26"/>
          <w:lang w:bidi="he-IL"/>
        </w:rPr>
        <w:t>peshuto</w:t>
      </w:r>
      <w:proofErr w:type="spellEnd"/>
      <w:r w:rsidR="00ED6A29" w:rsidRPr="00D4590B">
        <w:rPr>
          <w:sz w:val="26"/>
          <w:szCs w:val="26"/>
          <w:lang w:bidi="he-IL"/>
        </w:rPr>
        <w:t xml:space="preserve"> (“its straightforward sense”)—a distinctly more forceful term than</w:t>
      </w:r>
      <w:r w:rsidRPr="00D4590B">
        <w:rPr>
          <w:sz w:val="26"/>
          <w:szCs w:val="26"/>
          <w:lang w:bidi="he-IL"/>
        </w:rPr>
        <w:t xml:space="preserve"> </w:t>
      </w:r>
      <w:proofErr w:type="spellStart"/>
      <w:r w:rsidR="00B67003" w:rsidRPr="00D4590B">
        <w:rPr>
          <w:i/>
          <w:iCs/>
          <w:sz w:val="26"/>
          <w:szCs w:val="26"/>
          <w:lang w:bidi="he-IL"/>
        </w:rPr>
        <w:t>mashma‘</w:t>
      </w:r>
      <w:r w:rsidRPr="00D4590B">
        <w:rPr>
          <w:i/>
          <w:iCs/>
          <w:sz w:val="26"/>
          <w:szCs w:val="26"/>
          <w:lang w:bidi="he-IL"/>
        </w:rPr>
        <w:t>o</w:t>
      </w:r>
      <w:proofErr w:type="spellEnd"/>
      <w:r w:rsidRPr="00D4590B">
        <w:rPr>
          <w:i/>
          <w:iCs/>
          <w:sz w:val="26"/>
          <w:szCs w:val="26"/>
          <w:lang w:bidi="he-IL"/>
        </w:rPr>
        <w:t xml:space="preserve"> </w:t>
      </w:r>
      <w:r w:rsidRPr="00D4590B">
        <w:rPr>
          <w:sz w:val="26"/>
          <w:szCs w:val="26"/>
          <w:lang w:bidi="he-IL"/>
        </w:rPr>
        <w:t>(“how it sounds”)</w:t>
      </w:r>
      <w:r w:rsidR="0050565F">
        <w:rPr>
          <w:sz w:val="26"/>
          <w:szCs w:val="26"/>
          <w:lang w:bidi="he-IL"/>
        </w:rPr>
        <w:t>—</w:t>
      </w:r>
      <w:r w:rsidRPr="00D4590B">
        <w:rPr>
          <w:sz w:val="26"/>
          <w:szCs w:val="26"/>
          <w:lang w:bidi="he-IL"/>
        </w:rPr>
        <w:t>and that he would carry through with this terminology throughout the work.</w:t>
      </w:r>
    </w:p>
    <w:p w:rsidR="00975572" w:rsidRPr="00D4590B" w:rsidRDefault="00E5182D" w:rsidP="00652B40">
      <w:pPr>
        <w:spacing w:line="300" w:lineRule="exact"/>
        <w:ind w:firstLine="284"/>
        <w:jc w:val="both"/>
        <w:rPr>
          <w:sz w:val="26"/>
          <w:szCs w:val="26"/>
          <w:lang w:bidi="he-IL"/>
        </w:rPr>
      </w:pPr>
      <w:r w:rsidRPr="00D4590B">
        <w:rPr>
          <w:sz w:val="26"/>
          <w:szCs w:val="26"/>
          <w:lang w:bidi="he-IL"/>
        </w:rPr>
        <w:t>Yet—</w:t>
      </w:r>
      <w:r w:rsidR="00975572" w:rsidRPr="00D4590B">
        <w:rPr>
          <w:sz w:val="26"/>
          <w:szCs w:val="26"/>
          <w:lang w:bidi="he-IL"/>
        </w:rPr>
        <w:t xml:space="preserve">what is it that prompts our commentator periodically to distinguish </w:t>
      </w:r>
      <w:proofErr w:type="spellStart"/>
      <w:r w:rsidR="00975572" w:rsidRPr="00D4590B">
        <w:rPr>
          <w:i/>
          <w:iCs/>
          <w:sz w:val="26"/>
          <w:szCs w:val="26"/>
          <w:lang w:bidi="he-IL"/>
        </w:rPr>
        <w:t>peshat</w:t>
      </w:r>
      <w:proofErr w:type="spellEnd"/>
      <w:r w:rsidR="00975572" w:rsidRPr="00D4590B">
        <w:rPr>
          <w:sz w:val="26"/>
          <w:szCs w:val="26"/>
          <w:lang w:bidi="he-IL"/>
        </w:rPr>
        <w:t xml:space="preserve"> from </w:t>
      </w:r>
      <w:proofErr w:type="spellStart"/>
      <w:r w:rsidR="00975572" w:rsidRPr="00D4590B">
        <w:rPr>
          <w:i/>
          <w:iCs/>
          <w:sz w:val="26"/>
          <w:szCs w:val="26"/>
          <w:lang w:bidi="he-IL"/>
        </w:rPr>
        <w:t>mashal</w:t>
      </w:r>
      <w:proofErr w:type="spellEnd"/>
      <w:r w:rsidR="00975572" w:rsidRPr="00D4590B">
        <w:rPr>
          <w:sz w:val="26"/>
          <w:szCs w:val="26"/>
          <w:lang w:bidi="he-IL"/>
        </w:rPr>
        <w:t>?</w:t>
      </w:r>
      <w:r w:rsidR="008515BC" w:rsidRPr="00D4590B">
        <w:rPr>
          <w:sz w:val="26"/>
          <w:szCs w:val="26"/>
          <w:lang w:bidi="he-IL"/>
        </w:rPr>
        <w:t xml:space="preserve"> </w:t>
      </w:r>
      <w:r w:rsidR="00975572" w:rsidRPr="00D4590B">
        <w:rPr>
          <w:sz w:val="26"/>
          <w:szCs w:val="26"/>
          <w:lang w:bidi="he-IL"/>
        </w:rPr>
        <w:t>Is not his sole objective, as he says, to provide literal interpretation?</w:t>
      </w:r>
      <w:r w:rsidR="008515BC" w:rsidRPr="00D4590B">
        <w:rPr>
          <w:sz w:val="26"/>
          <w:szCs w:val="26"/>
          <w:lang w:bidi="he-IL"/>
        </w:rPr>
        <w:t xml:space="preserve"> </w:t>
      </w:r>
      <w:r w:rsidR="00975572" w:rsidRPr="00D4590B">
        <w:rPr>
          <w:sz w:val="26"/>
          <w:szCs w:val="26"/>
          <w:lang w:bidi="he-IL"/>
        </w:rPr>
        <w:t xml:space="preserve">Why, for example, at </w:t>
      </w:r>
      <w:smartTag w:uri="urn:schemas-microsoft-com:office:smarttags" w:element="time">
        <w:smartTagPr>
          <w:attr w:name="Minute" w:val="11"/>
          <w:attr w:name="Hour" w:val="12"/>
        </w:smartTagPr>
        <w:r w:rsidR="00975572" w:rsidRPr="00D4590B">
          <w:rPr>
            <w:sz w:val="26"/>
            <w:szCs w:val="26"/>
            <w:lang w:bidi="he-IL"/>
          </w:rPr>
          <w:t>12:11</w:t>
        </w:r>
      </w:smartTag>
      <w:r w:rsidR="00975572" w:rsidRPr="00D4590B">
        <w:rPr>
          <w:sz w:val="26"/>
          <w:szCs w:val="26"/>
          <w:lang w:bidi="he-IL"/>
        </w:rPr>
        <w:t xml:space="preserve">, do we find a non-figurative interpretation standing alone and identified as </w:t>
      </w:r>
      <w:proofErr w:type="spellStart"/>
      <w:r w:rsidR="00975572" w:rsidRPr="00D4590B">
        <w:rPr>
          <w:i/>
          <w:iCs/>
          <w:sz w:val="26"/>
          <w:szCs w:val="26"/>
          <w:lang w:bidi="he-IL"/>
        </w:rPr>
        <w:t>peshat</w:t>
      </w:r>
      <w:proofErr w:type="spellEnd"/>
      <w:r w:rsidR="00975572" w:rsidRPr="00D4590B">
        <w:rPr>
          <w:sz w:val="26"/>
          <w:szCs w:val="26"/>
          <w:lang w:bidi="he-IL"/>
        </w:rPr>
        <w:t>, when, as Grunhaus observes, the point “of the whole commentary is to provide such non-figurative interpretations”?</w:t>
      </w:r>
      <w:r w:rsidR="00975572" w:rsidRPr="00D4590B">
        <w:rPr>
          <w:rStyle w:val="a4"/>
          <w:sz w:val="26"/>
          <w:szCs w:val="26"/>
          <w:lang w:bidi="he-IL"/>
        </w:rPr>
        <w:footnoteReference w:id="100"/>
      </w:r>
      <w:r w:rsidR="008515BC" w:rsidRPr="00D4590B">
        <w:rPr>
          <w:sz w:val="26"/>
          <w:szCs w:val="26"/>
          <w:lang w:bidi="he-IL"/>
        </w:rPr>
        <w:t xml:space="preserve"> </w:t>
      </w:r>
      <w:r w:rsidR="00975572" w:rsidRPr="00D4590B">
        <w:rPr>
          <w:sz w:val="26"/>
          <w:szCs w:val="26"/>
          <w:lang w:bidi="he-IL"/>
        </w:rPr>
        <w:t xml:space="preserve">And if, in that instance, the author does not even mention the alternative figurative interpretation provided by others, is not his identification of his own explanation as </w:t>
      </w:r>
      <w:proofErr w:type="spellStart"/>
      <w:r w:rsidR="00975572" w:rsidRPr="00D4590B">
        <w:rPr>
          <w:i/>
          <w:iCs/>
          <w:sz w:val="26"/>
          <w:szCs w:val="26"/>
          <w:lang w:bidi="he-IL"/>
        </w:rPr>
        <w:t>peshat</w:t>
      </w:r>
      <w:proofErr w:type="spellEnd"/>
      <w:r w:rsidR="00975572" w:rsidRPr="00D4590B">
        <w:rPr>
          <w:sz w:val="26"/>
          <w:szCs w:val="26"/>
          <w:lang w:bidi="he-IL"/>
        </w:rPr>
        <w:t xml:space="preserve"> especially superfluous—and, as Grunhaus implies, inconsistent with </w:t>
      </w:r>
      <w:proofErr w:type="spellStart"/>
      <w:r w:rsidR="00975572" w:rsidRPr="00D4590B">
        <w:rPr>
          <w:sz w:val="26"/>
          <w:szCs w:val="26"/>
          <w:lang w:bidi="he-IL"/>
        </w:rPr>
        <w:t>Radak’s</w:t>
      </w:r>
      <w:proofErr w:type="spellEnd"/>
      <w:r w:rsidR="00975572" w:rsidRPr="00D4590B">
        <w:rPr>
          <w:sz w:val="26"/>
          <w:szCs w:val="26"/>
          <w:lang w:bidi="he-IL"/>
        </w:rPr>
        <w:t xml:space="preserve"> usual practice when providing a freestanding interpretation?</w:t>
      </w:r>
    </w:p>
    <w:p w:rsidR="00975572" w:rsidRPr="00D4590B" w:rsidRDefault="00975572" w:rsidP="00EF45FA">
      <w:pPr>
        <w:spacing w:line="300" w:lineRule="exact"/>
        <w:ind w:firstLine="284"/>
        <w:jc w:val="both"/>
        <w:rPr>
          <w:sz w:val="26"/>
          <w:szCs w:val="26"/>
          <w:lang w:bidi="he-IL"/>
        </w:rPr>
      </w:pPr>
      <w:r w:rsidRPr="00D4590B">
        <w:rPr>
          <w:sz w:val="26"/>
          <w:szCs w:val="26"/>
          <w:lang w:bidi="he-IL"/>
        </w:rPr>
        <w:t>The answer to this problem is</w:t>
      </w:r>
      <w:r w:rsidR="0050565F">
        <w:rPr>
          <w:sz w:val="26"/>
          <w:szCs w:val="26"/>
          <w:lang w:bidi="he-IL"/>
        </w:rPr>
        <w:t>, I think,</w:t>
      </w:r>
      <w:r w:rsidRPr="00D4590B">
        <w:rPr>
          <w:sz w:val="26"/>
          <w:szCs w:val="26"/>
          <w:lang w:bidi="he-IL"/>
        </w:rPr>
        <w:t xml:space="preserve"> quite </w:t>
      </w:r>
      <w:r w:rsidR="0050565F">
        <w:rPr>
          <w:sz w:val="26"/>
          <w:szCs w:val="26"/>
          <w:lang w:bidi="he-IL"/>
        </w:rPr>
        <w:t>straightforward</w:t>
      </w:r>
      <w:r w:rsidRPr="00D4590B">
        <w:rPr>
          <w:sz w:val="26"/>
          <w:szCs w:val="26"/>
          <w:lang w:bidi="he-IL"/>
        </w:rPr>
        <w:t xml:space="preserve">, and indeed essential to appreciating how and when the author speaks of </w:t>
      </w:r>
      <w:proofErr w:type="spellStart"/>
      <w:r w:rsidRPr="00D4590B">
        <w:rPr>
          <w:i/>
          <w:iCs/>
          <w:sz w:val="26"/>
          <w:szCs w:val="26"/>
          <w:lang w:bidi="he-IL"/>
        </w:rPr>
        <w:t>peshat</w:t>
      </w:r>
      <w:proofErr w:type="spellEnd"/>
      <w:r w:rsidRPr="00D4590B">
        <w:rPr>
          <w:sz w:val="26"/>
          <w:szCs w:val="26"/>
          <w:lang w:bidi="he-IL"/>
        </w:rPr>
        <w:t>.</w:t>
      </w:r>
      <w:r w:rsidR="008515BC" w:rsidRPr="00D4590B">
        <w:rPr>
          <w:sz w:val="26"/>
          <w:szCs w:val="26"/>
          <w:lang w:bidi="he-IL"/>
        </w:rPr>
        <w:t xml:space="preserve"> </w:t>
      </w:r>
      <w:r w:rsidRPr="00D4590B">
        <w:rPr>
          <w:sz w:val="26"/>
          <w:szCs w:val="26"/>
          <w:lang w:bidi="he-IL"/>
        </w:rPr>
        <w:t>As he indicates in the introduction, our commentator resists the sort of sweeping figurative approach that entails, for example, understanding the oft-mentioned seductive woman as a metaphor for idol worship.</w:t>
      </w:r>
      <w:r w:rsidR="008515BC" w:rsidRPr="00D4590B">
        <w:rPr>
          <w:sz w:val="26"/>
          <w:szCs w:val="26"/>
          <w:lang w:bidi="he-IL"/>
        </w:rPr>
        <w:t xml:space="preserve"> </w:t>
      </w:r>
      <w:r w:rsidRPr="00D4590B">
        <w:rPr>
          <w:sz w:val="26"/>
          <w:szCs w:val="26"/>
          <w:lang w:bidi="he-IL"/>
        </w:rPr>
        <w:t>On the other hand</w:t>
      </w:r>
      <w:r w:rsidR="00B53032" w:rsidRPr="00D4590B">
        <w:rPr>
          <w:sz w:val="26"/>
          <w:szCs w:val="26"/>
          <w:lang w:bidi="he-IL"/>
        </w:rPr>
        <w:t>,</w:t>
      </w:r>
      <w:r w:rsidRPr="00D4590B">
        <w:rPr>
          <w:sz w:val="26"/>
          <w:szCs w:val="26"/>
          <w:lang w:bidi="he-IL"/>
        </w:rPr>
        <w:t xml:space="preserve"> many individual phrases </w:t>
      </w:r>
      <w:r w:rsidR="00B53032" w:rsidRPr="00D4590B">
        <w:rPr>
          <w:sz w:val="26"/>
          <w:szCs w:val="26"/>
          <w:lang w:bidi="he-IL"/>
        </w:rPr>
        <w:t xml:space="preserve">appear in the book </w:t>
      </w:r>
      <w:r w:rsidRPr="00D4590B">
        <w:rPr>
          <w:sz w:val="26"/>
          <w:szCs w:val="26"/>
          <w:lang w:bidi="he-IL"/>
        </w:rPr>
        <w:t>that plainly do not allow for non-figurative interpretation.</w:t>
      </w:r>
      <w:r w:rsidR="008515BC" w:rsidRPr="00D4590B">
        <w:rPr>
          <w:sz w:val="26"/>
          <w:szCs w:val="26"/>
          <w:lang w:bidi="he-IL"/>
        </w:rPr>
        <w:t xml:space="preserve"> </w:t>
      </w:r>
      <w:r w:rsidRPr="00D4590B">
        <w:rPr>
          <w:sz w:val="26"/>
          <w:szCs w:val="26"/>
          <w:lang w:bidi="he-IL"/>
        </w:rPr>
        <w:t xml:space="preserve">Thus, if in 1:9 we read that admonishment and instruction are “a necklace around your throat,” our commentator can only offer that this is a </w:t>
      </w:r>
      <w:proofErr w:type="spellStart"/>
      <w:r w:rsidRPr="00D4590B">
        <w:rPr>
          <w:i/>
          <w:iCs/>
          <w:sz w:val="26"/>
          <w:szCs w:val="26"/>
          <w:lang w:bidi="he-IL"/>
        </w:rPr>
        <w:t>mashal</w:t>
      </w:r>
      <w:proofErr w:type="spellEnd"/>
      <w:r w:rsidRPr="00D4590B">
        <w:rPr>
          <w:sz w:val="26"/>
          <w:szCs w:val="26"/>
          <w:lang w:bidi="he-IL"/>
        </w:rPr>
        <w:t xml:space="preserve"> suggesting that any wisdom one acquires becomes a source of pride and grandeur.</w:t>
      </w:r>
    </w:p>
    <w:p w:rsidR="00975572" w:rsidRPr="00D4590B" w:rsidRDefault="00975572" w:rsidP="00652B40">
      <w:pPr>
        <w:spacing w:line="300" w:lineRule="exact"/>
        <w:ind w:firstLine="284"/>
        <w:jc w:val="both"/>
        <w:rPr>
          <w:sz w:val="26"/>
          <w:szCs w:val="26"/>
          <w:lang w:bidi="he-IL"/>
        </w:rPr>
      </w:pPr>
      <w:r w:rsidRPr="00D4590B">
        <w:rPr>
          <w:sz w:val="26"/>
          <w:szCs w:val="26"/>
          <w:lang w:bidi="he-IL"/>
        </w:rPr>
        <w:t xml:space="preserve">Significantly, however, in a number of borderline cases, it is not obvious </w:t>
      </w:r>
      <w:r w:rsidR="006D61A0" w:rsidRPr="00D4590B">
        <w:rPr>
          <w:sz w:val="26"/>
          <w:szCs w:val="26"/>
          <w:lang w:bidi="he-IL"/>
        </w:rPr>
        <w:t>whether</w:t>
      </w:r>
      <w:r w:rsidRPr="00D4590B">
        <w:rPr>
          <w:sz w:val="26"/>
          <w:szCs w:val="26"/>
          <w:lang w:bidi="he-IL"/>
        </w:rPr>
        <w:t xml:space="preserve"> a figurative reading can be avoided.</w:t>
      </w:r>
      <w:r w:rsidR="008515BC" w:rsidRPr="00D4590B">
        <w:rPr>
          <w:sz w:val="26"/>
          <w:szCs w:val="26"/>
          <w:lang w:bidi="he-IL"/>
        </w:rPr>
        <w:t xml:space="preserve"> </w:t>
      </w:r>
      <w:r w:rsidRPr="00D4590B">
        <w:rPr>
          <w:sz w:val="26"/>
          <w:szCs w:val="26"/>
          <w:lang w:bidi="he-IL"/>
        </w:rPr>
        <w:t>Accordingly, the author of the commentary might provide different options, or simply insist that the correct explanation in fact follows the literal meaning.</w:t>
      </w:r>
      <w:r w:rsidR="008515BC" w:rsidRPr="00D4590B">
        <w:rPr>
          <w:sz w:val="26"/>
          <w:szCs w:val="26"/>
          <w:lang w:bidi="he-IL"/>
        </w:rPr>
        <w:t xml:space="preserve"> </w:t>
      </w:r>
      <w:r w:rsidRPr="00D4590B">
        <w:rPr>
          <w:sz w:val="26"/>
          <w:szCs w:val="26"/>
          <w:lang w:bidi="he-IL"/>
        </w:rPr>
        <w:t xml:space="preserve">It is in such cases where he will employ the term </w:t>
      </w:r>
      <w:proofErr w:type="spellStart"/>
      <w:r w:rsidRPr="00D4590B">
        <w:rPr>
          <w:i/>
          <w:iCs/>
          <w:sz w:val="26"/>
          <w:szCs w:val="26"/>
          <w:lang w:bidi="he-IL"/>
        </w:rPr>
        <w:t>peshat</w:t>
      </w:r>
      <w:proofErr w:type="spellEnd"/>
      <w:r w:rsidRPr="00D4590B">
        <w:rPr>
          <w:sz w:val="26"/>
          <w:szCs w:val="26"/>
          <w:lang w:bidi="he-IL"/>
        </w:rPr>
        <w:t xml:space="preserve">, using expressions like </w:t>
      </w:r>
      <w:r w:rsidRPr="00D4590B">
        <w:rPr>
          <w:rFonts w:hint="cs"/>
          <w:sz w:val="26"/>
          <w:szCs w:val="26"/>
          <w:rtl/>
          <w:lang w:bidi="he-IL"/>
        </w:rPr>
        <w:t>פירושו כפשוטו</w:t>
      </w:r>
      <w:r w:rsidRPr="00D4590B">
        <w:rPr>
          <w:sz w:val="26"/>
          <w:szCs w:val="26"/>
          <w:lang w:bidi="he-IL"/>
        </w:rPr>
        <w:t xml:space="preserve"> (“the explanation follows the </w:t>
      </w:r>
      <w:proofErr w:type="spellStart"/>
      <w:r w:rsidRPr="00D4590B">
        <w:rPr>
          <w:i/>
          <w:iCs/>
          <w:sz w:val="26"/>
          <w:szCs w:val="26"/>
          <w:lang w:bidi="he-IL"/>
        </w:rPr>
        <w:t>peshat</w:t>
      </w:r>
      <w:proofErr w:type="spellEnd"/>
      <w:r w:rsidRPr="00D4590B">
        <w:rPr>
          <w:sz w:val="26"/>
          <w:szCs w:val="26"/>
          <w:lang w:bidi="he-IL"/>
        </w:rPr>
        <w:t xml:space="preserve">”; </w:t>
      </w:r>
      <w:smartTag w:uri="urn:schemas-microsoft-com:office:smarttags" w:element="time">
        <w:smartTagPr>
          <w:attr w:name="Minute" w:val="11"/>
          <w:attr w:name="Hour" w:val="12"/>
        </w:smartTagPr>
        <w:r w:rsidRPr="00D4590B">
          <w:rPr>
            <w:sz w:val="26"/>
            <w:szCs w:val="26"/>
            <w:lang w:bidi="he-IL"/>
          </w:rPr>
          <w:t>12:11</w:t>
        </w:r>
      </w:smartTag>
      <w:r w:rsidRPr="00D4590B">
        <w:rPr>
          <w:sz w:val="26"/>
          <w:szCs w:val="26"/>
          <w:lang w:bidi="he-IL"/>
        </w:rPr>
        <w:t>) and</w:t>
      </w:r>
      <w:r w:rsidR="0050565F">
        <w:rPr>
          <w:sz w:val="26"/>
          <w:szCs w:val="26"/>
          <w:lang w:bidi="he-IL"/>
        </w:rPr>
        <w:t xml:space="preserve"> </w:t>
      </w:r>
      <w:r w:rsidRPr="00D4590B">
        <w:rPr>
          <w:rFonts w:hint="cs"/>
          <w:sz w:val="26"/>
          <w:szCs w:val="26"/>
          <w:rtl/>
          <w:lang w:bidi="he-IL"/>
        </w:rPr>
        <w:t>והראשון נכון לפי פשוטו</w:t>
      </w:r>
      <w:r w:rsidRPr="00D4590B">
        <w:rPr>
          <w:sz w:val="26"/>
          <w:szCs w:val="26"/>
          <w:lang w:bidi="he-IL"/>
        </w:rPr>
        <w:t xml:space="preserve"> (“the first one is correct according to the </w:t>
      </w:r>
      <w:proofErr w:type="spellStart"/>
      <w:r w:rsidRPr="00D4590B">
        <w:rPr>
          <w:i/>
          <w:iCs/>
          <w:sz w:val="26"/>
          <w:szCs w:val="26"/>
          <w:lang w:bidi="he-IL"/>
        </w:rPr>
        <w:t>peshat</w:t>
      </w:r>
      <w:proofErr w:type="spellEnd"/>
      <w:r w:rsidRPr="00D4590B">
        <w:rPr>
          <w:sz w:val="26"/>
          <w:szCs w:val="26"/>
          <w:lang w:bidi="he-IL"/>
        </w:rPr>
        <w:t xml:space="preserve">”; </w:t>
      </w:r>
      <w:smartTag w:uri="urn:schemas-microsoft-com:office:smarttags" w:element="time">
        <w:smartTagPr>
          <w:attr w:name="Minute" w:val="30"/>
          <w:attr w:name="Hour" w:val="15"/>
        </w:smartTagPr>
        <w:r w:rsidRPr="00D4590B">
          <w:rPr>
            <w:sz w:val="26"/>
            <w:szCs w:val="26"/>
            <w:lang w:bidi="he-IL"/>
          </w:rPr>
          <w:t>15:30</w:t>
        </w:r>
      </w:smartTag>
      <w:r w:rsidRPr="00D4590B">
        <w:rPr>
          <w:sz w:val="26"/>
          <w:szCs w:val="26"/>
          <w:lang w:bidi="he-IL"/>
        </w:rPr>
        <w:t>).</w:t>
      </w:r>
      <w:r w:rsidR="008515BC" w:rsidRPr="00D4590B">
        <w:rPr>
          <w:sz w:val="26"/>
          <w:szCs w:val="26"/>
          <w:lang w:bidi="he-IL"/>
        </w:rPr>
        <w:t xml:space="preserve"> </w:t>
      </w:r>
      <w:r w:rsidRPr="00D4590B">
        <w:rPr>
          <w:sz w:val="26"/>
          <w:szCs w:val="26"/>
          <w:lang w:bidi="he-IL"/>
        </w:rPr>
        <w:t xml:space="preserve">Indeed, it is clear that both expressions are meant to exclude figurative alternatives that </w:t>
      </w:r>
      <w:proofErr w:type="spellStart"/>
      <w:r w:rsidRPr="00D4590B">
        <w:rPr>
          <w:sz w:val="26"/>
          <w:szCs w:val="26"/>
          <w:lang w:bidi="he-IL"/>
        </w:rPr>
        <w:t>Rashi</w:t>
      </w:r>
      <w:proofErr w:type="spellEnd"/>
      <w:r w:rsidRPr="00D4590B">
        <w:rPr>
          <w:sz w:val="26"/>
          <w:szCs w:val="26"/>
          <w:lang w:bidi="he-IL"/>
        </w:rPr>
        <w:t xml:space="preserve"> chose to incorporate</w:t>
      </w:r>
      <w:r w:rsidR="00D16516" w:rsidRPr="00D4590B">
        <w:rPr>
          <w:sz w:val="26"/>
          <w:szCs w:val="26"/>
          <w:lang w:bidi="he-IL"/>
        </w:rPr>
        <w:t xml:space="preserve"> in accordance with his own two-layered approach to the text of Proverbs</w:t>
      </w:r>
      <w:r w:rsidRPr="00D4590B">
        <w:rPr>
          <w:sz w:val="26"/>
          <w:szCs w:val="26"/>
          <w:lang w:bidi="he-IL"/>
        </w:rPr>
        <w:t>.</w:t>
      </w:r>
      <w:r w:rsidRPr="00D4590B">
        <w:rPr>
          <w:rStyle w:val="a4"/>
          <w:sz w:val="26"/>
          <w:szCs w:val="26"/>
          <w:lang w:bidi="he-IL"/>
        </w:rPr>
        <w:footnoteReference w:id="101"/>
      </w:r>
      <w:r w:rsidR="008515BC" w:rsidRPr="00D4590B">
        <w:rPr>
          <w:sz w:val="26"/>
          <w:szCs w:val="26"/>
          <w:lang w:bidi="he-IL"/>
        </w:rPr>
        <w:t xml:space="preserve"> </w:t>
      </w:r>
      <w:r w:rsidR="00B53032" w:rsidRPr="00D4590B">
        <w:rPr>
          <w:sz w:val="26"/>
          <w:szCs w:val="26"/>
          <w:lang w:bidi="he-IL"/>
        </w:rPr>
        <w:t>M</w:t>
      </w:r>
      <w:r w:rsidRPr="00D4590B">
        <w:rPr>
          <w:sz w:val="26"/>
          <w:szCs w:val="26"/>
          <w:lang w:bidi="he-IL"/>
        </w:rPr>
        <w:t xml:space="preserve">ost important for us, this feature of the commentary, thus properly understood, presents little challenge to the attribution of the work to </w:t>
      </w:r>
      <w:proofErr w:type="spellStart"/>
      <w:r w:rsidRPr="00D4590B">
        <w:rPr>
          <w:sz w:val="26"/>
          <w:szCs w:val="26"/>
          <w:lang w:bidi="he-IL"/>
        </w:rPr>
        <w:t>Radak</w:t>
      </w:r>
      <w:proofErr w:type="spellEnd"/>
      <w:r w:rsidRPr="00D4590B">
        <w:rPr>
          <w:sz w:val="26"/>
          <w:szCs w:val="26"/>
          <w:lang w:bidi="he-IL"/>
        </w:rPr>
        <w:t>.</w:t>
      </w:r>
      <w:r w:rsidR="008515BC" w:rsidRPr="00D4590B">
        <w:rPr>
          <w:sz w:val="26"/>
          <w:szCs w:val="26"/>
          <w:lang w:bidi="he-IL"/>
        </w:rPr>
        <w:t xml:space="preserve"> </w:t>
      </w:r>
      <w:r w:rsidR="00B53032" w:rsidRPr="00D4590B">
        <w:rPr>
          <w:sz w:val="26"/>
          <w:szCs w:val="26"/>
          <w:lang w:bidi="he-IL"/>
        </w:rPr>
        <w:t>In</w:t>
      </w:r>
      <w:r w:rsidRPr="00D4590B">
        <w:rPr>
          <w:sz w:val="26"/>
          <w:szCs w:val="26"/>
          <w:lang w:bidi="he-IL"/>
        </w:rPr>
        <w:t xml:space="preserve"> genera</w:t>
      </w:r>
      <w:r w:rsidR="00481DD5" w:rsidRPr="00D4590B">
        <w:rPr>
          <w:sz w:val="26"/>
          <w:szCs w:val="26"/>
          <w:lang w:bidi="he-IL"/>
        </w:rPr>
        <w:t xml:space="preserve">l, </w:t>
      </w:r>
      <w:proofErr w:type="spellStart"/>
      <w:r w:rsidRPr="00D4590B">
        <w:rPr>
          <w:sz w:val="26"/>
          <w:szCs w:val="26"/>
          <w:lang w:bidi="he-IL"/>
        </w:rPr>
        <w:t>Radak</w:t>
      </w:r>
      <w:proofErr w:type="spellEnd"/>
      <w:r w:rsidRPr="00D4590B">
        <w:rPr>
          <w:sz w:val="26"/>
          <w:szCs w:val="26"/>
          <w:lang w:bidi="he-IL"/>
        </w:rPr>
        <w:t xml:space="preserve"> saw no need to indicate explicitly that he is following the method of </w:t>
      </w:r>
      <w:proofErr w:type="spellStart"/>
      <w:r w:rsidRPr="00D4590B">
        <w:rPr>
          <w:i/>
          <w:iCs/>
          <w:sz w:val="26"/>
          <w:szCs w:val="26"/>
          <w:lang w:bidi="he-IL"/>
        </w:rPr>
        <w:t>peshat</w:t>
      </w:r>
      <w:proofErr w:type="spellEnd"/>
      <w:r w:rsidRPr="00D4590B">
        <w:rPr>
          <w:sz w:val="26"/>
          <w:szCs w:val="26"/>
          <w:lang w:bidi="he-IL"/>
        </w:rPr>
        <w:t xml:space="preserve"> rather than of </w:t>
      </w:r>
      <w:r w:rsidRPr="00D4590B">
        <w:rPr>
          <w:i/>
          <w:iCs/>
          <w:sz w:val="26"/>
          <w:szCs w:val="26"/>
          <w:lang w:bidi="he-IL"/>
        </w:rPr>
        <w:t>derash</w:t>
      </w:r>
      <w:r w:rsidR="00B53032" w:rsidRPr="00D4590B">
        <w:rPr>
          <w:i/>
          <w:iCs/>
          <w:sz w:val="26"/>
          <w:szCs w:val="26"/>
          <w:lang w:bidi="he-IL"/>
        </w:rPr>
        <w:t xml:space="preserve"> </w:t>
      </w:r>
      <w:r w:rsidR="00B53032" w:rsidRPr="00D4590B">
        <w:rPr>
          <w:sz w:val="26"/>
          <w:szCs w:val="26"/>
          <w:lang w:bidi="he-IL"/>
        </w:rPr>
        <w:t xml:space="preserve">when presenting just one explanation of a verse. </w:t>
      </w:r>
      <w:r w:rsidR="00842B7F" w:rsidRPr="00D4590B">
        <w:rPr>
          <w:sz w:val="26"/>
          <w:szCs w:val="26"/>
          <w:lang w:bidi="he-IL"/>
        </w:rPr>
        <w:t>But since</w:t>
      </w:r>
      <w:r w:rsidR="00B53032" w:rsidRPr="00D4590B">
        <w:rPr>
          <w:sz w:val="26"/>
          <w:szCs w:val="26"/>
          <w:lang w:bidi="he-IL"/>
        </w:rPr>
        <w:t xml:space="preserve"> Proverbs is a book laden with figurative language</w:t>
      </w:r>
      <w:r w:rsidR="00BE1344" w:rsidRPr="00D4590B">
        <w:rPr>
          <w:sz w:val="26"/>
          <w:szCs w:val="26"/>
          <w:lang w:bidi="he-IL"/>
        </w:rPr>
        <w:t>,</w:t>
      </w:r>
      <w:r w:rsidR="00B53032" w:rsidRPr="00D4590B">
        <w:rPr>
          <w:sz w:val="26"/>
          <w:szCs w:val="26"/>
          <w:lang w:bidi="he-IL"/>
        </w:rPr>
        <w:t xml:space="preserve"> </w:t>
      </w:r>
      <w:r w:rsidRPr="00D4590B">
        <w:rPr>
          <w:sz w:val="26"/>
          <w:szCs w:val="26"/>
          <w:lang w:bidi="he-IL"/>
        </w:rPr>
        <w:t xml:space="preserve">it is hardly remarkable that in </w:t>
      </w:r>
      <w:proofErr w:type="spellStart"/>
      <w:r w:rsidR="00BE1344" w:rsidRPr="00D4590B">
        <w:rPr>
          <w:sz w:val="26"/>
          <w:szCs w:val="26"/>
          <w:lang w:bidi="he-IL"/>
        </w:rPr>
        <w:t>Radak’s</w:t>
      </w:r>
      <w:proofErr w:type="spellEnd"/>
      <w:r w:rsidR="00B53032" w:rsidRPr="00D4590B">
        <w:rPr>
          <w:sz w:val="26"/>
          <w:szCs w:val="26"/>
          <w:lang w:bidi="he-IL"/>
        </w:rPr>
        <w:t xml:space="preserve"> </w:t>
      </w:r>
      <w:r w:rsidR="00EB0777">
        <w:rPr>
          <w:sz w:val="26"/>
          <w:szCs w:val="26"/>
          <w:lang w:bidi="he-IL"/>
        </w:rPr>
        <w:t>commentary on</w:t>
      </w:r>
      <w:r w:rsidRPr="00D4590B">
        <w:rPr>
          <w:sz w:val="26"/>
          <w:szCs w:val="26"/>
          <w:lang w:bidi="he-IL"/>
        </w:rPr>
        <w:t xml:space="preserve"> </w:t>
      </w:r>
      <w:r w:rsidR="00BE1344" w:rsidRPr="00D4590B">
        <w:rPr>
          <w:sz w:val="26"/>
          <w:szCs w:val="26"/>
          <w:lang w:bidi="he-IL"/>
        </w:rPr>
        <w:t xml:space="preserve">it, </w:t>
      </w:r>
      <w:r w:rsidRPr="00D4590B">
        <w:rPr>
          <w:sz w:val="26"/>
          <w:szCs w:val="26"/>
          <w:lang w:bidi="he-IL"/>
        </w:rPr>
        <w:t xml:space="preserve">where he tried valiantly to limit the scope of metaphoric interpretation, </w:t>
      </w:r>
      <w:r w:rsidR="00BE1344" w:rsidRPr="00D4590B">
        <w:rPr>
          <w:sz w:val="26"/>
          <w:szCs w:val="26"/>
          <w:lang w:bidi="he-IL"/>
        </w:rPr>
        <w:t xml:space="preserve">he </w:t>
      </w:r>
      <w:r w:rsidRPr="00D4590B">
        <w:rPr>
          <w:sz w:val="26"/>
          <w:szCs w:val="26"/>
          <w:lang w:bidi="he-IL"/>
        </w:rPr>
        <w:t xml:space="preserve">would make explicit mention of his preference for the literal meaning—that is, the </w:t>
      </w:r>
      <w:proofErr w:type="spellStart"/>
      <w:r w:rsidRPr="00D4590B">
        <w:rPr>
          <w:i/>
          <w:iCs/>
          <w:sz w:val="26"/>
          <w:szCs w:val="26"/>
          <w:lang w:bidi="he-IL"/>
        </w:rPr>
        <w:t>peshat</w:t>
      </w:r>
      <w:proofErr w:type="spellEnd"/>
      <w:r w:rsidRPr="00D4590B">
        <w:rPr>
          <w:sz w:val="26"/>
          <w:szCs w:val="26"/>
          <w:lang w:bidi="he-IL"/>
        </w:rPr>
        <w:t>—precisely when confronting these kinds of ambiguous cases.</w:t>
      </w:r>
    </w:p>
    <w:p w:rsidR="00E663C7" w:rsidRDefault="00E663C7" w:rsidP="00D4590B">
      <w:pPr>
        <w:spacing w:line="300" w:lineRule="exact"/>
        <w:jc w:val="both"/>
        <w:rPr>
          <w:rFonts w:hint="cs"/>
          <w:i/>
          <w:iCs/>
          <w:sz w:val="26"/>
          <w:szCs w:val="26"/>
          <w:rtl/>
          <w:lang w:bidi="he-IL"/>
        </w:rPr>
      </w:pPr>
    </w:p>
    <w:p w:rsidR="00975572" w:rsidRPr="00D4590B" w:rsidRDefault="00975572" w:rsidP="00D4590B">
      <w:pPr>
        <w:spacing w:line="300" w:lineRule="exact"/>
        <w:jc w:val="both"/>
        <w:rPr>
          <w:sz w:val="26"/>
          <w:szCs w:val="26"/>
          <w:lang w:bidi="he-IL"/>
        </w:rPr>
      </w:pPr>
      <w:r w:rsidRPr="00D4590B">
        <w:rPr>
          <w:i/>
          <w:iCs/>
          <w:sz w:val="26"/>
          <w:szCs w:val="26"/>
          <w:lang w:bidi="he-IL"/>
        </w:rPr>
        <w:t xml:space="preserve">Inadequate Acknowledgment of </w:t>
      </w:r>
      <w:proofErr w:type="spellStart"/>
      <w:r w:rsidRPr="00D4590B">
        <w:rPr>
          <w:i/>
          <w:iCs/>
          <w:sz w:val="26"/>
          <w:szCs w:val="26"/>
          <w:lang w:bidi="he-IL"/>
        </w:rPr>
        <w:t>Radak’s</w:t>
      </w:r>
      <w:proofErr w:type="spellEnd"/>
      <w:r w:rsidRPr="00D4590B">
        <w:rPr>
          <w:i/>
          <w:iCs/>
          <w:sz w:val="26"/>
          <w:szCs w:val="26"/>
          <w:lang w:bidi="he-IL"/>
        </w:rPr>
        <w:t xml:space="preserve"> Father and Brother</w:t>
      </w:r>
    </w:p>
    <w:p w:rsidR="00975572" w:rsidRPr="00D4590B" w:rsidRDefault="00975572" w:rsidP="00D4590B">
      <w:pPr>
        <w:spacing w:line="300" w:lineRule="exact"/>
        <w:jc w:val="both"/>
        <w:rPr>
          <w:sz w:val="26"/>
          <w:szCs w:val="26"/>
          <w:lang w:bidi="he-IL"/>
        </w:rPr>
      </w:pPr>
      <w:r w:rsidRPr="00D4590B">
        <w:rPr>
          <w:sz w:val="26"/>
          <w:szCs w:val="26"/>
          <w:lang w:bidi="he-IL"/>
        </w:rPr>
        <w:t xml:space="preserve">As one would expect if </w:t>
      </w:r>
      <w:proofErr w:type="spellStart"/>
      <w:r w:rsidRPr="00D4590B">
        <w:rPr>
          <w:sz w:val="26"/>
          <w:szCs w:val="26"/>
          <w:lang w:bidi="he-IL"/>
        </w:rPr>
        <w:t>Radak</w:t>
      </w:r>
      <w:proofErr w:type="spellEnd"/>
      <w:r w:rsidRPr="00D4590B">
        <w:rPr>
          <w:sz w:val="26"/>
          <w:szCs w:val="26"/>
          <w:lang w:bidi="he-IL"/>
        </w:rPr>
        <w:t xml:space="preserve"> authored the commentary, the works on Proverbs of R. Joseph and R. Moses </w:t>
      </w:r>
      <w:proofErr w:type="spellStart"/>
      <w:r w:rsidRPr="00D4590B">
        <w:rPr>
          <w:sz w:val="26"/>
          <w:szCs w:val="26"/>
          <w:lang w:bidi="he-IL"/>
        </w:rPr>
        <w:t>Kimh</w:t>
      </w:r>
      <w:r w:rsidRPr="00D4590B">
        <w:rPr>
          <w:sz w:val="26"/>
          <w:szCs w:val="26"/>
          <w:lang w:bidi="he-IL"/>
        </w:rPr>
        <w:t>i</w:t>
      </w:r>
      <w:proofErr w:type="spellEnd"/>
      <w:r w:rsidRPr="00D4590B">
        <w:rPr>
          <w:sz w:val="26"/>
          <w:szCs w:val="26"/>
          <w:lang w:bidi="he-IL"/>
        </w:rPr>
        <w:t xml:space="preserve">, </w:t>
      </w:r>
      <w:proofErr w:type="spellStart"/>
      <w:r w:rsidRPr="00D4590B">
        <w:rPr>
          <w:sz w:val="26"/>
          <w:szCs w:val="26"/>
          <w:lang w:bidi="he-IL"/>
        </w:rPr>
        <w:t>Radak’s</w:t>
      </w:r>
      <w:proofErr w:type="spellEnd"/>
      <w:r w:rsidRPr="00D4590B">
        <w:rPr>
          <w:sz w:val="26"/>
          <w:szCs w:val="26"/>
          <w:lang w:bidi="he-IL"/>
        </w:rPr>
        <w:t xml:space="preserve"> father and brother, appear to have influenced it considerably.</w:t>
      </w:r>
      <w:r w:rsidRPr="00D4590B">
        <w:rPr>
          <w:rStyle w:val="a4"/>
          <w:sz w:val="26"/>
          <w:szCs w:val="26"/>
          <w:lang w:bidi="he-IL"/>
        </w:rPr>
        <w:footnoteReference w:id="102"/>
      </w:r>
      <w:r w:rsidR="008515BC" w:rsidRPr="00D4590B">
        <w:rPr>
          <w:sz w:val="26"/>
          <w:szCs w:val="26"/>
          <w:lang w:bidi="he-IL"/>
        </w:rPr>
        <w:t xml:space="preserve"> </w:t>
      </w:r>
      <w:r w:rsidRPr="00D4590B">
        <w:rPr>
          <w:sz w:val="26"/>
          <w:szCs w:val="26"/>
          <w:lang w:bidi="he-IL"/>
        </w:rPr>
        <w:t xml:space="preserve">Nevertheless, Grunhaus raises two problems: the author’s failure (1) to cite R. Joseph (and to a lesser extent R. Moses) explicitly as </w:t>
      </w:r>
      <w:proofErr w:type="spellStart"/>
      <w:r w:rsidRPr="00D4590B">
        <w:rPr>
          <w:sz w:val="26"/>
          <w:szCs w:val="26"/>
          <w:lang w:bidi="he-IL"/>
        </w:rPr>
        <w:t>Radak</w:t>
      </w:r>
      <w:proofErr w:type="spellEnd"/>
      <w:r w:rsidRPr="00D4590B">
        <w:rPr>
          <w:sz w:val="26"/>
          <w:szCs w:val="26"/>
          <w:lang w:bidi="he-IL"/>
        </w:rPr>
        <w:t xml:space="preserve"> does elsewhere, and (2) to discuss the contributions of the earlier </w:t>
      </w:r>
      <w:proofErr w:type="spellStart"/>
      <w:r w:rsidRPr="00D4590B">
        <w:rPr>
          <w:sz w:val="26"/>
          <w:szCs w:val="26"/>
          <w:lang w:bidi="he-IL"/>
        </w:rPr>
        <w:t>Kimh</w:t>
      </w:r>
      <w:r w:rsidRPr="00D4590B">
        <w:rPr>
          <w:sz w:val="26"/>
          <w:szCs w:val="26"/>
          <w:lang w:bidi="he-IL"/>
        </w:rPr>
        <w:t>is</w:t>
      </w:r>
      <w:proofErr w:type="spellEnd"/>
      <w:r w:rsidRPr="00D4590B">
        <w:rPr>
          <w:sz w:val="26"/>
          <w:szCs w:val="26"/>
          <w:lang w:bidi="he-IL"/>
        </w:rPr>
        <w:t xml:space="preserve"> when critiquing prior commentaries in the introduction.</w:t>
      </w:r>
      <w:r w:rsidRPr="00D4590B">
        <w:rPr>
          <w:rStyle w:val="a4"/>
          <w:sz w:val="26"/>
          <w:szCs w:val="26"/>
          <w:lang w:bidi="he-IL"/>
        </w:rPr>
        <w:footnoteReference w:id="103"/>
      </w:r>
    </w:p>
    <w:p w:rsidR="00975572" w:rsidRPr="00D4590B" w:rsidRDefault="00975572" w:rsidP="00652B40">
      <w:pPr>
        <w:spacing w:line="300" w:lineRule="exact"/>
        <w:ind w:firstLine="284"/>
        <w:jc w:val="both"/>
        <w:rPr>
          <w:sz w:val="26"/>
          <w:szCs w:val="26"/>
          <w:lang w:bidi="he-IL"/>
        </w:rPr>
      </w:pPr>
      <w:r w:rsidRPr="00D4590B">
        <w:rPr>
          <w:sz w:val="26"/>
          <w:szCs w:val="26"/>
          <w:lang w:bidi="he-IL"/>
        </w:rPr>
        <w:t>The first of these concerns, of course, presents no problem if the author’s standard policy was to cite anonymously.</w:t>
      </w:r>
      <w:r w:rsidR="008515BC" w:rsidRPr="00D4590B">
        <w:rPr>
          <w:sz w:val="26"/>
          <w:szCs w:val="26"/>
          <w:lang w:bidi="he-IL"/>
        </w:rPr>
        <w:t xml:space="preserve"> </w:t>
      </w:r>
      <w:r w:rsidRPr="00D4590B">
        <w:rPr>
          <w:sz w:val="26"/>
          <w:szCs w:val="26"/>
          <w:lang w:bidi="he-IL"/>
        </w:rPr>
        <w:t xml:space="preserve">As for the absence of any acknowledgment of the prior </w:t>
      </w:r>
      <w:proofErr w:type="spellStart"/>
      <w:r w:rsidR="00386BCF" w:rsidRPr="00D4590B">
        <w:rPr>
          <w:sz w:val="26"/>
          <w:szCs w:val="26"/>
          <w:lang w:bidi="he-IL"/>
        </w:rPr>
        <w:t>Kimh</w:t>
      </w:r>
      <w:r w:rsidR="00386BCF" w:rsidRPr="00D4590B">
        <w:rPr>
          <w:sz w:val="26"/>
          <w:szCs w:val="26"/>
          <w:lang w:bidi="he-IL"/>
        </w:rPr>
        <w:t>is</w:t>
      </w:r>
      <w:proofErr w:type="spellEnd"/>
      <w:r w:rsidR="00386BCF" w:rsidRPr="00D4590B">
        <w:rPr>
          <w:sz w:val="26"/>
          <w:szCs w:val="26"/>
          <w:lang w:bidi="he-IL"/>
        </w:rPr>
        <w:t xml:space="preserve"> in the introduction, it</w:t>
      </w:r>
      <w:r w:rsidRPr="00D4590B">
        <w:rPr>
          <w:sz w:val="26"/>
          <w:szCs w:val="26"/>
          <w:lang w:bidi="he-IL"/>
        </w:rPr>
        <w:t xml:space="preserve"> must first </w:t>
      </w:r>
      <w:r w:rsidR="00386BCF" w:rsidRPr="00D4590B">
        <w:rPr>
          <w:sz w:val="26"/>
          <w:szCs w:val="26"/>
          <w:lang w:bidi="he-IL"/>
        </w:rPr>
        <w:t xml:space="preserve">be </w:t>
      </w:r>
      <w:r w:rsidRPr="00D4590B">
        <w:rPr>
          <w:sz w:val="26"/>
          <w:szCs w:val="26"/>
          <w:lang w:bidi="he-IL"/>
        </w:rPr>
        <w:t>recognize</w:t>
      </w:r>
      <w:r w:rsidR="00386BCF" w:rsidRPr="00D4590B">
        <w:rPr>
          <w:sz w:val="26"/>
          <w:szCs w:val="26"/>
          <w:lang w:bidi="he-IL"/>
        </w:rPr>
        <w:t>d</w:t>
      </w:r>
      <w:r w:rsidRPr="00D4590B">
        <w:rPr>
          <w:sz w:val="26"/>
          <w:szCs w:val="26"/>
          <w:lang w:bidi="he-IL"/>
        </w:rPr>
        <w:t xml:space="preserve"> that this remains in need of explanation irrespective of authorship.</w:t>
      </w:r>
      <w:r w:rsidR="008515BC" w:rsidRPr="00D4590B">
        <w:rPr>
          <w:sz w:val="26"/>
          <w:szCs w:val="26"/>
          <w:lang w:bidi="he-IL"/>
        </w:rPr>
        <w:t xml:space="preserve"> </w:t>
      </w:r>
      <w:r w:rsidRPr="00D4590B">
        <w:rPr>
          <w:sz w:val="26"/>
          <w:szCs w:val="26"/>
          <w:lang w:bidi="he-IL"/>
        </w:rPr>
        <w:t xml:space="preserve">For if our commentator wished to make clear the necessity of a new exposition, then why do these </w:t>
      </w:r>
      <w:proofErr w:type="spellStart"/>
      <w:r w:rsidRPr="00D4590B">
        <w:rPr>
          <w:sz w:val="26"/>
          <w:szCs w:val="26"/>
          <w:lang w:bidi="he-IL"/>
        </w:rPr>
        <w:t>Kimh</w:t>
      </w:r>
      <w:r w:rsidRPr="00D4590B">
        <w:rPr>
          <w:sz w:val="26"/>
          <w:szCs w:val="26"/>
          <w:lang w:bidi="he-IL"/>
        </w:rPr>
        <w:t>i</w:t>
      </w:r>
      <w:proofErr w:type="spellEnd"/>
      <w:r w:rsidRPr="00D4590B">
        <w:rPr>
          <w:sz w:val="26"/>
          <w:szCs w:val="26"/>
          <w:lang w:bidi="he-IL"/>
        </w:rPr>
        <w:t xml:space="preserve"> commentaries—with which he appears to have been closely familiar—not figure in the discussion?</w:t>
      </w:r>
      <w:r w:rsidR="008515BC" w:rsidRPr="00D4590B">
        <w:rPr>
          <w:sz w:val="26"/>
          <w:szCs w:val="26"/>
          <w:lang w:bidi="he-IL"/>
        </w:rPr>
        <w:t xml:space="preserve"> </w:t>
      </w:r>
      <w:r w:rsidRPr="00D4590B">
        <w:rPr>
          <w:sz w:val="26"/>
          <w:szCs w:val="26"/>
          <w:lang w:bidi="he-IL"/>
        </w:rPr>
        <w:t xml:space="preserve">My own sense is that </w:t>
      </w:r>
      <w:proofErr w:type="spellStart"/>
      <w:r w:rsidRPr="00D4590B">
        <w:rPr>
          <w:sz w:val="26"/>
          <w:szCs w:val="26"/>
          <w:lang w:bidi="he-IL"/>
        </w:rPr>
        <w:t>Radak’s</w:t>
      </w:r>
      <w:proofErr w:type="spellEnd"/>
      <w:r w:rsidRPr="00D4590B">
        <w:rPr>
          <w:sz w:val="26"/>
          <w:szCs w:val="26"/>
          <w:lang w:bidi="he-IL"/>
        </w:rPr>
        <w:t xml:space="preserve"> father and brother, as philologists, did not provide consistent enough explanations of the book’s substance to satisfy our author.</w:t>
      </w:r>
      <w:r w:rsidRPr="00D4590B">
        <w:rPr>
          <w:rStyle w:val="a4"/>
          <w:sz w:val="26"/>
          <w:szCs w:val="26"/>
          <w:lang w:bidi="he-IL"/>
        </w:rPr>
        <w:footnoteReference w:id="104"/>
      </w:r>
      <w:r w:rsidR="008515BC" w:rsidRPr="00D4590B">
        <w:rPr>
          <w:sz w:val="26"/>
          <w:szCs w:val="26"/>
          <w:lang w:bidi="he-IL"/>
        </w:rPr>
        <w:t xml:space="preserve"> </w:t>
      </w:r>
      <w:r w:rsidRPr="00D4590B">
        <w:rPr>
          <w:sz w:val="26"/>
          <w:szCs w:val="26"/>
          <w:lang w:bidi="he-IL"/>
        </w:rPr>
        <w:t>Therefore, he set out to provide an elucidation of the book’s hortatory content from which “the masses might benefit”; and in turn, the primary objects of his critique needed to be the more metaphoric commentaries, which did concentrate on the substance of the book but in a way that he considered to be fundamentally inadequate.</w:t>
      </w:r>
    </w:p>
    <w:p w:rsidR="00975572" w:rsidRDefault="00975572" w:rsidP="00652B40">
      <w:pPr>
        <w:spacing w:line="300" w:lineRule="exact"/>
        <w:ind w:firstLine="284"/>
        <w:jc w:val="both"/>
        <w:rPr>
          <w:rFonts w:hint="cs"/>
          <w:sz w:val="26"/>
          <w:szCs w:val="26"/>
          <w:rtl/>
          <w:lang w:bidi="he-IL"/>
        </w:rPr>
      </w:pPr>
      <w:r w:rsidRPr="00D4590B">
        <w:rPr>
          <w:sz w:val="26"/>
          <w:szCs w:val="26"/>
          <w:lang w:bidi="he-IL"/>
        </w:rPr>
        <w:t xml:space="preserve">Whatever the merits of this explanation, is the lack of reference to R. Joseph and R. Moses </w:t>
      </w:r>
      <w:proofErr w:type="spellStart"/>
      <w:r w:rsidRPr="00D4590B">
        <w:rPr>
          <w:sz w:val="26"/>
          <w:szCs w:val="26"/>
          <w:lang w:bidi="he-IL"/>
        </w:rPr>
        <w:t>Kimh</w:t>
      </w:r>
      <w:r w:rsidRPr="00D4590B">
        <w:rPr>
          <w:sz w:val="26"/>
          <w:szCs w:val="26"/>
          <w:lang w:bidi="he-IL"/>
        </w:rPr>
        <w:t>i</w:t>
      </w:r>
      <w:proofErr w:type="spellEnd"/>
      <w:r w:rsidRPr="00D4590B">
        <w:rPr>
          <w:sz w:val="26"/>
          <w:szCs w:val="26"/>
          <w:lang w:bidi="he-IL"/>
        </w:rPr>
        <w:t xml:space="preserve"> in the introduction a </w:t>
      </w:r>
      <w:r w:rsidRPr="00D4590B">
        <w:rPr>
          <w:i/>
          <w:iCs/>
          <w:sz w:val="26"/>
          <w:szCs w:val="26"/>
          <w:lang w:bidi="he-IL"/>
        </w:rPr>
        <w:t>greater</w:t>
      </w:r>
      <w:r w:rsidRPr="00D4590B">
        <w:rPr>
          <w:sz w:val="26"/>
          <w:szCs w:val="26"/>
          <w:lang w:bidi="he-IL"/>
        </w:rPr>
        <w:t xml:space="preserve"> problem if our author is </w:t>
      </w:r>
      <w:proofErr w:type="spellStart"/>
      <w:r w:rsidRPr="00D4590B">
        <w:rPr>
          <w:sz w:val="26"/>
          <w:szCs w:val="26"/>
          <w:lang w:bidi="he-IL"/>
        </w:rPr>
        <w:t>Radak</w:t>
      </w:r>
      <w:proofErr w:type="spellEnd"/>
      <w:r w:rsidRPr="00D4590B">
        <w:rPr>
          <w:sz w:val="26"/>
          <w:szCs w:val="26"/>
          <w:lang w:bidi="he-IL"/>
        </w:rPr>
        <w:t>?</w:t>
      </w:r>
      <w:r w:rsidR="008515BC" w:rsidRPr="00D4590B">
        <w:rPr>
          <w:sz w:val="26"/>
          <w:szCs w:val="26"/>
          <w:lang w:bidi="he-IL"/>
        </w:rPr>
        <w:t xml:space="preserve"> </w:t>
      </w:r>
      <w:r w:rsidRPr="00D4590B">
        <w:rPr>
          <w:sz w:val="26"/>
          <w:szCs w:val="26"/>
          <w:lang w:bidi="he-IL"/>
        </w:rPr>
        <w:t>This strikes me as a highly questionable proposition.</w:t>
      </w:r>
      <w:r w:rsidR="008515BC" w:rsidRPr="00D4590B">
        <w:rPr>
          <w:sz w:val="26"/>
          <w:szCs w:val="26"/>
          <w:lang w:bidi="he-IL"/>
        </w:rPr>
        <w:t xml:space="preserve"> </w:t>
      </w:r>
      <w:r w:rsidRPr="00D4590B">
        <w:rPr>
          <w:sz w:val="26"/>
          <w:szCs w:val="26"/>
          <w:lang w:bidi="he-IL"/>
        </w:rPr>
        <w:t>After all, a family member, particularly one who was also a close disciple, might have been especially reluctant to spell out why he considered his older relatives’ works insufficient.</w:t>
      </w:r>
      <w:r w:rsidR="008515BC" w:rsidRPr="00D4590B">
        <w:rPr>
          <w:sz w:val="26"/>
          <w:szCs w:val="26"/>
          <w:lang w:bidi="he-IL"/>
        </w:rPr>
        <w:t xml:space="preserve"> </w:t>
      </w:r>
      <w:r w:rsidRPr="00D4590B">
        <w:rPr>
          <w:sz w:val="26"/>
          <w:szCs w:val="26"/>
          <w:lang w:bidi="he-IL"/>
        </w:rPr>
        <w:t xml:space="preserve">In fact, if </w:t>
      </w:r>
      <w:proofErr w:type="spellStart"/>
      <w:r w:rsidRPr="00D4590B">
        <w:rPr>
          <w:sz w:val="26"/>
          <w:szCs w:val="26"/>
          <w:lang w:bidi="he-IL"/>
        </w:rPr>
        <w:t>Radak</w:t>
      </w:r>
      <w:proofErr w:type="spellEnd"/>
      <w:r w:rsidRPr="00D4590B">
        <w:rPr>
          <w:sz w:val="26"/>
          <w:szCs w:val="26"/>
          <w:lang w:bidi="he-IL"/>
        </w:rPr>
        <w:t xml:space="preserve"> is the author, this might actually </w:t>
      </w:r>
      <w:r w:rsidRPr="00D4590B">
        <w:rPr>
          <w:i/>
          <w:iCs/>
          <w:sz w:val="26"/>
          <w:szCs w:val="26"/>
          <w:lang w:bidi="he-IL"/>
        </w:rPr>
        <w:t>better</w:t>
      </w:r>
      <w:r w:rsidRPr="00D4590B">
        <w:rPr>
          <w:sz w:val="26"/>
          <w:szCs w:val="26"/>
          <w:lang w:bidi="he-IL"/>
        </w:rPr>
        <w:t xml:space="preserve"> explain why the earlier </w:t>
      </w:r>
      <w:proofErr w:type="spellStart"/>
      <w:r w:rsidRPr="00D4590B">
        <w:rPr>
          <w:sz w:val="26"/>
          <w:szCs w:val="26"/>
          <w:lang w:bidi="he-IL"/>
        </w:rPr>
        <w:t>Kimh</w:t>
      </w:r>
      <w:r w:rsidRPr="00D4590B">
        <w:rPr>
          <w:sz w:val="26"/>
          <w:szCs w:val="26"/>
          <w:lang w:bidi="he-IL"/>
        </w:rPr>
        <w:t>is</w:t>
      </w:r>
      <w:proofErr w:type="spellEnd"/>
      <w:r w:rsidRPr="00D4590B">
        <w:rPr>
          <w:sz w:val="26"/>
          <w:szCs w:val="26"/>
          <w:lang w:bidi="he-IL"/>
        </w:rPr>
        <w:t xml:space="preserve"> do not figure in the introduction.</w:t>
      </w:r>
      <w:r w:rsidR="008515BC" w:rsidRPr="00D4590B">
        <w:rPr>
          <w:sz w:val="26"/>
          <w:szCs w:val="26"/>
          <w:lang w:bidi="he-IL"/>
        </w:rPr>
        <w:t xml:space="preserve"> </w:t>
      </w:r>
      <w:r w:rsidRPr="00D4590B">
        <w:rPr>
          <w:sz w:val="26"/>
          <w:szCs w:val="26"/>
          <w:lang w:bidi="he-IL"/>
        </w:rPr>
        <w:t xml:space="preserve">By way of illustration, consider the awkward effort made by R. Joseph Ibn </w:t>
      </w:r>
      <w:proofErr w:type="spellStart"/>
      <w:r w:rsidRPr="00D4590B">
        <w:rPr>
          <w:sz w:val="26"/>
          <w:szCs w:val="26"/>
          <w:lang w:bidi="he-IL"/>
        </w:rPr>
        <w:t>Yah</w:t>
      </w:r>
      <w:r w:rsidRPr="00D4590B">
        <w:rPr>
          <w:sz w:val="26"/>
          <w:szCs w:val="26"/>
          <w:lang w:bidi="he-IL"/>
        </w:rPr>
        <w:t>ya</w:t>
      </w:r>
      <w:proofErr w:type="spellEnd"/>
      <w:r w:rsidRPr="00D4590B">
        <w:rPr>
          <w:sz w:val="26"/>
          <w:szCs w:val="26"/>
          <w:lang w:bidi="he-IL"/>
        </w:rPr>
        <w:t xml:space="preserve"> (1494-1534), in the introduction to his own Proverbs commentary,</w:t>
      </w:r>
      <w:r w:rsidRPr="00D4590B">
        <w:rPr>
          <w:rStyle w:val="a4"/>
          <w:sz w:val="26"/>
          <w:szCs w:val="26"/>
          <w:lang w:bidi="he-IL"/>
        </w:rPr>
        <w:footnoteReference w:id="105"/>
      </w:r>
      <w:r w:rsidRPr="00D4590B">
        <w:rPr>
          <w:sz w:val="26"/>
          <w:szCs w:val="26"/>
          <w:lang w:bidi="he-IL"/>
        </w:rPr>
        <w:t xml:space="preserve"> to balance his sweeping criticism of the work of his older relative with glowing praises of the individual:</w:t>
      </w:r>
    </w:p>
    <w:p w:rsidR="00E663C7" w:rsidRPr="00D4590B" w:rsidRDefault="00E663C7" w:rsidP="00D4590B">
      <w:pPr>
        <w:spacing w:line="300" w:lineRule="exact"/>
        <w:jc w:val="both"/>
        <w:rPr>
          <w:rFonts w:hint="cs"/>
          <w:sz w:val="26"/>
          <w:szCs w:val="26"/>
          <w:lang w:bidi="he-IL"/>
        </w:rPr>
      </w:pPr>
    </w:p>
    <w:p w:rsidR="00975572" w:rsidRDefault="00975572" w:rsidP="00E663C7">
      <w:pPr>
        <w:spacing w:line="300" w:lineRule="exact"/>
        <w:ind w:left="720"/>
        <w:jc w:val="both"/>
        <w:rPr>
          <w:rFonts w:hint="cs"/>
          <w:sz w:val="26"/>
          <w:szCs w:val="26"/>
          <w:rtl/>
          <w:lang w:bidi="he-IL"/>
        </w:rPr>
      </w:pPr>
      <w:r w:rsidRPr="00D4590B">
        <w:rPr>
          <w:sz w:val="26"/>
          <w:szCs w:val="26"/>
          <w:lang w:bidi="he-IL"/>
        </w:rPr>
        <w:t>I turned to face the wilderness…I found no satisfaction in [prior commentaries]—I was like a stranger in their eyes, for they do not provide connections between the verses….</w:t>
      </w:r>
      <w:r w:rsidR="008515BC" w:rsidRPr="00D4590B">
        <w:rPr>
          <w:sz w:val="26"/>
          <w:szCs w:val="26"/>
          <w:lang w:bidi="he-IL"/>
        </w:rPr>
        <w:t xml:space="preserve"> </w:t>
      </w:r>
      <w:r w:rsidRPr="00D4590B">
        <w:rPr>
          <w:sz w:val="26"/>
          <w:szCs w:val="26"/>
          <w:lang w:bidi="he-IL"/>
        </w:rPr>
        <w:t xml:space="preserve">Among them is the greatest of the generation…the elder Rabbi Don David </w:t>
      </w:r>
      <w:proofErr w:type="spellStart"/>
      <w:r w:rsidRPr="00D4590B">
        <w:rPr>
          <w:sz w:val="26"/>
          <w:szCs w:val="26"/>
          <w:lang w:bidi="he-IL"/>
        </w:rPr>
        <w:t>Yah</w:t>
      </w:r>
      <w:r w:rsidRPr="00D4590B">
        <w:rPr>
          <w:sz w:val="26"/>
          <w:szCs w:val="26"/>
          <w:lang w:bidi="he-IL"/>
        </w:rPr>
        <w:t>ya</w:t>
      </w:r>
      <w:proofErr w:type="spellEnd"/>
      <w:r w:rsidRPr="00D4590B">
        <w:rPr>
          <w:sz w:val="26"/>
          <w:szCs w:val="26"/>
          <w:lang w:bidi="he-IL"/>
        </w:rPr>
        <w:t xml:space="preserve"> my relative, who has fangs as a lion: he too did as they did—he is no different from them</w:t>
      </w:r>
      <w:r w:rsidR="00E15AE8" w:rsidRPr="00D4590B">
        <w:rPr>
          <w:sz w:val="26"/>
          <w:szCs w:val="26"/>
          <w:lang w:bidi="he-IL"/>
        </w:rPr>
        <w:t>!</w:t>
      </w:r>
      <w:r w:rsidRPr="00D4590B">
        <w:rPr>
          <w:sz w:val="26"/>
          <w:szCs w:val="26"/>
          <w:lang w:bidi="he-IL"/>
        </w:rPr>
        <w:t xml:space="preserve">—in his commentary </w:t>
      </w:r>
      <w:proofErr w:type="spellStart"/>
      <w:r w:rsidR="00DC5E83" w:rsidRPr="00D4590B">
        <w:rPr>
          <w:i/>
          <w:iCs/>
          <w:sz w:val="26"/>
          <w:szCs w:val="26"/>
          <w:lang w:bidi="he-IL"/>
        </w:rPr>
        <w:t>Q</w:t>
      </w:r>
      <w:r w:rsidRPr="00D4590B">
        <w:rPr>
          <w:i/>
          <w:iCs/>
          <w:sz w:val="26"/>
          <w:szCs w:val="26"/>
          <w:lang w:bidi="he-IL"/>
        </w:rPr>
        <w:t>av</w:t>
      </w:r>
      <w:proofErr w:type="spellEnd"/>
      <w:r w:rsidRPr="00D4590B">
        <w:rPr>
          <w:i/>
          <w:iCs/>
          <w:sz w:val="26"/>
          <w:szCs w:val="26"/>
          <w:lang w:bidi="he-IL"/>
        </w:rPr>
        <w:t xml:space="preserve"> </w:t>
      </w:r>
      <w:proofErr w:type="spellStart"/>
      <w:r w:rsidRPr="00D4590B">
        <w:rPr>
          <w:i/>
          <w:iCs/>
          <w:sz w:val="26"/>
          <w:szCs w:val="26"/>
          <w:lang w:bidi="he-IL"/>
        </w:rPr>
        <w:t>ve</w:t>
      </w:r>
      <w:proofErr w:type="spellEnd"/>
      <w:r w:rsidRPr="00D4590B">
        <w:rPr>
          <w:i/>
          <w:iCs/>
          <w:sz w:val="26"/>
          <w:szCs w:val="26"/>
          <w:lang w:bidi="he-IL"/>
        </w:rPr>
        <w:t>-Na</w:t>
      </w:r>
      <w:r w:rsidR="00DC5E83" w:rsidRPr="00D4590B">
        <w:rPr>
          <w:i/>
          <w:iCs/>
          <w:sz w:val="26"/>
          <w:szCs w:val="26"/>
          <w:lang w:bidi="he-IL"/>
        </w:rPr>
        <w:t>q</w:t>
      </w:r>
      <w:r w:rsidRPr="00D4590B">
        <w:rPr>
          <w:i/>
          <w:iCs/>
          <w:sz w:val="26"/>
          <w:szCs w:val="26"/>
          <w:lang w:bidi="he-IL"/>
        </w:rPr>
        <w:t>i</w:t>
      </w:r>
      <w:r w:rsidRPr="00D4590B">
        <w:rPr>
          <w:sz w:val="26"/>
          <w:szCs w:val="26"/>
          <w:lang w:bidi="he-IL"/>
        </w:rPr>
        <w:t>.</w:t>
      </w:r>
    </w:p>
    <w:p w:rsidR="00E663C7" w:rsidRPr="00D4590B" w:rsidRDefault="00E663C7" w:rsidP="00E663C7">
      <w:pPr>
        <w:spacing w:line="300" w:lineRule="exact"/>
        <w:ind w:left="720"/>
        <w:jc w:val="both"/>
        <w:rPr>
          <w:rFonts w:hint="cs"/>
          <w:sz w:val="26"/>
          <w:szCs w:val="26"/>
          <w:lang w:bidi="he-IL"/>
        </w:rPr>
      </w:pPr>
    </w:p>
    <w:p w:rsidR="00975572" w:rsidRPr="00D4590B" w:rsidRDefault="00975572" w:rsidP="00D4590B">
      <w:pPr>
        <w:spacing w:line="300" w:lineRule="exact"/>
        <w:jc w:val="both"/>
        <w:rPr>
          <w:sz w:val="26"/>
          <w:szCs w:val="26"/>
          <w:lang w:bidi="he-IL"/>
        </w:rPr>
      </w:pPr>
      <w:r w:rsidRPr="00D4590B">
        <w:rPr>
          <w:sz w:val="26"/>
          <w:szCs w:val="26"/>
          <w:lang w:bidi="he-IL"/>
        </w:rPr>
        <w:t>Quite probably, this author would have been better advised to stick to his general characterization of prior treatments, and leave well enough alone.</w:t>
      </w:r>
    </w:p>
    <w:p w:rsidR="00E663C7" w:rsidRDefault="00E663C7" w:rsidP="00D4590B">
      <w:pPr>
        <w:spacing w:line="300" w:lineRule="exact"/>
        <w:jc w:val="both"/>
        <w:rPr>
          <w:rFonts w:hint="cs"/>
          <w:i/>
          <w:iCs/>
          <w:sz w:val="26"/>
          <w:szCs w:val="26"/>
          <w:rtl/>
          <w:lang w:bidi="he-IL"/>
        </w:rPr>
      </w:pPr>
    </w:p>
    <w:p w:rsidR="00975572" w:rsidRPr="00D4590B" w:rsidRDefault="00975572" w:rsidP="00D4590B">
      <w:pPr>
        <w:spacing w:line="300" w:lineRule="exact"/>
        <w:jc w:val="both"/>
        <w:rPr>
          <w:sz w:val="26"/>
          <w:szCs w:val="26"/>
          <w:lang w:bidi="he-IL"/>
        </w:rPr>
      </w:pPr>
      <w:r w:rsidRPr="00D4590B">
        <w:rPr>
          <w:i/>
          <w:iCs/>
          <w:sz w:val="26"/>
          <w:szCs w:val="26"/>
          <w:lang w:bidi="he-IL"/>
        </w:rPr>
        <w:t>Treatment of Philological and Masoretic Issues</w:t>
      </w:r>
    </w:p>
    <w:p w:rsidR="00975572" w:rsidRDefault="00975572" w:rsidP="00F825A4">
      <w:pPr>
        <w:spacing w:line="300" w:lineRule="exact"/>
        <w:jc w:val="both"/>
        <w:rPr>
          <w:rFonts w:hint="cs"/>
          <w:sz w:val="26"/>
          <w:szCs w:val="26"/>
          <w:rtl/>
          <w:lang w:bidi="he-IL"/>
        </w:rPr>
      </w:pPr>
      <w:r w:rsidRPr="00D4590B">
        <w:rPr>
          <w:sz w:val="26"/>
          <w:szCs w:val="26"/>
          <w:lang w:bidi="he-IL"/>
        </w:rPr>
        <w:t xml:space="preserve">Grunhaus opens her discussion of evidence against </w:t>
      </w:r>
      <w:proofErr w:type="spellStart"/>
      <w:r w:rsidRPr="00D4590B">
        <w:rPr>
          <w:sz w:val="26"/>
          <w:szCs w:val="26"/>
          <w:lang w:bidi="he-IL"/>
        </w:rPr>
        <w:t>Radak’s</w:t>
      </w:r>
      <w:proofErr w:type="spellEnd"/>
      <w:r w:rsidRPr="00D4590B">
        <w:rPr>
          <w:sz w:val="26"/>
          <w:szCs w:val="26"/>
          <w:lang w:bidi="he-IL"/>
        </w:rPr>
        <w:t xml:space="preserve"> authorship with some brief remarks concerning philology and </w:t>
      </w:r>
      <w:proofErr w:type="spellStart"/>
      <w:r w:rsidR="00F825A4">
        <w:rPr>
          <w:sz w:val="26"/>
          <w:szCs w:val="26"/>
          <w:lang w:bidi="he-IL"/>
        </w:rPr>
        <w:t>M</w:t>
      </w:r>
      <w:r w:rsidR="00F825A4" w:rsidRPr="00D4590B">
        <w:rPr>
          <w:sz w:val="26"/>
          <w:szCs w:val="26"/>
          <w:lang w:bidi="he-IL"/>
        </w:rPr>
        <w:t>asorah</w:t>
      </w:r>
      <w:proofErr w:type="spellEnd"/>
      <w:r w:rsidRPr="00D4590B">
        <w:rPr>
          <w:sz w:val="26"/>
          <w:szCs w:val="26"/>
          <w:lang w:bidi="he-IL"/>
        </w:rPr>
        <w:t>:</w:t>
      </w:r>
    </w:p>
    <w:p w:rsidR="00E663C7" w:rsidRPr="00D4590B" w:rsidRDefault="00E663C7" w:rsidP="00D4590B">
      <w:pPr>
        <w:spacing w:line="300" w:lineRule="exact"/>
        <w:jc w:val="both"/>
        <w:rPr>
          <w:rFonts w:hint="cs"/>
          <w:sz w:val="26"/>
          <w:szCs w:val="26"/>
          <w:lang w:bidi="he-IL"/>
        </w:rPr>
      </w:pPr>
    </w:p>
    <w:p w:rsidR="00975572" w:rsidRDefault="00975572" w:rsidP="00F825A4">
      <w:pPr>
        <w:spacing w:line="300" w:lineRule="exact"/>
        <w:ind w:left="720"/>
        <w:jc w:val="both"/>
        <w:rPr>
          <w:rFonts w:hint="cs"/>
          <w:sz w:val="26"/>
          <w:szCs w:val="26"/>
          <w:rtl/>
          <w:lang w:bidi="he-IL"/>
        </w:rPr>
      </w:pPr>
      <w:r w:rsidRPr="00D4590B">
        <w:rPr>
          <w:sz w:val="26"/>
          <w:szCs w:val="26"/>
          <w:lang w:bidi="he-IL"/>
        </w:rPr>
        <w:t xml:space="preserve">Firstly, certain hallmarks of </w:t>
      </w:r>
      <w:proofErr w:type="spellStart"/>
      <w:r w:rsidRPr="00D4590B">
        <w:rPr>
          <w:sz w:val="26"/>
          <w:szCs w:val="26"/>
          <w:lang w:bidi="he-IL"/>
        </w:rPr>
        <w:t>Radak’s</w:t>
      </w:r>
      <w:proofErr w:type="spellEnd"/>
      <w:r w:rsidRPr="00D4590B">
        <w:rPr>
          <w:sz w:val="26"/>
          <w:szCs w:val="26"/>
          <w:lang w:bidi="he-IL"/>
        </w:rPr>
        <w:t xml:space="preserve"> commentaries are missing.</w:t>
      </w:r>
      <w:r w:rsidR="008515BC" w:rsidRPr="00D4590B">
        <w:rPr>
          <w:sz w:val="26"/>
          <w:szCs w:val="26"/>
          <w:lang w:bidi="he-IL"/>
        </w:rPr>
        <w:t xml:space="preserve"> </w:t>
      </w:r>
      <w:r w:rsidRPr="00D4590B">
        <w:rPr>
          <w:sz w:val="26"/>
          <w:szCs w:val="26"/>
          <w:lang w:bidi="he-IL"/>
        </w:rPr>
        <w:t xml:space="preserve">There is comparatively little </w:t>
      </w:r>
      <w:r w:rsidR="0044796C" w:rsidRPr="00D4590B">
        <w:rPr>
          <w:sz w:val="26"/>
          <w:szCs w:val="26"/>
          <w:lang w:bidi="he-IL"/>
        </w:rPr>
        <w:t>[assessment</w:t>
      </w:r>
      <w:r w:rsidR="00BB39DD" w:rsidRPr="00D4590B">
        <w:rPr>
          <w:sz w:val="26"/>
          <w:szCs w:val="26"/>
          <w:lang w:bidi="he-IL"/>
        </w:rPr>
        <w:t>] of biblical stylistics</w:t>
      </w:r>
      <w:r w:rsidRPr="00D4590B">
        <w:rPr>
          <w:sz w:val="26"/>
          <w:szCs w:val="26"/>
          <w:lang w:bidi="he-IL"/>
        </w:rPr>
        <w:t xml:space="preserve"> and w</w:t>
      </w:r>
      <w:r w:rsidR="00BB39DD" w:rsidRPr="00D4590B">
        <w:rPr>
          <w:sz w:val="26"/>
          <w:szCs w:val="26"/>
          <w:lang w:bidi="he-IL"/>
        </w:rPr>
        <w:t>h</w:t>
      </w:r>
      <w:r w:rsidR="0044796C" w:rsidRPr="00D4590B">
        <w:rPr>
          <w:sz w:val="26"/>
          <w:szCs w:val="26"/>
          <w:lang w:bidi="he-IL"/>
        </w:rPr>
        <w:t>en biblical stylistics are [ass</w:t>
      </w:r>
      <w:r w:rsidR="00BB39DD" w:rsidRPr="00D4590B">
        <w:rPr>
          <w:sz w:val="26"/>
          <w:szCs w:val="26"/>
          <w:lang w:bidi="he-IL"/>
        </w:rPr>
        <w:t>essed]</w:t>
      </w:r>
      <w:r w:rsidRPr="00D4590B">
        <w:rPr>
          <w:sz w:val="26"/>
          <w:szCs w:val="26"/>
          <w:lang w:bidi="he-IL"/>
        </w:rPr>
        <w:t xml:space="preserve">, </w:t>
      </w:r>
      <w:proofErr w:type="spellStart"/>
      <w:r w:rsidRPr="00D4590B">
        <w:rPr>
          <w:sz w:val="26"/>
          <w:szCs w:val="26"/>
          <w:lang w:bidi="he-IL"/>
        </w:rPr>
        <w:t>Radak’s</w:t>
      </w:r>
      <w:proofErr w:type="spellEnd"/>
      <w:r w:rsidRPr="00D4590B">
        <w:rPr>
          <w:sz w:val="26"/>
          <w:szCs w:val="26"/>
          <w:lang w:bidi="he-IL"/>
        </w:rPr>
        <w:t xml:space="preserve"> standard citation of the same [stylistic feature elsewhere in the Bible] is completely absent.</w:t>
      </w:r>
      <w:r w:rsidR="008515BC" w:rsidRPr="00D4590B">
        <w:rPr>
          <w:sz w:val="26"/>
          <w:szCs w:val="26"/>
          <w:lang w:bidi="he-IL"/>
        </w:rPr>
        <w:t xml:space="preserve"> </w:t>
      </w:r>
      <w:r w:rsidRPr="00D4590B">
        <w:rPr>
          <w:rFonts w:hint="cs"/>
          <w:sz w:val="26"/>
          <w:szCs w:val="26"/>
          <w:rtl/>
          <w:lang w:bidi="he-IL"/>
        </w:rPr>
        <w:t>קרי וכתיב</w:t>
      </w:r>
      <w:r w:rsidRPr="00D4590B">
        <w:rPr>
          <w:sz w:val="26"/>
          <w:szCs w:val="26"/>
          <w:lang w:bidi="he-IL"/>
        </w:rPr>
        <w:t>,</w:t>
      </w:r>
      <w:r w:rsidR="003D3094" w:rsidRPr="00D4590B">
        <w:rPr>
          <w:sz w:val="26"/>
          <w:szCs w:val="26"/>
          <w:lang w:bidi="he-IL"/>
        </w:rPr>
        <w:t xml:space="preserve"> </w:t>
      </w:r>
      <w:r w:rsidR="00401FC1">
        <w:rPr>
          <w:sz w:val="26"/>
          <w:szCs w:val="26"/>
          <w:lang w:bidi="he-IL"/>
        </w:rPr>
        <w:t>‘</w:t>
      </w:r>
      <w:r w:rsidRPr="00D4590B">
        <w:rPr>
          <w:sz w:val="26"/>
          <w:szCs w:val="26"/>
          <w:lang w:bidi="he-IL"/>
        </w:rPr>
        <w:t>words that are read differently from the way they are written</w:t>
      </w:r>
      <w:r w:rsidR="00C0111F">
        <w:rPr>
          <w:sz w:val="26"/>
          <w:szCs w:val="26"/>
          <w:lang w:bidi="he-IL"/>
        </w:rPr>
        <w:t>’</w:t>
      </w:r>
      <w:r w:rsidR="00401FC1">
        <w:rPr>
          <w:sz w:val="26"/>
          <w:szCs w:val="26"/>
          <w:lang w:bidi="he-IL"/>
        </w:rPr>
        <w:t>,</w:t>
      </w:r>
      <w:r w:rsidR="003D3094" w:rsidRPr="00D4590B">
        <w:rPr>
          <w:sz w:val="26"/>
          <w:szCs w:val="26"/>
          <w:lang w:bidi="he-IL"/>
        </w:rPr>
        <w:t xml:space="preserve"> </w:t>
      </w:r>
      <w:r w:rsidRPr="00D4590B">
        <w:rPr>
          <w:sz w:val="26"/>
          <w:szCs w:val="26"/>
          <w:lang w:bidi="he-IL"/>
        </w:rPr>
        <w:t xml:space="preserve">is not mentioned at all in </w:t>
      </w:r>
      <w:r w:rsidRPr="00D4590B">
        <w:rPr>
          <w:i/>
          <w:iCs/>
          <w:sz w:val="26"/>
          <w:szCs w:val="26"/>
          <w:lang w:bidi="he-IL"/>
        </w:rPr>
        <w:t>the commentary</w:t>
      </w:r>
      <w:r w:rsidRPr="00D4590B">
        <w:rPr>
          <w:sz w:val="26"/>
          <w:szCs w:val="26"/>
          <w:lang w:bidi="he-IL"/>
        </w:rPr>
        <w:t xml:space="preserve">, although it is almost never overlooked by </w:t>
      </w:r>
      <w:proofErr w:type="spellStart"/>
      <w:r w:rsidRPr="00D4590B">
        <w:rPr>
          <w:sz w:val="26"/>
          <w:szCs w:val="26"/>
          <w:lang w:bidi="he-IL"/>
        </w:rPr>
        <w:t>Radak</w:t>
      </w:r>
      <w:proofErr w:type="spellEnd"/>
      <w:r w:rsidRPr="00D4590B">
        <w:rPr>
          <w:sz w:val="26"/>
          <w:szCs w:val="26"/>
          <w:lang w:bidi="he-IL"/>
        </w:rPr>
        <w:t xml:space="preserve"> in his commentaries.</w:t>
      </w:r>
      <w:r w:rsidRPr="00D4590B">
        <w:rPr>
          <w:rStyle w:val="a4"/>
          <w:sz w:val="26"/>
          <w:szCs w:val="26"/>
          <w:lang w:bidi="he-IL"/>
        </w:rPr>
        <w:footnoteReference w:id="106"/>
      </w:r>
    </w:p>
    <w:p w:rsidR="00E663C7" w:rsidRPr="00D4590B" w:rsidRDefault="00E663C7" w:rsidP="00E663C7">
      <w:pPr>
        <w:spacing w:line="300" w:lineRule="exact"/>
        <w:ind w:left="720"/>
        <w:jc w:val="both"/>
        <w:rPr>
          <w:rFonts w:hint="cs"/>
          <w:sz w:val="26"/>
          <w:szCs w:val="26"/>
          <w:lang w:bidi="he-IL"/>
        </w:rPr>
      </w:pPr>
    </w:p>
    <w:p w:rsidR="00975572" w:rsidRPr="00D4590B" w:rsidRDefault="00BB39DD" w:rsidP="00D4590B">
      <w:pPr>
        <w:spacing w:line="300" w:lineRule="exact"/>
        <w:jc w:val="both"/>
        <w:rPr>
          <w:sz w:val="26"/>
          <w:szCs w:val="26"/>
          <w:lang w:bidi="he-IL"/>
        </w:rPr>
      </w:pPr>
      <w:r w:rsidRPr="00D4590B">
        <w:rPr>
          <w:sz w:val="26"/>
          <w:szCs w:val="26"/>
          <w:lang w:bidi="he-IL"/>
        </w:rPr>
        <w:t xml:space="preserve">Now it is true that </w:t>
      </w:r>
      <w:r w:rsidR="001A676A" w:rsidRPr="00D4590B">
        <w:rPr>
          <w:sz w:val="26"/>
          <w:szCs w:val="26"/>
          <w:lang w:bidi="he-IL"/>
        </w:rPr>
        <w:t>discussion of biblical style</w:t>
      </w:r>
      <w:r w:rsidR="00975572" w:rsidRPr="00D4590B">
        <w:rPr>
          <w:sz w:val="26"/>
          <w:szCs w:val="26"/>
          <w:lang w:bidi="he-IL"/>
        </w:rPr>
        <w:t xml:space="preserve"> is somewhat less frequent in the Proverbs commentary than in </w:t>
      </w:r>
      <w:proofErr w:type="spellStart"/>
      <w:r w:rsidR="00975572" w:rsidRPr="00D4590B">
        <w:rPr>
          <w:sz w:val="26"/>
          <w:szCs w:val="26"/>
          <w:lang w:bidi="he-IL"/>
        </w:rPr>
        <w:t>Radak’s</w:t>
      </w:r>
      <w:proofErr w:type="spellEnd"/>
      <w:r w:rsidR="00975572" w:rsidRPr="00D4590B">
        <w:rPr>
          <w:sz w:val="26"/>
          <w:szCs w:val="26"/>
          <w:lang w:bidi="he-IL"/>
        </w:rPr>
        <w:t xml:space="preserve"> works in general,</w:t>
      </w:r>
      <w:r w:rsidR="00822225" w:rsidRPr="00D4590B">
        <w:rPr>
          <w:rStyle w:val="a4"/>
          <w:sz w:val="26"/>
          <w:szCs w:val="26"/>
          <w:lang w:bidi="he-IL"/>
        </w:rPr>
        <w:footnoteReference w:id="107"/>
      </w:r>
      <w:r w:rsidR="00975572" w:rsidRPr="00D4590B">
        <w:rPr>
          <w:sz w:val="26"/>
          <w:szCs w:val="26"/>
          <w:lang w:bidi="he-IL"/>
        </w:rPr>
        <w:t xml:space="preserve"> but this is probably the result of an early, less expansive exegetical program—to be discussed shortly—made even narrower by the author’s focused objective of providing a non-figurative exposition of the book’s content.</w:t>
      </w:r>
      <w:r w:rsidR="001A676A" w:rsidRPr="00D4590B">
        <w:rPr>
          <w:rStyle w:val="a4"/>
          <w:sz w:val="26"/>
          <w:szCs w:val="26"/>
          <w:lang w:bidi="he-IL"/>
        </w:rPr>
        <w:footnoteReference w:id="108"/>
      </w:r>
      <w:r w:rsidR="008515BC" w:rsidRPr="00D4590B">
        <w:rPr>
          <w:sz w:val="26"/>
          <w:szCs w:val="26"/>
          <w:lang w:bidi="he-IL"/>
        </w:rPr>
        <w:t xml:space="preserve"> </w:t>
      </w:r>
      <w:r w:rsidR="00A86AC8" w:rsidRPr="00D4590B">
        <w:rPr>
          <w:sz w:val="26"/>
          <w:szCs w:val="26"/>
          <w:lang w:bidi="he-IL"/>
        </w:rPr>
        <w:t>Furthermore</w:t>
      </w:r>
      <w:r w:rsidR="00975572" w:rsidRPr="00D4590B">
        <w:rPr>
          <w:sz w:val="26"/>
          <w:szCs w:val="26"/>
          <w:lang w:bidi="he-IL"/>
        </w:rPr>
        <w:t>, the assertion that citation of stylistic parallels is “completely absent” is misleading and not quite accurate.</w:t>
      </w:r>
      <w:r w:rsidR="008515BC" w:rsidRPr="00D4590B">
        <w:rPr>
          <w:sz w:val="26"/>
          <w:szCs w:val="26"/>
          <w:lang w:bidi="he-IL"/>
        </w:rPr>
        <w:t xml:space="preserve"> </w:t>
      </w:r>
      <w:r w:rsidR="00975572" w:rsidRPr="00D4590B">
        <w:rPr>
          <w:sz w:val="26"/>
          <w:szCs w:val="26"/>
          <w:lang w:bidi="he-IL"/>
        </w:rPr>
        <w:t xml:space="preserve">As does </w:t>
      </w:r>
      <w:proofErr w:type="spellStart"/>
      <w:r w:rsidR="00975572" w:rsidRPr="00D4590B">
        <w:rPr>
          <w:sz w:val="26"/>
          <w:szCs w:val="26"/>
          <w:lang w:bidi="he-IL"/>
        </w:rPr>
        <w:t>Radak</w:t>
      </w:r>
      <w:proofErr w:type="spellEnd"/>
      <w:r w:rsidR="00975572" w:rsidRPr="00D4590B">
        <w:rPr>
          <w:sz w:val="26"/>
          <w:szCs w:val="26"/>
          <w:lang w:bidi="he-IL"/>
        </w:rPr>
        <w:t>, the author regularly provides parallels relating to lexicography, if not to syntax; and at 6:</w:t>
      </w:r>
      <w:r w:rsidR="00071471" w:rsidRPr="00D4590B">
        <w:rPr>
          <w:sz w:val="26"/>
          <w:szCs w:val="26"/>
          <w:lang w:bidi="he-IL"/>
        </w:rPr>
        <w:t>5, there appears, in a style</w:t>
      </w:r>
      <w:r w:rsidR="00975572" w:rsidRPr="00D4590B">
        <w:rPr>
          <w:sz w:val="26"/>
          <w:szCs w:val="26"/>
          <w:lang w:bidi="he-IL"/>
        </w:rPr>
        <w:t xml:space="preserve"> especially consistent with </w:t>
      </w:r>
      <w:proofErr w:type="spellStart"/>
      <w:r w:rsidR="00975572" w:rsidRPr="00D4590B">
        <w:rPr>
          <w:sz w:val="26"/>
          <w:szCs w:val="26"/>
          <w:lang w:bidi="he-IL"/>
        </w:rPr>
        <w:t>Radak’s</w:t>
      </w:r>
      <w:proofErr w:type="spellEnd"/>
      <w:r w:rsidR="00975572" w:rsidRPr="00D4590B">
        <w:rPr>
          <w:sz w:val="26"/>
          <w:szCs w:val="26"/>
          <w:lang w:bidi="he-IL"/>
        </w:rPr>
        <w:t>, a parallel for the elision of a noun governed by a prior noun in the construct state</w:t>
      </w:r>
      <w:r w:rsidR="00A55DD2" w:rsidRPr="00D4590B">
        <w:rPr>
          <w:sz w:val="26"/>
          <w:szCs w:val="26"/>
          <w:lang w:bidi="he-IL"/>
        </w:rPr>
        <w:t xml:space="preserve"> (</w:t>
      </w:r>
      <w:r w:rsidR="00BA7708" w:rsidRPr="00D4590B">
        <w:rPr>
          <w:sz w:val="26"/>
          <w:szCs w:val="26"/>
          <w:lang w:bidi="he-IL"/>
        </w:rPr>
        <w:t>“</w:t>
      </w:r>
      <w:r w:rsidR="00A55DD2" w:rsidRPr="00D4590B">
        <w:rPr>
          <w:rFonts w:hint="cs"/>
          <w:sz w:val="26"/>
          <w:szCs w:val="26"/>
          <w:rtl/>
          <w:lang w:bidi="he-IL"/>
        </w:rPr>
        <w:t>חסר הנסמך</w:t>
      </w:r>
      <w:r w:rsidR="00BA7708" w:rsidRPr="00D4590B">
        <w:rPr>
          <w:sz w:val="26"/>
          <w:szCs w:val="26"/>
          <w:lang w:bidi="he-IL"/>
        </w:rPr>
        <w:t>”</w:t>
      </w:r>
      <w:r w:rsidR="00A55DD2" w:rsidRPr="00D4590B">
        <w:rPr>
          <w:sz w:val="26"/>
          <w:szCs w:val="26"/>
          <w:lang w:bidi="he-IL"/>
        </w:rPr>
        <w:t xml:space="preserve"> followed by the presentation of an analogous case)</w:t>
      </w:r>
      <w:r w:rsidR="00975572" w:rsidRPr="00D4590B">
        <w:rPr>
          <w:sz w:val="26"/>
          <w:szCs w:val="26"/>
          <w:lang w:bidi="he-IL"/>
        </w:rPr>
        <w:t>.</w:t>
      </w:r>
    </w:p>
    <w:p w:rsidR="00975572" w:rsidRPr="00D4590B" w:rsidRDefault="00975572" w:rsidP="00F825A4">
      <w:pPr>
        <w:spacing w:line="300" w:lineRule="exact"/>
        <w:ind w:firstLine="284"/>
        <w:jc w:val="both"/>
        <w:rPr>
          <w:sz w:val="26"/>
          <w:szCs w:val="26"/>
          <w:lang w:bidi="he-IL"/>
        </w:rPr>
      </w:pPr>
      <w:r w:rsidRPr="00D4590B">
        <w:rPr>
          <w:sz w:val="26"/>
          <w:szCs w:val="26"/>
          <w:lang w:bidi="he-IL"/>
        </w:rPr>
        <w:t xml:space="preserve">While our commentator indeed does not address </w:t>
      </w:r>
      <w:proofErr w:type="spellStart"/>
      <w:r w:rsidR="00DC5E83" w:rsidRPr="00D4590B">
        <w:rPr>
          <w:i/>
          <w:iCs/>
          <w:sz w:val="26"/>
          <w:szCs w:val="26"/>
          <w:lang w:bidi="he-IL"/>
        </w:rPr>
        <w:t>q</w:t>
      </w:r>
      <w:r w:rsidRPr="00D4590B">
        <w:rPr>
          <w:i/>
          <w:iCs/>
          <w:sz w:val="26"/>
          <w:szCs w:val="26"/>
          <w:lang w:bidi="he-IL"/>
        </w:rPr>
        <w:t>erei-ketiv</w:t>
      </w:r>
      <w:proofErr w:type="spellEnd"/>
      <w:r w:rsidRPr="00D4590B">
        <w:rPr>
          <w:sz w:val="26"/>
          <w:szCs w:val="26"/>
          <w:lang w:bidi="he-IL"/>
        </w:rPr>
        <w:t xml:space="preserve"> disparities, this is one of several features of the commentary that match those of </w:t>
      </w:r>
      <w:proofErr w:type="spellStart"/>
      <w:r w:rsidRPr="00D4590B">
        <w:rPr>
          <w:sz w:val="26"/>
          <w:szCs w:val="26"/>
          <w:lang w:bidi="he-IL"/>
        </w:rPr>
        <w:t>Radak</w:t>
      </w:r>
      <w:proofErr w:type="spellEnd"/>
      <w:r w:rsidRPr="00D4590B">
        <w:rPr>
          <w:sz w:val="26"/>
          <w:szCs w:val="26"/>
          <w:lang w:bidi="he-IL"/>
        </w:rPr>
        <w:t xml:space="preserve"> on Chronicles, where he similarly ignores this type of </w:t>
      </w:r>
      <w:r w:rsidR="00F825A4">
        <w:rPr>
          <w:sz w:val="26"/>
          <w:szCs w:val="26"/>
          <w:lang w:bidi="he-IL"/>
        </w:rPr>
        <w:t>M</w:t>
      </w:r>
      <w:r w:rsidR="00F825A4" w:rsidRPr="00D4590B">
        <w:rPr>
          <w:sz w:val="26"/>
          <w:szCs w:val="26"/>
          <w:lang w:bidi="he-IL"/>
        </w:rPr>
        <w:t xml:space="preserve">asoretic </w:t>
      </w:r>
      <w:r w:rsidRPr="00D4590B">
        <w:rPr>
          <w:sz w:val="26"/>
          <w:szCs w:val="26"/>
          <w:lang w:bidi="he-IL"/>
        </w:rPr>
        <w:t>uncertainty.</w:t>
      </w:r>
      <w:r w:rsidR="008515BC" w:rsidRPr="00D4590B">
        <w:rPr>
          <w:sz w:val="26"/>
          <w:szCs w:val="26"/>
          <w:lang w:bidi="he-IL"/>
        </w:rPr>
        <w:t xml:space="preserve"> </w:t>
      </w:r>
      <w:r w:rsidR="00B22B37" w:rsidRPr="00D4590B">
        <w:rPr>
          <w:sz w:val="26"/>
          <w:szCs w:val="26"/>
          <w:lang w:bidi="he-IL"/>
        </w:rPr>
        <w:t>For a</w:t>
      </w:r>
      <w:r w:rsidR="00185F88" w:rsidRPr="00D4590B">
        <w:rPr>
          <w:sz w:val="26"/>
          <w:szCs w:val="26"/>
          <w:lang w:bidi="he-IL"/>
        </w:rPr>
        <w:t xml:space="preserve">s I have argued elsewhere, explanation of </w:t>
      </w:r>
      <w:proofErr w:type="spellStart"/>
      <w:r w:rsidR="00185F88" w:rsidRPr="00D4590B">
        <w:rPr>
          <w:i/>
          <w:iCs/>
          <w:sz w:val="26"/>
          <w:szCs w:val="26"/>
          <w:lang w:bidi="he-IL"/>
        </w:rPr>
        <w:t>qerei-ketiv</w:t>
      </w:r>
      <w:proofErr w:type="spellEnd"/>
      <w:r w:rsidR="00185F88" w:rsidRPr="00D4590B">
        <w:rPr>
          <w:sz w:val="26"/>
          <w:szCs w:val="26"/>
          <w:lang w:bidi="he-IL"/>
        </w:rPr>
        <w:t xml:space="preserve"> alternatives was evidently not part of </w:t>
      </w:r>
      <w:proofErr w:type="spellStart"/>
      <w:r w:rsidR="00185F88" w:rsidRPr="00D4590B">
        <w:rPr>
          <w:sz w:val="26"/>
          <w:szCs w:val="26"/>
          <w:lang w:bidi="he-IL"/>
        </w:rPr>
        <w:t>Radak’s</w:t>
      </w:r>
      <w:proofErr w:type="spellEnd"/>
      <w:r w:rsidR="00185F88" w:rsidRPr="00D4590B">
        <w:rPr>
          <w:sz w:val="26"/>
          <w:szCs w:val="26"/>
          <w:lang w:bidi="he-IL"/>
        </w:rPr>
        <w:t xml:space="preserve"> exegetical program</w:t>
      </w:r>
      <w:r w:rsidR="00185F88" w:rsidRPr="00D4590B">
        <w:rPr>
          <w:i/>
          <w:iCs/>
          <w:sz w:val="26"/>
          <w:szCs w:val="26"/>
          <w:lang w:bidi="he-IL"/>
        </w:rPr>
        <w:t xml:space="preserve"> </w:t>
      </w:r>
      <w:r w:rsidR="00185F88" w:rsidRPr="00D4590B">
        <w:rPr>
          <w:sz w:val="26"/>
          <w:szCs w:val="26"/>
          <w:lang w:bidi="he-IL"/>
        </w:rPr>
        <w:t>in the earliest stages of his career.</w:t>
      </w:r>
      <w:r w:rsidRPr="00D4590B">
        <w:rPr>
          <w:rStyle w:val="a4"/>
          <w:sz w:val="26"/>
          <w:szCs w:val="26"/>
          <w:lang w:bidi="he-IL"/>
        </w:rPr>
        <w:footnoteReference w:id="109"/>
      </w:r>
      <w:r w:rsidR="008515BC" w:rsidRPr="00D4590B">
        <w:rPr>
          <w:sz w:val="26"/>
          <w:szCs w:val="26"/>
          <w:lang w:bidi="he-IL"/>
        </w:rPr>
        <w:t xml:space="preserve"> </w:t>
      </w:r>
      <w:r w:rsidR="00D77DE9" w:rsidRPr="00D4590B">
        <w:rPr>
          <w:sz w:val="26"/>
          <w:szCs w:val="26"/>
          <w:lang w:bidi="he-IL"/>
        </w:rPr>
        <w:t>An exception</w:t>
      </w:r>
      <w:r w:rsidRPr="00D4590B">
        <w:rPr>
          <w:sz w:val="26"/>
          <w:szCs w:val="26"/>
          <w:lang w:bidi="he-IL"/>
        </w:rPr>
        <w:t xml:space="preserve"> does appear at II Chronicles 24:27, where </w:t>
      </w:r>
      <w:proofErr w:type="spellStart"/>
      <w:r w:rsidRPr="00D4590B">
        <w:rPr>
          <w:sz w:val="26"/>
          <w:szCs w:val="26"/>
          <w:lang w:bidi="he-IL"/>
        </w:rPr>
        <w:t>Radak</w:t>
      </w:r>
      <w:proofErr w:type="spellEnd"/>
      <w:r w:rsidRPr="00D4590B">
        <w:rPr>
          <w:sz w:val="26"/>
          <w:szCs w:val="26"/>
          <w:lang w:bidi="he-IL"/>
        </w:rPr>
        <w:t xml:space="preserve"> indeed addresses the different options presented by the </w:t>
      </w:r>
      <w:proofErr w:type="spellStart"/>
      <w:r w:rsidR="00DC5E83" w:rsidRPr="00D4590B">
        <w:rPr>
          <w:i/>
          <w:iCs/>
          <w:sz w:val="26"/>
          <w:szCs w:val="26"/>
          <w:lang w:bidi="he-IL"/>
        </w:rPr>
        <w:t>q</w:t>
      </w:r>
      <w:r w:rsidRPr="00D4590B">
        <w:rPr>
          <w:i/>
          <w:iCs/>
          <w:sz w:val="26"/>
          <w:szCs w:val="26"/>
          <w:lang w:bidi="he-IL"/>
        </w:rPr>
        <w:t>erei</w:t>
      </w:r>
      <w:proofErr w:type="spellEnd"/>
      <w:r w:rsidRPr="00D4590B">
        <w:rPr>
          <w:sz w:val="26"/>
          <w:szCs w:val="26"/>
          <w:lang w:bidi="he-IL"/>
        </w:rPr>
        <w:t xml:space="preserve"> and the </w:t>
      </w:r>
      <w:proofErr w:type="spellStart"/>
      <w:r w:rsidRPr="00D4590B">
        <w:rPr>
          <w:i/>
          <w:iCs/>
          <w:sz w:val="26"/>
          <w:szCs w:val="26"/>
          <w:lang w:bidi="he-IL"/>
        </w:rPr>
        <w:t>ketiv</w:t>
      </w:r>
      <w:proofErr w:type="spellEnd"/>
      <w:r w:rsidR="00D77DE9" w:rsidRPr="00D4590B">
        <w:rPr>
          <w:sz w:val="26"/>
          <w:szCs w:val="26"/>
          <w:lang w:bidi="he-IL"/>
        </w:rPr>
        <w:t xml:space="preserve">. But </w:t>
      </w:r>
      <w:r w:rsidRPr="00D4590B">
        <w:rPr>
          <w:sz w:val="26"/>
          <w:szCs w:val="26"/>
          <w:lang w:bidi="he-IL"/>
        </w:rPr>
        <w:t xml:space="preserve">the relevant part of the comment is missing from MSS Paris and </w:t>
      </w:r>
      <w:smartTag w:uri="urn:schemas-microsoft-com:office:smarttags" w:element="City">
        <w:smartTag w:uri="urn:schemas-microsoft-com:office:smarttags" w:element="place">
          <w:r w:rsidRPr="00D4590B">
            <w:rPr>
              <w:sz w:val="26"/>
              <w:szCs w:val="26"/>
              <w:lang w:bidi="he-IL"/>
            </w:rPr>
            <w:t>Munich</w:t>
          </w:r>
        </w:smartTag>
      </w:smartTag>
      <w:r w:rsidRPr="00D4590B">
        <w:rPr>
          <w:sz w:val="26"/>
          <w:szCs w:val="26"/>
          <w:lang w:bidi="he-IL"/>
        </w:rPr>
        <w:t>, and wa</w:t>
      </w:r>
      <w:r w:rsidR="00EC2A7D" w:rsidRPr="00D4590B">
        <w:rPr>
          <w:sz w:val="26"/>
          <w:szCs w:val="26"/>
          <w:lang w:bidi="he-IL"/>
        </w:rPr>
        <w:t>s apparently not in the earliest</w:t>
      </w:r>
      <w:r w:rsidRPr="00D4590B">
        <w:rPr>
          <w:sz w:val="26"/>
          <w:szCs w:val="26"/>
          <w:lang w:bidi="he-IL"/>
        </w:rPr>
        <w:t xml:space="preserve"> version of the commentary—that is, the one predictably closest to the Proverbs commentary in its exegetical and compositional style.</w:t>
      </w:r>
    </w:p>
    <w:p w:rsidR="00975572" w:rsidRPr="00D4590B" w:rsidRDefault="00975572" w:rsidP="00D4590B">
      <w:pPr>
        <w:spacing w:line="300" w:lineRule="exact"/>
        <w:jc w:val="both"/>
        <w:rPr>
          <w:i/>
          <w:iCs/>
          <w:sz w:val="26"/>
          <w:szCs w:val="26"/>
          <w:lang w:bidi="he-IL"/>
        </w:rPr>
      </w:pPr>
      <w:r w:rsidRPr="00D4590B">
        <w:rPr>
          <w:i/>
          <w:iCs/>
          <w:sz w:val="26"/>
          <w:szCs w:val="26"/>
          <w:lang w:bidi="he-IL"/>
        </w:rPr>
        <w:t>Utilization of Targum</w:t>
      </w:r>
    </w:p>
    <w:p w:rsidR="00975572" w:rsidRPr="00D4590B" w:rsidRDefault="00975572" w:rsidP="00D4590B">
      <w:pPr>
        <w:spacing w:line="300" w:lineRule="exact"/>
        <w:jc w:val="both"/>
        <w:rPr>
          <w:sz w:val="26"/>
          <w:szCs w:val="26"/>
          <w:lang w:bidi="he-IL"/>
        </w:rPr>
      </w:pPr>
      <w:r w:rsidRPr="00D4590B">
        <w:rPr>
          <w:sz w:val="26"/>
          <w:szCs w:val="26"/>
          <w:lang w:bidi="he-IL"/>
        </w:rPr>
        <w:t xml:space="preserve">Grunhaus counts twenty-four citations of Targum </w:t>
      </w:r>
      <w:proofErr w:type="spellStart"/>
      <w:r w:rsidRPr="00D4590B">
        <w:rPr>
          <w:sz w:val="26"/>
          <w:szCs w:val="26"/>
          <w:lang w:bidi="he-IL"/>
        </w:rPr>
        <w:t>Onkelos</w:t>
      </w:r>
      <w:proofErr w:type="spellEnd"/>
      <w:r w:rsidRPr="00D4590B">
        <w:rPr>
          <w:sz w:val="26"/>
          <w:szCs w:val="26"/>
          <w:lang w:bidi="he-IL"/>
        </w:rPr>
        <w:t xml:space="preserve"> in the Proverbs commentary,</w:t>
      </w:r>
      <w:r w:rsidR="00FA2AB8" w:rsidRPr="00D4590B">
        <w:rPr>
          <w:rStyle w:val="a4"/>
          <w:sz w:val="26"/>
          <w:szCs w:val="26"/>
          <w:lang w:bidi="he-IL"/>
        </w:rPr>
        <w:footnoteReference w:id="110"/>
      </w:r>
      <w:r w:rsidRPr="00D4590B">
        <w:rPr>
          <w:sz w:val="26"/>
          <w:szCs w:val="26"/>
          <w:lang w:bidi="he-IL"/>
        </w:rPr>
        <w:t xml:space="preserve"> and seven of Targum Jonathan.</w:t>
      </w:r>
      <w:r w:rsidR="008515BC" w:rsidRPr="00D4590B">
        <w:rPr>
          <w:sz w:val="26"/>
          <w:szCs w:val="26"/>
          <w:lang w:bidi="he-IL"/>
        </w:rPr>
        <w:t xml:space="preserve"> </w:t>
      </w:r>
      <w:r w:rsidRPr="00D4590B">
        <w:rPr>
          <w:sz w:val="26"/>
          <w:szCs w:val="26"/>
          <w:lang w:bidi="he-IL"/>
        </w:rPr>
        <w:t xml:space="preserve">This, she argues, is inconsistent with the practice of </w:t>
      </w:r>
      <w:proofErr w:type="spellStart"/>
      <w:r w:rsidRPr="00D4590B">
        <w:rPr>
          <w:sz w:val="26"/>
          <w:szCs w:val="26"/>
          <w:lang w:bidi="he-IL"/>
        </w:rPr>
        <w:t>Radak</w:t>
      </w:r>
      <w:proofErr w:type="spellEnd"/>
      <w:r w:rsidRPr="00D4590B">
        <w:rPr>
          <w:sz w:val="26"/>
          <w:szCs w:val="26"/>
          <w:lang w:bidi="he-IL"/>
        </w:rPr>
        <w:t xml:space="preserve">, whose citations of Jonathan are innumerable and who, according to Harry Cohen, cites </w:t>
      </w:r>
      <w:proofErr w:type="spellStart"/>
      <w:r w:rsidRPr="00D4590B">
        <w:rPr>
          <w:sz w:val="26"/>
          <w:szCs w:val="26"/>
          <w:lang w:bidi="he-IL"/>
        </w:rPr>
        <w:t>Onkelos</w:t>
      </w:r>
      <w:proofErr w:type="spellEnd"/>
      <w:r w:rsidRPr="00D4590B">
        <w:rPr>
          <w:sz w:val="26"/>
          <w:szCs w:val="26"/>
          <w:lang w:bidi="he-IL"/>
        </w:rPr>
        <w:t xml:space="preserve"> only thirty-three times in his commentaries on the Prophets and Writings.</w:t>
      </w:r>
      <w:r w:rsidRPr="00D4590B">
        <w:rPr>
          <w:rStyle w:val="a4"/>
          <w:sz w:val="26"/>
          <w:szCs w:val="26"/>
          <w:lang w:bidi="he-IL"/>
        </w:rPr>
        <w:footnoteReference w:id="111"/>
      </w:r>
    </w:p>
    <w:p w:rsidR="00975572" w:rsidRPr="00D4590B" w:rsidRDefault="00975572" w:rsidP="00652B40">
      <w:pPr>
        <w:spacing w:line="300" w:lineRule="exact"/>
        <w:ind w:firstLine="284"/>
        <w:jc w:val="both"/>
        <w:rPr>
          <w:sz w:val="26"/>
          <w:szCs w:val="26"/>
          <w:lang w:bidi="he-IL"/>
        </w:rPr>
      </w:pPr>
      <w:r w:rsidRPr="00D4590B">
        <w:rPr>
          <w:sz w:val="26"/>
          <w:szCs w:val="26"/>
          <w:lang w:bidi="he-IL"/>
        </w:rPr>
        <w:t>In fact, however, this tally of thirty-three (</w:t>
      </w:r>
      <w:r w:rsidR="00707244" w:rsidRPr="00D4590B">
        <w:rPr>
          <w:sz w:val="26"/>
          <w:szCs w:val="26"/>
          <w:lang w:bidi="he-IL"/>
        </w:rPr>
        <w:t>itself a moderate</w:t>
      </w:r>
      <w:r w:rsidR="00B8615C" w:rsidRPr="00D4590B">
        <w:rPr>
          <w:sz w:val="26"/>
          <w:szCs w:val="26"/>
          <w:lang w:bidi="he-IL"/>
        </w:rPr>
        <w:t xml:space="preserve"> undercount</w:t>
      </w:r>
      <w:r w:rsidRPr="00D4590B">
        <w:rPr>
          <w:rStyle w:val="a4"/>
          <w:sz w:val="26"/>
          <w:szCs w:val="26"/>
          <w:lang w:bidi="he-IL"/>
        </w:rPr>
        <w:footnoteReference w:id="112"/>
      </w:r>
      <w:r w:rsidRPr="00D4590B">
        <w:rPr>
          <w:sz w:val="26"/>
          <w:szCs w:val="26"/>
          <w:lang w:bidi="he-IL"/>
        </w:rPr>
        <w:t xml:space="preserve">) includes only citations of </w:t>
      </w:r>
      <w:proofErr w:type="spellStart"/>
      <w:r w:rsidRPr="00D4590B">
        <w:rPr>
          <w:sz w:val="26"/>
          <w:szCs w:val="26"/>
          <w:lang w:bidi="he-IL"/>
        </w:rPr>
        <w:t>Onkelos</w:t>
      </w:r>
      <w:proofErr w:type="spellEnd"/>
      <w:r w:rsidRPr="00D4590B">
        <w:rPr>
          <w:sz w:val="26"/>
          <w:szCs w:val="26"/>
          <w:lang w:bidi="he-IL"/>
        </w:rPr>
        <w:t xml:space="preserve"> by name.</w:t>
      </w:r>
      <w:r w:rsidR="008515BC" w:rsidRPr="00D4590B">
        <w:rPr>
          <w:sz w:val="26"/>
          <w:szCs w:val="26"/>
          <w:lang w:bidi="he-IL"/>
        </w:rPr>
        <w:t xml:space="preserve"> </w:t>
      </w:r>
      <w:r w:rsidRPr="00D4590B">
        <w:rPr>
          <w:sz w:val="26"/>
          <w:szCs w:val="26"/>
          <w:lang w:bidi="he-IL"/>
        </w:rPr>
        <w:t xml:space="preserve">On the other hand, none of the citations in the Proverbs commentary </w:t>
      </w:r>
      <w:r w:rsidR="00D77DE9" w:rsidRPr="00D4590B">
        <w:rPr>
          <w:sz w:val="26"/>
          <w:szCs w:val="26"/>
          <w:lang w:bidi="he-IL"/>
        </w:rPr>
        <w:t>makes</w:t>
      </w:r>
      <w:r w:rsidRPr="00D4590B">
        <w:rPr>
          <w:sz w:val="26"/>
          <w:szCs w:val="26"/>
          <w:lang w:bidi="he-IL"/>
        </w:rPr>
        <w:t xml:space="preserve"> explicit mention of </w:t>
      </w:r>
      <w:proofErr w:type="spellStart"/>
      <w:r w:rsidRPr="00D4590B">
        <w:rPr>
          <w:sz w:val="26"/>
          <w:szCs w:val="26"/>
          <w:lang w:bidi="he-IL"/>
        </w:rPr>
        <w:t>Onkelos</w:t>
      </w:r>
      <w:proofErr w:type="spellEnd"/>
      <w:r w:rsidRPr="00D4590B">
        <w:rPr>
          <w:sz w:val="26"/>
          <w:szCs w:val="26"/>
          <w:lang w:bidi="he-IL"/>
        </w:rPr>
        <w:t>.</w:t>
      </w:r>
      <w:r w:rsidR="008515BC" w:rsidRPr="00D4590B">
        <w:rPr>
          <w:sz w:val="26"/>
          <w:szCs w:val="26"/>
          <w:lang w:bidi="he-IL"/>
        </w:rPr>
        <w:t xml:space="preserve"> </w:t>
      </w:r>
      <w:r w:rsidRPr="00D4590B">
        <w:rPr>
          <w:sz w:val="26"/>
          <w:szCs w:val="26"/>
          <w:lang w:bidi="he-IL"/>
        </w:rPr>
        <w:t xml:space="preserve">A proper comparison, therefore, would require that unnamed references to </w:t>
      </w:r>
      <w:proofErr w:type="spellStart"/>
      <w:r w:rsidRPr="00D4590B">
        <w:rPr>
          <w:sz w:val="26"/>
          <w:szCs w:val="26"/>
          <w:lang w:bidi="he-IL"/>
        </w:rPr>
        <w:t>Onkelos</w:t>
      </w:r>
      <w:proofErr w:type="spellEnd"/>
      <w:r w:rsidRPr="00D4590B">
        <w:rPr>
          <w:sz w:val="26"/>
          <w:szCs w:val="26"/>
          <w:lang w:bidi="he-IL"/>
        </w:rPr>
        <w:t xml:space="preserve"> in </w:t>
      </w:r>
      <w:proofErr w:type="spellStart"/>
      <w:r w:rsidRPr="00D4590B">
        <w:rPr>
          <w:sz w:val="26"/>
          <w:szCs w:val="26"/>
          <w:lang w:bidi="he-IL"/>
        </w:rPr>
        <w:t>Radak</w:t>
      </w:r>
      <w:proofErr w:type="spellEnd"/>
      <w:r w:rsidRPr="00D4590B">
        <w:rPr>
          <w:sz w:val="26"/>
          <w:szCs w:val="26"/>
          <w:lang w:bidi="he-IL"/>
        </w:rPr>
        <w:t>—which are distinctly more common—</w:t>
      </w:r>
      <w:r w:rsidR="00D77DE9" w:rsidRPr="00D4590B">
        <w:rPr>
          <w:sz w:val="26"/>
          <w:szCs w:val="26"/>
          <w:lang w:bidi="he-IL"/>
        </w:rPr>
        <w:t xml:space="preserve">also </w:t>
      </w:r>
      <w:r w:rsidRPr="00D4590B">
        <w:rPr>
          <w:sz w:val="26"/>
          <w:szCs w:val="26"/>
          <w:lang w:bidi="he-IL"/>
        </w:rPr>
        <w:t>be considered.</w:t>
      </w:r>
      <w:r w:rsidR="008515BC" w:rsidRPr="00D4590B">
        <w:rPr>
          <w:sz w:val="26"/>
          <w:szCs w:val="26"/>
          <w:lang w:bidi="he-IL"/>
        </w:rPr>
        <w:t xml:space="preserve"> </w:t>
      </w:r>
      <w:r w:rsidR="003D3094" w:rsidRPr="00D4590B">
        <w:rPr>
          <w:sz w:val="26"/>
          <w:szCs w:val="26"/>
          <w:lang w:bidi="he-IL"/>
        </w:rPr>
        <w:t>Now</w:t>
      </w:r>
      <w:r w:rsidRPr="00D4590B">
        <w:rPr>
          <w:sz w:val="26"/>
          <w:szCs w:val="26"/>
          <w:lang w:bidi="he-IL"/>
        </w:rPr>
        <w:t xml:space="preserve"> while it remains true that </w:t>
      </w:r>
      <w:proofErr w:type="spellStart"/>
      <w:r w:rsidRPr="00D4590B">
        <w:rPr>
          <w:sz w:val="26"/>
          <w:szCs w:val="26"/>
          <w:lang w:bidi="he-IL"/>
        </w:rPr>
        <w:t>Radak’s</w:t>
      </w:r>
      <w:proofErr w:type="spellEnd"/>
      <w:r w:rsidRPr="00D4590B">
        <w:rPr>
          <w:sz w:val="26"/>
          <w:szCs w:val="26"/>
          <w:lang w:bidi="he-IL"/>
        </w:rPr>
        <w:t xml:space="preserve"> citations of Jonathan </w:t>
      </w:r>
      <w:r w:rsidR="00C277FA" w:rsidRPr="00D4590B">
        <w:rPr>
          <w:sz w:val="26"/>
          <w:szCs w:val="26"/>
          <w:lang w:bidi="he-IL"/>
        </w:rPr>
        <w:t>in commentaries other than Proverbs—explicitly noted or not—</w:t>
      </w:r>
      <w:r w:rsidRPr="00D4590B">
        <w:rPr>
          <w:sz w:val="26"/>
          <w:szCs w:val="26"/>
          <w:lang w:bidi="he-IL"/>
        </w:rPr>
        <w:t xml:space="preserve">far outnumber his references to </w:t>
      </w:r>
      <w:proofErr w:type="spellStart"/>
      <w:r w:rsidRPr="00D4590B">
        <w:rPr>
          <w:sz w:val="26"/>
          <w:szCs w:val="26"/>
          <w:lang w:bidi="he-IL"/>
        </w:rPr>
        <w:t>Onkelos</w:t>
      </w:r>
      <w:proofErr w:type="spellEnd"/>
      <w:r w:rsidRPr="00D4590B">
        <w:rPr>
          <w:sz w:val="26"/>
          <w:szCs w:val="26"/>
          <w:lang w:bidi="he-IL"/>
        </w:rPr>
        <w:t>, this apparent inconsistency with the Proverbs commentary is entirely neutralized by another crucial consideration.</w:t>
      </w:r>
      <w:r w:rsidR="008515BC" w:rsidRPr="00D4590B">
        <w:rPr>
          <w:sz w:val="26"/>
          <w:szCs w:val="26"/>
          <w:lang w:bidi="he-IL"/>
        </w:rPr>
        <w:t xml:space="preserve"> </w:t>
      </w:r>
      <w:r w:rsidRPr="00D4590B">
        <w:rPr>
          <w:sz w:val="26"/>
          <w:szCs w:val="26"/>
          <w:lang w:bidi="he-IL"/>
        </w:rPr>
        <w:t xml:space="preserve">When composing his works on the Prophets and Writings, </w:t>
      </w:r>
      <w:proofErr w:type="spellStart"/>
      <w:r w:rsidRPr="00D4590B">
        <w:rPr>
          <w:sz w:val="26"/>
          <w:szCs w:val="26"/>
          <w:lang w:bidi="he-IL"/>
        </w:rPr>
        <w:t>Radak</w:t>
      </w:r>
      <w:proofErr w:type="spellEnd"/>
      <w:r w:rsidRPr="00D4590B">
        <w:rPr>
          <w:sz w:val="26"/>
          <w:szCs w:val="26"/>
          <w:lang w:bidi="he-IL"/>
        </w:rPr>
        <w:t xml:space="preserve"> was clearly working with Targum Jonathan at his side, except in the case of the </w:t>
      </w:r>
      <w:r w:rsidR="004E7991">
        <w:rPr>
          <w:sz w:val="26"/>
          <w:szCs w:val="26"/>
          <w:lang w:bidi="he-IL"/>
        </w:rPr>
        <w:t>commentary on</w:t>
      </w:r>
      <w:r w:rsidRPr="00D4590B">
        <w:rPr>
          <w:sz w:val="26"/>
          <w:szCs w:val="26"/>
          <w:lang w:bidi="he-IL"/>
        </w:rPr>
        <w:t xml:space="preserve"> Chronicles and—if </w:t>
      </w:r>
      <w:proofErr w:type="spellStart"/>
      <w:r w:rsidRPr="00D4590B">
        <w:rPr>
          <w:sz w:val="26"/>
          <w:szCs w:val="26"/>
          <w:lang w:bidi="he-IL"/>
        </w:rPr>
        <w:t>Radak</w:t>
      </w:r>
      <w:proofErr w:type="spellEnd"/>
      <w:r w:rsidRPr="00D4590B">
        <w:rPr>
          <w:sz w:val="26"/>
          <w:szCs w:val="26"/>
          <w:lang w:bidi="he-IL"/>
        </w:rPr>
        <w:t xml:space="preserve"> is its author—of the </w:t>
      </w:r>
      <w:r w:rsidR="004E7991">
        <w:rPr>
          <w:sz w:val="26"/>
          <w:szCs w:val="26"/>
          <w:lang w:bidi="he-IL"/>
        </w:rPr>
        <w:t>commentary on</w:t>
      </w:r>
      <w:r w:rsidRPr="00D4590B">
        <w:rPr>
          <w:sz w:val="26"/>
          <w:szCs w:val="26"/>
          <w:lang w:bidi="he-IL"/>
        </w:rPr>
        <w:t xml:space="preserve"> Proverbs.</w:t>
      </w:r>
      <w:r w:rsidRPr="00D4590B">
        <w:rPr>
          <w:rStyle w:val="a4"/>
          <w:sz w:val="26"/>
          <w:szCs w:val="26"/>
          <w:lang w:bidi="he-IL"/>
        </w:rPr>
        <w:footnoteReference w:id="113"/>
      </w:r>
      <w:r w:rsidR="008515BC" w:rsidRPr="00D4590B">
        <w:rPr>
          <w:sz w:val="26"/>
          <w:szCs w:val="26"/>
          <w:lang w:bidi="he-IL"/>
        </w:rPr>
        <w:t xml:space="preserve"> </w:t>
      </w:r>
      <w:r w:rsidRPr="00D4590B">
        <w:rPr>
          <w:sz w:val="26"/>
          <w:szCs w:val="26"/>
          <w:lang w:bidi="he-IL"/>
        </w:rPr>
        <w:t xml:space="preserve">Accordingly, </w:t>
      </w:r>
      <w:r w:rsidR="00D77DE9" w:rsidRPr="00D4590B">
        <w:rPr>
          <w:sz w:val="26"/>
          <w:szCs w:val="26"/>
          <w:lang w:bidi="he-IL"/>
        </w:rPr>
        <w:t xml:space="preserve">in the majority of his works, when </w:t>
      </w:r>
      <w:proofErr w:type="spellStart"/>
      <w:r w:rsidRPr="00D4590B">
        <w:rPr>
          <w:sz w:val="26"/>
          <w:szCs w:val="26"/>
          <w:lang w:bidi="he-IL"/>
        </w:rPr>
        <w:t>Radak</w:t>
      </w:r>
      <w:proofErr w:type="spellEnd"/>
      <w:r w:rsidRPr="00D4590B">
        <w:rPr>
          <w:sz w:val="26"/>
          <w:szCs w:val="26"/>
          <w:lang w:bidi="he-IL"/>
        </w:rPr>
        <w:t xml:space="preserve"> cites a </w:t>
      </w:r>
      <w:proofErr w:type="spellStart"/>
      <w:r w:rsidRPr="00D4590B">
        <w:rPr>
          <w:sz w:val="26"/>
          <w:szCs w:val="26"/>
          <w:lang w:bidi="he-IL"/>
        </w:rPr>
        <w:t>targumic</w:t>
      </w:r>
      <w:proofErr w:type="spellEnd"/>
      <w:r w:rsidRPr="00D4590B">
        <w:rPr>
          <w:sz w:val="26"/>
          <w:szCs w:val="26"/>
          <w:lang w:bidi="he-IL"/>
        </w:rPr>
        <w:t xml:space="preserve"> rendering it is generally </w:t>
      </w:r>
      <w:r w:rsidRPr="00D4590B">
        <w:rPr>
          <w:i/>
          <w:iCs/>
          <w:sz w:val="26"/>
          <w:szCs w:val="26"/>
          <w:lang w:bidi="he-IL"/>
        </w:rPr>
        <w:t>on the verse he is interpreting</w:t>
      </w:r>
      <w:r w:rsidRPr="00D4590B">
        <w:rPr>
          <w:sz w:val="26"/>
          <w:szCs w:val="26"/>
          <w:lang w:bidi="he-IL"/>
        </w:rPr>
        <w:t>.</w:t>
      </w:r>
      <w:r w:rsidR="008515BC" w:rsidRPr="00D4590B">
        <w:rPr>
          <w:sz w:val="26"/>
          <w:szCs w:val="26"/>
          <w:lang w:bidi="he-IL"/>
        </w:rPr>
        <w:t xml:space="preserve"> </w:t>
      </w:r>
      <w:r w:rsidRPr="00D4590B">
        <w:rPr>
          <w:sz w:val="26"/>
          <w:szCs w:val="26"/>
          <w:lang w:bidi="he-IL"/>
        </w:rPr>
        <w:t xml:space="preserve">However, </w:t>
      </w:r>
      <w:r w:rsidR="00D77DE9" w:rsidRPr="00D4590B">
        <w:rPr>
          <w:sz w:val="26"/>
          <w:szCs w:val="26"/>
          <w:lang w:bidi="he-IL"/>
        </w:rPr>
        <w:t xml:space="preserve">when </w:t>
      </w:r>
      <w:r w:rsidRPr="00D4590B">
        <w:rPr>
          <w:sz w:val="26"/>
          <w:szCs w:val="26"/>
          <w:lang w:bidi="he-IL"/>
        </w:rPr>
        <w:t xml:space="preserve">he needs to seek elsewhere for an Aramaic rendering that serves his purpose, it is actually his </w:t>
      </w:r>
      <w:r w:rsidRPr="00D4590B">
        <w:rPr>
          <w:i/>
          <w:iCs/>
          <w:sz w:val="26"/>
          <w:szCs w:val="26"/>
          <w:lang w:bidi="he-IL"/>
        </w:rPr>
        <w:t>standard practice</w:t>
      </w:r>
      <w:r w:rsidRPr="00D4590B">
        <w:rPr>
          <w:sz w:val="26"/>
          <w:szCs w:val="26"/>
          <w:lang w:bidi="he-IL"/>
        </w:rPr>
        <w:t xml:space="preserve"> to go to the Pentateuch and </w:t>
      </w:r>
      <w:proofErr w:type="spellStart"/>
      <w:r w:rsidRPr="00D4590B">
        <w:rPr>
          <w:sz w:val="26"/>
          <w:szCs w:val="26"/>
          <w:lang w:bidi="he-IL"/>
        </w:rPr>
        <w:t>Onkelos</w:t>
      </w:r>
      <w:proofErr w:type="spellEnd"/>
      <w:r w:rsidRPr="00D4590B">
        <w:rPr>
          <w:sz w:val="26"/>
          <w:szCs w:val="26"/>
          <w:lang w:bidi="he-IL"/>
        </w:rPr>
        <w:t xml:space="preserve"> first</w:t>
      </w:r>
      <w:r w:rsidR="00F83DFF" w:rsidRPr="00D4590B">
        <w:rPr>
          <w:sz w:val="26"/>
          <w:szCs w:val="26"/>
          <w:lang w:bidi="he-IL"/>
        </w:rPr>
        <w:t>.</w:t>
      </w:r>
      <w:r w:rsidRPr="00D4590B">
        <w:rPr>
          <w:rStyle w:val="a4"/>
          <w:sz w:val="26"/>
          <w:szCs w:val="26"/>
          <w:lang w:bidi="he-IL"/>
        </w:rPr>
        <w:footnoteReference w:id="114"/>
      </w:r>
      <w:r w:rsidR="008515BC" w:rsidRPr="00D4590B">
        <w:rPr>
          <w:sz w:val="26"/>
          <w:szCs w:val="26"/>
          <w:lang w:bidi="he-IL"/>
        </w:rPr>
        <w:t xml:space="preserve"> </w:t>
      </w:r>
      <w:r w:rsidR="00F83DFF" w:rsidRPr="00D4590B">
        <w:rPr>
          <w:sz w:val="26"/>
          <w:szCs w:val="26"/>
          <w:lang w:bidi="he-IL"/>
        </w:rPr>
        <w:t xml:space="preserve">Indeed, </w:t>
      </w:r>
      <w:r w:rsidR="0065707D" w:rsidRPr="00D4590B">
        <w:rPr>
          <w:sz w:val="26"/>
          <w:szCs w:val="26"/>
          <w:lang w:bidi="he-IL"/>
        </w:rPr>
        <w:t>with</w:t>
      </w:r>
      <w:r w:rsidR="00DA3A28" w:rsidRPr="00D4590B">
        <w:rPr>
          <w:sz w:val="26"/>
          <w:szCs w:val="26"/>
          <w:lang w:bidi="he-IL"/>
        </w:rPr>
        <w:t xml:space="preserve">out a </w:t>
      </w:r>
      <w:r w:rsidR="0065707D" w:rsidRPr="00D4590B">
        <w:rPr>
          <w:sz w:val="26"/>
          <w:szCs w:val="26"/>
          <w:lang w:bidi="he-IL"/>
        </w:rPr>
        <w:t xml:space="preserve">running Targum on Proverbs having been available, </w:t>
      </w:r>
      <w:r w:rsidR="00F83DFF" w:rsidRPr="00D4590B">
        <w:rPr>
          <w:sz w:val="26"/>
          <w:szCs w:val="26"/>
          <w:lang w:bidi="he-IL"/>
        </w:rPr>
        <w:t xml:space="preserve">it is precisely this policy </w:t>
      </w:r>
      <w:r w:rsidR="00D77DE9" w:rsidRPr="00D4590B">
        <w:rPr>
          <w:sz w:val="26"/>
          <w:szCs w:val="26"/>
          <w:lang w:bidi="he-IL"/>
        </w:rPr>
        <w:t xml:space="preserve">that </w:t>
      </w:r>
      <w:r w:rsidR="00F83DFF" w:rsidRPr="00D4590B">
        <w:rPr>
          <w:sz w:val="26"/>
          <w:szCs w:val="26"/>
          <w:lang w:bidi="he-IL"/>
        </w:rPr>
        <w:t>accounts for</w:t>
      </w:r>
      <w:r w:rsidRPr="00D4590B">
        <w:rPr>
          <w:sz w:val="26"/>
          <w:szCs w:val="26"/>
          <w:lang w:bidi="he-IL"/>
        </w:rPr>
        <w:t xml:space="preserve"> the </w:t>
      </w:r>
      <w:r w:rsidR="00F83DFF" w:rsidRPr="00D4590B">
        <w:rPr>
          <w:sz w:val="26"/>
          <w:szCs w:val="26"/>
          <w:lang w:bidi="he-IL"/>
        </w:rPr>
        <w:t xml:space="preserve">comparatively high number of references to </w:t>
      </w:r>
      <w:proofErr w:type="spellStart"/>
      <w:r w:rsidR="00F83DFF" w:rsidRPr="00D4590B">
        <w:rPr>
          <w:sz w:val="26"/>
          <w:szCs w:val="26"/>
          <w:lang w:bidi="he-IL"/>
        </w:rPr>
        <w:t>Onkelos</w:t>
      </w:r>
      <w:proofErr w:type="spellEnd"/>
      <w:r w:rsidR="00F83DFF" w:rsidRPr="00D4590B">
        <w:rPr>
          <w:sz w:val="26"/>
          <w:szCs w:val="26"/>
          <w:lang w:bidi="he-IL"/>
        </w:rPr>
        <w:t xml:space="preserve"> in the </w:t>
      </w:r>
      <w:r w:rsidRPr="00D4590B">
        <w:rPr>
          <w:sz w:val="26"/>
          <w:szCs w:val="26"/>
          <w:lang w:bidi="he-IL"/>
        </w:rPr>
        <w:t>Proverbs commentary</w:t>
      </w:r>
      <w:r w:rsidR="00335211" w:rsidRPr="00D4590B">
        <w:rPr>
          <w:sz w:val="26"/>
          <w:szCs w:val="26"/>
          <w:lang w:bidi="he-IL"/>
        </w:rPr>
        <w:t>.</w:t>
      </w:r>
      <w:r w:rsidR="008515BC" w:rsidRPr="00D4590B">
        <w:rPr>
          <w:sz w:val="26"/>
          <w:szCs w:val="26"/>
          <w:lang w:bidi="he-IL"/>
        </w:rPr>
        <w:t xml:space="preserve"> </w:t>
      </w:r>
      <w:r w:rsidRPr="00D4590B">
        <w:rPr>
          <w:sz w:val="26"/>
          <w:szCs w:val="26"/>
          <w:lang w:bidi="he-IL"/>
        </w:rPr>
        <w:t>As for the Chronicles commentary, the distribution one finds is consistent with this pattern, if unique in its own right</w:t>
      </w:r>
      <w:r w:rsidR="009E079D" w:rsidRPr="00D4590B">
        <w:rPr>
          <w:sz w:val="26"/>
          <w:szCs w:val="26"/>
          <w:lang w:bidi="he-IL"/>
        </w:rPr>
        <w:t xml:space="preserve">. The </w:t>
      </w:r>
      <w:r w:rsidRPr="00D4590B">
        <w:rPr>
          <w:sz w:val="26"/>
          <w:szCs w:val="26"/>
          <w:lang w:bidi="he-IL"/>
        </w:rPr>
        <w:t xml:space="preserve">majority of </w:t>
      </w:r>
      <w:proofErr w:type="spellStart"/>
      <w:r w:rsidRPr="00D4590B">
        <w:rPr>
          <w:sz w:val="26"/>
          <w:szCs w:val="26"/>
          <w:lang w:bidi="he-IL"/>
        </w:rPr>
        <w:t>Radak’s</w:t>
      </w:r>
      <w:proofErr w:type="spellEnd"/>
      <w:r w:rsidRPr="00D4590B">
        <w:rPr>
          <w:sz w:val="26"/>
          <w:szCs w:val="26"/>
          <w:lang w:bidi="he-IL"/>
        </w:rPr>
        <w:t xml:space="preserve"> </w:t>
      </w:r>
      <w:proofErr w:type="spellStart"/>
      <w:r w:rsidRPr="00D4590B">
        <w:rPr>
          <w:sz w:val="26"/>
          <w:szCs w:val="26"/>
          <w:lang w:bidi="he-IL"/>
        </w:rPr>
        <w:t>targumic</w:t>
      </w:r>
      <w:proofErr w:type="spellEnd"/>
      <w:r w:rsidRPr="00D4590B">
        <w:rPr>
          <w:sz w:val="26"/>
          <w:szCs w:val="26"/>
          <w:lang w:bidi="he-IL"/>
        </w:rPr>
        <w:t xml:space="preserve"> citations are of Jonathan on the verse in the Former Prophets that </w:t>
      </w:r>
      <w:r w:rsidRPr="00D4590B">
        <w:rPr>
          <w:i/>
          <w:iCs/>
          <w:sz w:val="26"/>
          <w:szCs w:val="26"/>
          <w:lang w:bidi="he-IL"/>
        </w:rPr>
        <w:t>parallels</w:t>
      </w:r>
      <w:r w:rsidRPr="00D4590B">
        <w:rPr>
          <w:sz w:val="26"/>
          <w:szCs w:val="26"/>
          <w:lang w:bidi="he-IL"/>
        </w:rPr>
        <w:t xml:space="preserve"> the one in Chronicles; but of the others, only two are of Jonathan,</w:t>
      </w:r>
      <w:r w:rsidRPr="00D4590B">
        <w:rPr>
          <w:rStyle w:val="a4"/>
          <w:sz w:val="26"/>
          <w:szCs w:val="26"/>
          <w:lang w:bidi="he-IL"/>
        </w:rPr>
        <w:footnoteReference w:id="115"/>
      </w:r>
      <w:r w:rsidRPr="00D4590B">
        <w:rPr>
          <w:sz w:val="26"/>
          <w:szCs w:val="26"/>
          <w:lang w:bidi="he-IL"/>
        </w:rPr>
        <w:t xml:space="preserve"> while the remaining eight are either of </w:t>
      </w:r>
      <w:proofErr w:type="spellStart"/>
      <w:r w:rsidRPr="00D4590B">
        <w:rPr>
          <w:sz w:val="26"/>
          <w:szCs w:val="26"/>
          <w:lang w:bidi="he-IL"/>
        </w:rPr>
        <w:t>Onkelos</w:t>
      </w:r>
      <w:proofErr w:type="spellEnd"/>
      <w:r w:rsidRPr="00D4590B">
        <w:rPr>
          <w:sz w:val="26"/>
          <w:szCs w:val="26"/>
          <w:lang w:bidi="he-IL"/>
        </w:rPr>
        <w:t xml:space="preserve"> or are generic </w:t>
      </w:r>
      <w:proofErr w:type="spellStart"/>
      <w:r w:rsidRPr="00D4590B">
        <w:rPr>
          <w:sz w:val="26"/>
          <w:szCs w:val="26"/>
          <w:lang w:bidi="he-IL"/>
        </w:rPr>
        <w:t>targumic</w:t>
      </w:r>
      <w:proofErr w:type="spellEnd"/>
      <w:r w:rsidRPr="00D4590B">
        <w:rPr>
          <w:sz w:val="26"/>
          <w:szCs w:val="26"/>
          <w:lang w:bidi="he-IL"/>
        </w:rPr>
        <w:t xml:space="preserve"> renderings of terms that appear throughout the Bible.</w:t>
      </w:r>
      <w:r w:rsidRPr="00D4590B">
        <w:rPr>
          <w:rStyle w:val="a4"/>
          <w:sz w:val="26"/>
          <w:szCs w:val="26"/>
          <w:lang w:bidi="he-IL"/>
        </w:rPr>
        <w:footnoteReference w:id="116"/>
      </w:r>
      <w:r w:rsidR="008515BC" w:rsidRPr="00D4590B">
        <w:rPr>
          <w:sz w:val="26"/>
          <w:szCs w:val="26"/>
          <w:lang w:bidi="he-IL"/>
        </w:rPr>
        <w:t xml:space="preserve"> </w:t>
      </w:r>
      <w:r w:rsidRPr="00D4590B">
        <w:rPr>
          <w:sz w:val="26"/>
          <w:szCs w:val="26"/>
          <w:lang w:bidi="he-IL"/>
        </w:rPr>
        <w:t>Wh</w:t>
      </w:r>
      <w:r w:rsidR="00F54B56" w:rsidRPr="00D4590B">
        <w:rPr>
          <w:sz w:val="26"/>
          <w:szCs w:val="26"/>
          <w:lang w:bidi="he-IL"/>
        </w:rPr>
        <w:t>en the matter is</w:t>
      </w:r>
      <w:r w:rsidRPr="00D4590B">
        <w:rPr>
          <w:sz w:val="26"/>
          <w:szCs w:val="26"/>
          <w:lang w:bidi="he-IL"/>
        </w:rPr>
        <w:t xml:space="preserve"> properly evaluated, then, the utilization of Targum in the Proverbs commentary, if anything, contributes further to the impression that </w:t>
      </w:r>
      <w:proofErr w:type="spellStart"/>
      <w:r w:rsidRPr="00D4590B">
        <w:rPr>
          <w:sz w:val="26"/>
          <w:szCs w:val="26"/>
          <w:lang w:bidi="he-IL"/>
        </w:rPr>
        <w:t>Radak</w:t>
      </w:r>
      <w:proofErr w:type="spellEnd"/>
      <w:r w:rsidRPr="00D4590B">
        <w:rPr>
          <w:sz w:val="26"/>
          <w:szCs w:val="26"/>
          <w:lang w:bidi="he-IL"/>
        </w:rPr>
        <w:t xml:space="preserve"> is its author.</w:t>
      </w:r>
      <w:r w:rsidR="004733F4" w:rsidRPr="00D4590B">
        <w:rPr>
          <w:rStyle w:val="a4"/>
          <w:sz w:val="26"/>
          <w:szCs w:val="26"/>
          <w:lang w:bidi="he-IL"/>
        </w:rPr>
        <w:footnoteReference w:id="117"/>
      </w:r>
      <w:r w:rsidRPr="00D4590B">
        <w:rPr>
          <w:sz w:val="26"/>
          <w:szCs w:val="26"/>
          <w:lang w:bidi="he-IL"/>
        </w:rPr>
        <w:t xml:space="preserve"> </w:t>
      </w:r>
    </w:p>
    <w:p w:rsidR="00975572" w:rsidRPr="00D4590B" w:rsidRDefault="00E663C7" w:rsidP="00D4590B">
      <w:pPr>
        <w:spacing w:line="300" w:lineRule="exact"/>
        <w:jc w:val="both"/>
        <w:rPr>
          <w:sz w:val="26"/>
          <w:szCs w:val="26"/>
          <w:lang w:bidi="he-IL"/>
        </w:rPr>
      </w:pPr>
      <w:r>
        <w:rPr>
          <w:i/>
          <w:iCs/>
          <w:sz w:val="26"/>
          <w:szCs w:val="26"/>
          <w:lang w:bidi="he-IL"/>
        </w:rPr>
        <w:br w:type="page"/>
      </w:r>
      <w:r w:rsidR="00486CC1" w:rsidRPr="00D4590B">
        <w:rPr>
          <w:i/>
          <w:iCs/>
          <w:sz w:val="26"/>
          <w:szCs w:val="26"/>
          <w:lang w:bidi="he-IL"/>
        </w:rPr>
        <w:t>Citation of</w:t>
      </w:r>
      <w:r w:rsidR="00975572" w:rsidRPr="00D4590B">
        <w:rPr>
          <w:i/>
          <w:iCs/>
          <w:sz w:val="26"/>
          <w:szCs w:val="26"/>
          <w:lang w:bidi="he-IL"/>
        </w:rPr>
        <w:t xml:space="preserve"> Rabb</w:t>
      </w:r>
      <w:r w:rsidR="00486CC1" w:rsidRPr="00D4590B">
        <w:rPr>
          <w:i/>
          <w:iCs/>
          <w:sz w:val="26"/>
          <w:szCs w:val="26"/>
          <w:lang w:bidi="he-IL"/>
        </w:rPr>
        <w:t>inic Literature</w:t>
      </w:r>
    </w:p>
    <w:p w:rsidR="00975572" w:rsidRPr="00D4590B" w:rsidRDefault="00975572" w:rsidP="00D4590B">
      <w:pPr>
        <w:spacing w:line="300" w:lineRule="exact"/>
        <w:jc w:val="both"/>
        <w:rPr>
          <w:sz w:val="26"/>
          <w:szCs w:val="26"/>
          <w:lang w:bidi="he-IL"/>
        </w:rPr>
      </w:pPr>
      <w:r w:rsidRPr="00D4590B">
        <w:rPr>
          <w:sz w:val="26"/>
          <w:szCs w:val="26"/>
          <w:lang w:bidi="he-IL"/>
        </w:rPr>
        <w:t>Grunhaus observes that the overwhelming majority of citat</w:t>
      </w:r>
      <w:r w:rsidR="00486CC1" w:rsidRPr="00D4590B">
        <w:rPr>
          <w:sz w:val="26"/>
          <w:szCs w:val="26"/>
          <w:lang w:bidi="he-IL"/>
        </w:rPr>
        <w:t>ions of rabbinic literature</w:t>
      </w:r>
      <w:r w:rsidRPr="00D4590B">
        <w:rPr>
          <w:sz w:val="26"/>
          <w:szCs w:val="26"/>
          <w:lang w:bidi="he-IL"/>
        </w:rPr>
        <w:t xml:space="preserve"> in the Proverbs commentary already appear in </w:t>
      </w:r>
      <w:proofErr w:type="spellStart"/>
      <w:r w:rsidRPr="00D4590B">
        <w:rPr>
          <w:sz w:val="26"/>
          <w:szCs w:val="26"/>
          <w:lang w:bidi="he-IL"/>
        </w:rPr>
        <w:t>Rashi</w:t>
      </w:r>
      <w:proofErr w:type="spellEnd"/>
      <w:r w:rsidRPr="00D4590B">
        <w:rPr>
          <w:sz w:val="26"/>
          <w:szCs w:val="26"/>
          <w:lang w:bidi="he-IL"/>
        </w:rPr>
        <w:t>.</w:t>
      </w:r>
      <w:r w:rsidR="00E65D21" w:rsidRPr="00D4590B">
        <w:rPr>
          <w:rStyle w:val="a4"/>
          <w:sz w:val="26"/>
          <w:szCs w:val="26"/>
          <w:lang w:bidi="he-IL"/>
        </w:rPr>
        <w:footnoteReference w:id="118"/>
      </w:r>
      <w:r w:rsidR="008515BC" w:rsidRPr="00D4590B">
        <w:rPr>
          <w:sz w:val="26"/>
          <w:szCs w:val="26"/>
          <w:lang w:bidi="he-IL"/>
        </w:rPr>
        <w:t xml:space="preserve"> </w:t>
      </w:r>
      <w:r w:rsidRPr="00D4590B">
        <w:rPr>
          <w:sz w:val="26"/>
          <w:szCs w:val="26"/>
          <w:lang w:bidi="he-IL"/>
        </w:rPr>
        <w:t xml:space="preserve">That </w:t>
      </w:r>
      <w:proofErr w:type="spellStart"/>
      <w:r w:rsidRPr="00D4590B">
        <w:rPr>
          <w:sz w:val="26"/>
          <w:szCs w:val="26"/>
          <w:lang w:bidi="he-IL"/>
        </w:rPr>
        <w:t>Radak</w:t>
      </w:r>
      <w:proofErr w:type="spellEnd"/>
      <w:r w:rsidRPr="00D4590B">
        <w:rPr>
          <w:sz w:val="26"/>
          <w:szCs w:val="26"/>
          <w:lang w:bidi="he-IL"/>
        </w:rPr>
        <w:t xml:space="preserve"> would incorporate a fair number of </w:t>
      </w:r>
      <w:proofErr w:type="spellStart"/>
      <w:r w:rsidRPr="00D4590B">
        <w:rPr>
          <w:sz w:val="26"/>
          <w:szCs w:val="26"/>
          <w:lang w:bidi="he-IL"/>
        </w:rPr>
        <w:t>Rashi’s</w:t>
      </w:r>
      <w:proofErr w:type="spellEnd"/>
      <w:r w:rsidRPr="00D4590B">
        <w:rPr>
          <w:sz w:val="26"/>
          <w:szCs w:val="26"/>
          <w:lang w:bidi="he-IL"/>
        </w:rPr>
        <w:t xml:space="preserve"> rabbinic citations is not shocking</w:t>
      </w:r>
      <w:r w:rsidR="009E079D" w:rsidRPr="00D4590B">
        <w:rPr>
          <w:sz w:val="26"/>
          <w:szCs w:val="26"/>
          <w:lang w:bidi="he-IL"/>
        </w:rPr>
        <w:t xml:space="preserve"> in itself</w:t>
      </w:r>
      <w:r w:rsidRPr="00D4590B">
        <w:rPr>
          <w:sz w:val="26"/>
          <w:szCs w:val="26"/>
          <w:lang w:bidi="he-IL"/>
        </w:rPr>
        <w:t xml:space="preserve">: as Grunhaus has argued in another study, </w:t>
      </w:r>
      <w:proofErr w:type="spellStart"/>
      <w:r w:rsidRPr="00D4590B">
        <w:rPr>
          <w:sz w:val="26"/>
          <w:szCs w:val="26"/>
          <w:lang w:bidi="he-IL"/>
        </w:rPr>
        <w:t>Rashi</w:t>
      </w:r>
      <w:proofErr w:type="spellEnd"/>
      <w:r w:rsidRPr="00D4590B">
        <w:rPr>
          <w:sz w:val="26"/>
          <w:szCs w:val="26"/>
          <w:lang w:bidi="he-IL"/>
        </w:rPr>
        <w:t xml:space="preserve"> served as an important source for rabbinic interpretations that appe</w:t>
      </w:r>
      <w:r w:rsidR="008E1B24" w:rsidRPr="00D4590B">
        <w:rPr>
          <w:sz w:val="26"/>
          <w:szCs w:val="26"/>
          <w:lang w:bidi="he-IL"/>
        </w:rPr>
        <w:t xml:space="preserve">ar in </w:t>
      </w:r>
      <w:proofErr w:type="spellStart"/>
      <w:r w:rsidR="008E1B24" w:rsidRPr="00D4590B">
        <w:rPr>
          <w:sz w:val="26"/>
          <w:szCs w:val="26"/>
          <w:lang w:bidi="he-IL"/>
        </w:rPr>
        <w:t>Radak</w:t>
      </w:r>
      <w:proofErr w:type="spellEnd"/>
      <w:r w:rsidR="008E1B24" w:rsidRPr="00D4590B">
        <w:rPr>
          <w:sz w:val="26"/>
          <w:szCs w:val="26"/>
          <w:lang w:bidi="he-IL"/>
        </w:rPr>
        <w:t>;</w:t>
      </w:r>
      <w:r w:rsidR="00E65D21" w:rsidRPr="00D4590B">
        <w:rPr>
          <w:rStyle w:val="a4"/>
          <w:sz w:val="26"/>
          <w:szCs w:val="26"/>
          <w:lang w:bidi="he-IL"/>
        </w:rPr>
        <w:footnoteReference w:id="119"/>
      </w:r>
      <w:r w:rsidR="008E1B24" w:rsidRPr="00D4590B">
        <w:rPr>
          <w:sz w:val="26"/>
          <w:szCs w:val="26"/>
          <w:lang w:bidi="he-IL"/>
        </w:rPr>
        <w:t xml:space="preserve"> and </w:t>
      </w:r>
      <w:r w:rsidR="007F73A8" w:rsidRPr="00D4590B">
        <w:rPr>
          <w:sz w:val="26"/>
          <w:szCs w:val="26"/>
          <w:lang w:bidi="he-IL"/>
        </w:rPr>
        <w:t xml:space="preserve">as </w:t>
      </w:r>
      <w:r w:rsidR="008E1B24" w:rsidRPr="00D4590B">
        <w:rPr>
          <w:sz w:val="26"/>
          <w:szCs w:val="26"/>
          <w:lang w:bidi="he-IL"/>
        </w:rPr>
        <w:t>should be clear by now</w:t>
      </w:r>
      <w:r w:rsidRPr="00D4590B">
        <w:rPr>
          <w:sz w:val="26"/>
          <w:szCs w:val="26"/>
          <w:lang w:bidi="he-IL"/>
        </w:rPr>
        <w:t xml:space="preserve">, our commentator was working closely with </w:t>
      </w:r>
      <w:proofErr w:type="spellStart"/>
      <w:r w:rsidRPr="00D4590B">
        <w:rPr>
          <w:sz w:val="26"/>
          <w:szCs w:val="26"/>
          <w:lang w:bidi="he-IL"/>
        </w:rPr>
        <w:t>Rashi</w:t>
      </w:r>
      <w:proofErr w:type="spellEnd"/>
      <w:r w:rsidRPr="00D4590B">
        <w:rPr>
          <w:sz w:val="26"/>
          <w:szCs w:val="26"/>
          <w:lang w:bidi="he-IL"/>
        </w:rPr>
        <w:t xml:space="preserve"> on Proverbs.</w:t>
      </w:r>
      <w:r w:rsidR="008515BC" w:rsidRPr="00D4590B">
        <w:rPr>
          <w:sz w:val="26"/>
          <w:szCs w:val="26"/>
          <w:lang w:bidi="he-IL"/>
        </w:rPr>
        <w:t xml:space="preserve"> </w:t>
      </w:r>
      <w:r w:rsidRPr="00D4590B">
        <w:rPr>
          <w:sz w:val="26"/>
          <w:szCs w:val="26"/>
          <w:lang w:bidi="he-IL"/>
        </w:rPr>
        <w:t xml:space="preserve">The more important point, rather, is that there appear strikingly few citations of the rabbis </w:t>
      </w:r>
      <w:r w:rsidRPr="00D4590B">
        <w:rPr>
          <w:i/>
          <w:iCs/>
          <w:sz w:val="26"/>
          <w:szCs w:val="26"/>
          <w:lang w:bidi="he-IL"/>
        </w:rPr>
        <w:t>not</w:t>
      </w:r>
      <w:r w:rsidRPr="00D4590B">
        <w:rPr>
          <w:sz w:val="26"/>
          <w:szCs w:val="26"/>
          <w:lang w:bidi="he-IL"/>
        </w:rPr>
        <w:t xml:space="preserve"> taken from </w:t>
      </w:r>
      <w:proofErr w:type="spellStart"/>
      <w:r w:rsidRPr="00D4590B">
        <w:rPr>
          <w:sz w:val="26"/>
          <w:szCs w:val="26"/>
          <w:lang w:bidi="he-IL"/>
        </w:rPr>
        <w:t>Rashi</w:t>
      </w:r>
      <w:proofErr w:type="spellEnd"/>
      <w:r w:rsidRPr="00D4590B">
        <w:rPr>
          <w:sz w:val="26"/>
          <w:szCs w:val="26"/>
          <w:lang w:bidi="he-IL"/>
        </w:rPr>
        <w:t xml:space="preserve">, while </w:t>
      </w:r>
      <w:proofErr w:type="spellStart"/>
      <w:r w:rsidRPr="00D4590B">
        <w:rPr>
          <w:sz w:val="26"/>
          <w:szCs w:val="26"/>
          <w:lang w:bidi="he-IL"/>
        </w:rPr>
        <w:t>Radak’s</w:t>
      </w:r>
      <w:proofErr w:type="spellEnd"/>
      <w:r w:rsidRPr="00D4590B">
        <w:rPr>
          <w:sz w:val="26"/>
          <w:szCs w:val="26"/>
          <w:lang w:bidi="he-IL"/>
        </w:rPr>
        <w:t xml:space="preserve"> usual practice is to cite the rabbis more liberally and give expression to his own broad knowledge of rabbinic texts.</w:t>
      </w:r>
      <w:r w:rsidR="008515BC" w:rsidRPr="00D4590B">
        <w:rPr>
          <w:sz w:val="26"/>
          <w:szCs w:val="26"/>
          <w:lang w:bidi="he-IL"/>
        </w:rPr>
        <w:t xml:space="preserve"> </w:t>
      </w:r>
      <w:r w:rsidRPr="00D4590B">
        <w:rPr>
          <w:sz w:val="26"/>
          <w:szCs w:val="26"/>
          <w:lang w:bidi="he-IL"/>
        </w:rPr>
        <w:t>Indeed, according to Grunhaus, it may be inferred that the Proverbs commentator’s familiarity with rabbinic literature was severely limited.</w:t>
      </w:r>
    </w:p>
    <w:p w:rsidR="00975572" w:rsidRDefault="00975572" w:rsidP="00652B40">
      <w:pPr>
        <w:spacing w:line="300" w:lineRule="exact"/>
        <w:ind w:firstLine="284"/>
        <w:jc w:val="both"/>
        <w:rPr>
          <w:rFonts w:hint="cs"/>
          <w:sz w:val="26"/>
          <w:szCs w:val="26"/>
          <w:rtl/>
          <w:lang w:bidi="he-IL"/>
        </w:rPr>
      </w:pPr>
      <w:r w:rsidRPr="00D4590B">
        <w:rPr>
          <w:sz w:val="26"/>
          <w:szCs w:val="26"/>
          <w:lang w:bidi="he-IL"/>
        </w:rPr>
        <w:t xml:space="preserve">Again, however, I call attention to the tendencies exhibited in the early versions of </w:t>
      </w:r>
      <w:proofErr w:type="spellStart"/>
      <w:r w:rsidRPr="00D4590B">
        <w:rPr>
          <w:sz w:val="26"/>
          <w:szCs w:val="26"/>
          <w:lang w:bidi="he-IL"/>
        </w:rPr>
        <w:t>Radak</w:t>
      </w:r>
      <w:proofErr w:type="spellEnd"/>
      <w:r w:rsidRPr="00D4590B">
        <w:rPr>
          <w:sz w:val="26"/>
          <w:szCs w:val="26"/>
          <w:lang w:bidi="he-IL"/>
        </w:rPr>
        <w:t xml:space="preserve"> on Chronicles.</w:t>
      </w:r>
      <w:r w:rsidR="008515BC" w:rsidRPr="00D4590B">
        <w:rPr>
          <w:sz w:val="26"/>
          <w:szCs w:val="26"/>
          <w:lang w:bidi="he-IL"/>
        </w:rPr>
        <w:t xml:space="preserve"> </w:t>
      </w:r>
      <w:r w:rsidRPr="00D4590B">
        <w:rPr>
          <w:sz w:val="26"/>
          <w:szCs w:val="26"/>
          <w:lang w:bidi="he-IL"/>
        </w:rPr>
        <w:t xml:space="preserve">As I have shown elsewhere, after composing his original </w:t>
      </w:r>
      <w:r w:rsidR="004E7991">
        <w:rPr>
          <w:sz w:val="26"/>
          <w:szCs w:val="26"/>
          <w:lang w:bidi="he-IL"/>
        </w:rPr>
        <w:t>commentary on</w:t>
      </w:r>
      <w:r w:rsidRPr="00D4590B">
        <w:rPr>
          <w:sz w:val="26"/>
          <w:szCs w:val="26"/>
          <w:lang w:bidi="he-IL"/>
        </w:rPr>
        <w:t xml:space="preserve"> Chronicles, </w:t>
      </w:r>
      <w:proofErr w:type="spellStart"/>
      <w:r w:rsidRPr="00D4590B">
        <w:rPr>
          <w:sz w:val="26"/>
          <w:szCs w:val="26"/>
          <w:lang w:bidi="he-IL"/>
        </w:rPr>
        <w:t>Radak</w:t>
      </w:r>
      <w:proofErr w:type="spellEnd"/>
      <w:r w:rsidRPr="00D4590B">
        <w:rPr>
          <w:sz w:val="26"/>
          <w:szCs w:val="26"/>
          <w:lang w:bidi="he-IL"/>
        </w:rPr>
        <w:t xml:space="preserve"> appears to have markedly expanded his exegetical program</w:t>
      </w:r>
      <w:r w:rsidR="009E079D" w:rsidRPr="00D4590B">
        <w:rPr>
          <w:sz w:val="26"/>
          <w:szCs w:val="26"/>
          <w:lang w:bidi="he-IL"/>
        </w:rPr>
        <w:t>,</w:t>
      </w:r>
      <w:r w:rsidRPr="00D4590B">
        <w:rPr>
          <w:sz w:val="26"/>
          <w:szCs w:val="26"/>
          <w:lang w:bidi="he-IL"/>
        </w:rPr>
        <w:t xml:space="preserve"> particularly with respect to his incorporation of rabbinic exegesis.</w:t>
      </w:r>
      <w:r w:rsidR="00C70C42" w:rsidRPr="00D4590B">
        <w:rPr>
          <w:rStyle w:val="a4"/>
          <w:sz w:val="26"/>
          <w:szCs w:val="26"/>
          <w:lang w:bidi="he-IL"/>
        </w:rPr>
        <w:footnoteReference w:id="120"/>
      </w:r>
      <w:r w:rsidR="008515BC" w:rsidRPr="00D4590B">
        <w:rPr>
          <w:sz w:val="26"/>
          <w:szCs w:val="26"/>
          <w:lang w:bidi="he-IL"/>
        </w:rPr>
        <w:t xml:space="preserve"> </w:t>
      </w:r>
      <w:r w:rsidRPr="00D4590B">
        <w:rPr>
          <w:sz w:val="26"/>
          <w:szCs w:val="26"/>
          <w:lang w:bidi="he-IL"/>
        </w:rPr>
        <w:t>Thus, an especially large percentage of the rabbinic citations in the Chronicles commentary are later additions.</w:t>
      </w:r>
      <w:r w:rsidR="008515BC" w:rsidRPr="00D4590B">
        <w:rPr>
          <w:sz w:val="26"/>
          <w:szCs w:val="26"/>
          <w:lang w:bidi="he-IL"/>
        </w:rPr>
        <w:t xml:space="preserve"> </w:t>
      </w:r>
      <w:r w:rsidRPr="00D4590B">
        <w:rPr>
          <w:sz w:val="26"/>
          <w:szCs w:val="26"/>
          <w:lang w:bidi="he-IL"/>
        </w:rPr>
        <w:t>The citations in the earlier versions, furthermore, are also limited in type.</w:t>
      </w:r>
      <w:r w:rsidR="008515BC" w:rsidRPr="00D4590B">
        <w:rPr>
          <w:sz w:val="26"/>
          <w:szCs w:val="26"/>
          <w:lang w:bidi="he-IL"/>
        </w:rPr>
        <w:t xml:space="preserve"> </w:t>
      </w:r>
      <w:r w:rsidRPr="00D4590B">
        <w:rPr>
          <w:sz w:val="26"/>
          <w:szCs w:val="26"/>
          <w:lang w:bidi="he-IL"/>
        </w:rPr>
        <w:t xml:space="preserve">Most notably, </w:t>
      </w:r>
      <w:proofErr w:type="spellStart"/>
      <w:r w:rsidRPr="00D4590B">
        <w:rPr>
          <w:sz w:val="26"/>
          <w:szCs w:val="26"/>
          <w:lang w:bidi="he-IL"/>
        </w:rPr>
        <w:t>midrashic</w:t>
      </w:r>
      <w:proofErr w:type="spellEnd"/>
      <w:r w:rsidRPr="00D4590B">
        <w:rPr>
          <w:sz w:val="26"/>
          <w:szCs w:val="26"/>
          <w:lang w:bidi="he-IL"/>
        </w:rPr>
        <w:t xml:space="preserve"> expositions are offered only in response to textual difficulties otherwise addressed by </w:t>
      </w:r>
      <w:proofErr w:type="spellStart"/>
      <w:r w:rsidRPr="00D4590B">
        <w:rPr>
          <w:sz w:val="26"/>
          <w:szCs w:val="26"/>
          <w:lang w:bidi="he-IL"/>
        </w:rPr>
        <w:t>Radak</w:t>
      </w:r>
      <w:proofErr w:type="spellEnd"/>
      <w:r w:rsidRPr="00D4590B">
        <w:rPr>
          <w:sz w:val="26"/>
          <w:szCs w:val="26"/>
          <w:lang w:bidi="he-IL"/>
        </w:rPr>
        <w:t>.</w:t>
      </w:r>
      <w:r w:rsidR="008515BC" w:rsidRPr="00D4590B">
        <w:rPr>
          <w:sz w:val="26"/>
          <w:szCs w:val="26"/>
          <w:lang w:bidi="he-IL"/>
        </w:rPr>
        <w:t xml:space="preserve"> </w:t>
      </w:r>
      <w:r w:rsidRPr="00D4590B">
        <w:rPr>
          <w:sz w:val="26"/>
          <w:szCs w:val="26"/>
          <w:lang w:bidi="he-IL"/>
        </w:rPr>
        <w:t>It is only in the later versions that one finds homiletic citations not prompted by problems in the text, halakhic derivations from the Talmud, and matters raised by the rabbis—or information they convey—that are likewise unrelated to exegetical concerns.</w:t>
      </w:r>
      <w:r w:rsidR="008515BC" w:rsidRPr="00D4590B">
        <w:rPr>
          <w:sz w:val="26"/>
          <w:szCs w:val="26"/>
          <w:lang w:bidi="he-IL"/>
        </w:rPr>
        <w:t xml:space="preserve"> </w:t>
      </w:r>
      <w:r w:rsidRPr="00D4590B">
        <w:rPr>
          <w:sz w:val="26"/>
          <w:szCs w:val="26"/>
          <w:lang w:bidi="he-IL"/>
        </w:rPr>
        <w:t>As I concluded in the context of that discussion,</w:t>
      </w:r>
    </w:p>
    <w:p w:rsidR="00E663C7" w:rsidRPr="00D4590B" w:rsidRDefault="00E663C7" w:rsidP="00D4590B">
      <w:pPr>
        <w:spacing w:line="300" w:lineRule="exact"/>
        <w:jc w:val="both"/>
        <w:rPr>
          <w:rFonts w:hint="cs"/>
          <w:sz w:val="26"/>
          <w:szCs w:val="26"/>
          <w:lang w:bidi="he-IL"/>
        </w:rPr>
      </w:pPr>
    </w:p>
    <w:p w:rsidR="00975572" w:rsidRDefault="00975572" w:rsidP="00E663C7">
      <w:pPr>
        <w:spacing w:line="300" w:lineRule="exact"/>
        <w:ind w:left="720"/>
        <w:jc w:val="both"/>
        <w:rPr>
          <w:rFonts w:hint="cs"/>
          <w:sz w:val="26"/>
          <w:szCs w:val="26"/>
          <w:rtl/>
          <w:lang w:bidi="he-IL"/>
        </w:rPr>
      </w:pPr>
      <w:r w:rsidRPr="00D4590B">
        <w:rPr>
          <w:i/>
          <w:iCs/>
          <w:sz w:val="26"/>
          <w:szCs w:val="26"/>
        </w:rPr>
        <w:t xml:space="preserve">the most dramatic and sizeable modifications of the commentary reflected in </w:t>
      </w:r>
      <w:proofErr w:type="spellStart"/>
      <w:r w:rsidRPr="00D4590B">
        <w:rPr>
          <w:i/>
          <w:iCs/>
          <w:sz w:val="26"/>
          <w:szCs w:val="26"/>
        </w:rPr>
        <w:t>Radak’s</w:t>
      </w:r>
      <w:proofErr w:type="spellEnd"/>
      <w:r w:rsidRPr="00D4590B">
        <w:rPr>
          <w:i/>
          <w:iCs/>
          <w:sz w:val="26"/>
          <w:szCs w:val="26"/>
        </w:rPr>
        <w:t xml:space="preserve"> later insertions involve the addition of rabbinic material </w:t>
      </w:r>
      <w:r w:rsidRPr="00D4590B">
        <w:rPr>
          <w:sz w:val="26"/>
          <w:szCs w:val="26"/>
        </w:rPr>
        <w:t>[emphasis in the original].</w:t>
      </w:r>
      <w:r w:rsidR="008515BC" w:rsidRPr="00D4590B">
        <w:rPr>
          <w:sz w:val="26"/>
          <w:szCs w:val="26"/>
        </w:rPr>
        <w:t xml:space="preserve"> </w:t>
      </w:r>
      <w:r w:rsidRPr="00D4590B">
        <w:rPr>
          <w:sz w:val="26"/>
          <w:szCs w:val="26"/>
        </w:rPr>
        <w:t xml:space="preserve">While it is likely that some of this results from </w:t>
      </w:r>
      <w:proofErr w:type="spellStart"/>
      <w:r w:rsidRPr="00D4590B">
        <w:rPr>
          <w:sz w:val="26"/>
          <w:szCs w:val="26"/>
        </w:rPr>
        <w:t>Radak’s</w:t>
      </w:r>
      <w:proofErr w:type="spellEnd"/>
      <w:r w:rsidRPr="00D4590B">
        <w:rPr>
          <w:sz w:val="26"/>
          <w:szCs w:val="26"/>
        </w:rPr>
        <w:t xml:space="preserve"> incorporation of rabbinic material that he came across only later, the extent to which the later additions tend to be rabbinic and the rabbinic material tends to have been inserted late points suggestively toward a programmatic shift.</w:t>
      </w:r>
      <w:r w:rsidR="008515BC" w:rsidRPr="00D4590B">
        <w:rPr>
          <w:sz w:val="26"/>
          <w:szCs w:val="26"/>
        </w:rPr>
        <w:t xml:space="preserve"> </w:t>
      </w:r>
      <w:proofErr w:type="spellStart"/>
      <w:r w:rsidRPr="00D4590B">
        <w:rPr>
          <w:sz w:val="26"/>
          <w:szCs w:val="26"/>
        </w:rPr>
        <w:t>Radak’s</w:t>
      </w:r>
      <w:proofErr w:type="spellEnd"/>
      <w:r w:rsidRPr="00D4590B">
        <w:rPr>
          <w:sz w:val="26"/>
          <w:szCs w:val="26"/>
        </w:rPr>
        <w:t xml:space="preserve"> </w:t>
      </w:r>
      <w:proofErr w:type="spellStart"/>
      <w:r w:rsidRPr="00D4590B">
        <w:rPr>
          <w:sz w:val="26"/>
          <w:szCs w:val="26"/>
        </w:rPr>
        <w:t>utilisation</w:t>
      </w:r>
      <w:proofErr w:type="spellEnd"/>
      <w:r w:rsidRPr="00D4590B">
        <w:rPr>
          <w:sz w:val="26"/>
          <w:szCs w:val="26"/>
        </w:rPr>
        <w:t xml:space="preserve"> of rabbinic sources, like other aspects of his </w:t>
      </w:r>
      <w:proofErr w:type="spellStart"/>
      <w:r w:rsidRPr="00D4590B">
        <w:rPr>
          <w:sz w:val="26"/>
          <w:szCs w:val="26"/>
        </w:rPr>
        <w:t>programme</w:t>
      </w:r>
      <w:proofErr w:type="spellEnd"/>
      <w:r w:rsidRPr="00D4590B">
        <w:rPr>
          <w:sz w:val="26"/>
          <w:szCs w:val="26"/>
        </w:rPr>
        <w:t>, would appear to have developed appreciably as his exegetical career progressed.</w:t>
      </w:r>
    </w:p>
    <w:p w:rsidR="00E663C7" w:rsidRDefault="00E663C7" w:rsidP="00E663C7">
      <w:pPr>
        <w:spacing w:line="300" w:lineRule="exact"/>
        <w:jc w:val="both"/>
        <w:rPr>
          <w:rFonts w:hint="cs"/>
          <w:sz w:val="26"/>
          <w:szCs w:val="26"/>
          <w:rtl/>
          <w:lang w:bidi="he-IL"/>
        </w:rPr>
      </w:pPr>
    </w:p>
    <w:p w:rsidR="00975572" w:rsidRPr="00D4590B" w:rsidRDefault="0057101B" w:rsidP="00E663C7">
      <w:pPr>
        <w:spacing w:line="300" w:lineRule="exact"/>
        <w:jc w:val="both"/>
        <w:rPr>
          <w:sz w:val="26"/>
          <w:szCs w:val="26"/>
          <w:lang w:bidi="he-IL"/>
        </w:rPr>
      </w:pPr>
      <w:r w:rsidRPr="00D4590B">
        <w:rPr>
          <w:sz w:val="26"/>
          <w:szCs w:val="26"/>
          <w:lang w:bidi="he-IL"/>
        </w:rPr>
        <w:t>I</w:t>
      </w:r>
      <w:r w:rsidR="00ED0829" w:rsidRPr="00D4590B">
        <w:rPr>
          <w:sz w:val="26"/>
          <w:szCs w:val="26"/>
          <w:lang w:bidi="he-IL"/>
        </w:rPr>
        <w:t xml:space="preserve">n the Proverbs commentary </w:t>
      </w:r>
      <w:r w:rsidRPr="00D4590B">
        <w:rPr>
          <w:sz w:val="26"/>
          <w:szCs w:val="26"/>
          <w:lang w:bidi="he-IL"/>
        </w:rPr>
        <w:t>too</w:t>
      </w:r>
      <w:r w:rsidR="00975572" w:rsidRPr="00D4590B">
        <w:rPr>
          <w:sz w:val="26"/>
          <w:szCs w:val="26"/>
          <w:lang w:bidi="he-IL"/>
        </w:rPr>
        <w:t>, rabbinic citations appear specifically in the context of the author’s treatment of exegetical issues, generally either for support or as alternatives worthy of consideration.</w:t>
      </w:r>
      <w:r w:rsidR="003D2237" w:rsidRPr="00D4590B">
        <w:rPr>
          <w:rStyle w:val="a4"/>
          <w:sz w:val="26"/>
          <w:szCs w:val="26"/>
          <w:lang w:bidi="he-IL"/>
        </w:rPr>
        <w:footnoteReference w:id="121"/>
      </w:r>
      <w:r w:rsidR="008515BC" w:rsidRPr="00D4590B">
        <w:rPr>
          <w:sz w:val="26"/>
          <w:szCs w:val="26"/>
          <w:lang w:bidi="he-IL"/>
        </w:rPr>
        <w:t xml:space="preserve"> </w:t>
      </w:r>
      <w:r w:rsidR="00975572" w:rsidRPr="00D4590B">
        <w:rPr>
          <w:sz w:val="26"/>
          <w:szCs w:val="26"/>
          <w:lang w:bidi="he-IL"/>
        </w:rPr>
        <w:t xml:space="preserve">In keeping with our stance that the Proverbs commentary was </w:t>
      </w:r>
      <w:proofErr w:type="spellStart"/>
      <w:r w:rsidR="00975572" w:rsidRPr="00D4590B">
        <w:rPr>
          <w:sz w:val="26"/>
          <w:szCs w:val="26"/>
          <w:lang w:bidi="he-IL"/>
        </w:rPr>
        <w:t>Radak’s</w:t>
      </w:r>
      <w:proofErr w:type="spellEnd"/>
      <w:r w:rsidR="00975572" w:rsidRPr="00D4590B">
        <w:rPr>
          <w:sz w:val="26"/>
          <w:szCs w:val="26"/>
          <w:lang w:bidi="he-IL"/>
        </w:rPr>
        <w:t xml:space="preserve"> very first exegetical undertaking, I suggest that his program with r</w:t>
      </w:r>
      <w:r w:rsidR="001E735B" w:rsidRPr="00D4590B">
        <w:rPr>
          <w:sz w:val="26"/>
          <w:szCs w:val="26"/>
          <w:lang w:bidi="he-IL"/>
        </w:rPr>
        <w:t>espect to citation of rabbinic literature</w:t>
      </w:r>
      <w:r w:rsidR="00975572" w:rsidRPr="00D4590B">
        <w:rPr>
          <w:sz w:val="26"/>
          <w:szCs w:val="26"/>
          <w:lang w:bidi="he-IL"/>
        </w:rPr>
        <w:t xml:space="preserve"> was similarly—if more intensely—limited.</w:t>
      </w:r>
      <w:r w:rsidR="008515BC" w:rsidRPr="00D4590B">
        <w:rPr>
          <w:sz w:val="26"/>
          <w:szCs w:val="26"/>
          <w:lang w:bidi="he-IL"/>
        </w:rPr>
        <w:t xml:space="preserve"> </w:t>
      </w:r>
      <w:r w:rsidR="00975572" w:rsidRPr="00D4590B">
        <w:rPr>
          <w:sz w:val="26"/>
          <w:szCs w:val="26"/>
          <w:lang w:bidi="he-IL"/>
        </w:rPr>
        <w:t xml:space="preserve">Particularly since his stated objective was to provide a flowing, literal exposition of the book, </w:t>
      </w:r>
      <w:proofErr w:type="spellStart"/>
      <w:r w:rsidR="00975572" w:rsidRPr="00D4590B">
        <w:rPr>
          <w:sz w:val="26"/>
          <w:szCs w:val="26"/>
          <w:lang w:bidi="he-IL"/>
        </w:rPr>
        <w:t>Radak</w:t>
      </w:r>
      <w:proofErr w:type="spellEnd"/>
      <w:r w:rsidR="00975572" w:rsidRPr="00D4590B">
        <w:rPr>
          <w:sz w:val="26"/>
          <w:szCs w:val="26"/>
          <w:lang w:bidi="he-IL"/>
        </w:rPr>
        <w:t xml:space="preserve">, at this most primitive stage of his development as an exegete, did not aggressively pursue rabbinic interpretation beyond what he found in </w:t>
      </w:r>
      <w:proofErr w:type="spellStart"/>
      <w:r w:rsidR="00975572" w:rsidRPr="00D4590B">
        <w:rPr>
          <w:sz w:val="26"/>
          <w:szCs w:val="26"/>
          <w:lang w:bidi="he-IL"/>
        </w:rPr>
        <w:t>Rashi</w:t>
      </w:r>
      <w:proofErr w:type="spellEnd"/>
      <w:r w:rsidR="00975572" w:rsidRPr="00D4590B">
        <w:rPr>
          <w:sz w:val="26"/>
          <w:szCs w:val="26"/>
          <w:lang w:bidi="he-IL"/>
        </w:rPr>
        <w:t>.</w:t>
      </w:r>
      <w:r w:rsidR="008515BC" w:rsidRPr="00D4590B">
        <w:rPr>
          <w:sz w:val="26"/>
          <w:szCs w:val="26"/>
          <w:lang w:bidi="he-IL"/>
        </w:rPr>
        <w:t xml:space="preserve"> </w:t>
      </w:r>
      <w:r w:rsidR="00975572" w:rsidRPr="00D4590B">
        <w:rPr>
          <w:sz w:val="26"/>
          <w:szCs w:val="26"/>
          <w:lang w:bidi="he-IL"/>
        </w:rPr>
        <w:t xml:space="preserve">If this is correct, then the paucity of citations of the rabbis not borrowed from </w:t>
      </w:r>
      <w:proofErr w:type="spellStart"/>
      <w:r w:rsidR="00975572" w:rsidRPr="00D4590B">
        <w:rPr>
          <w:sz w:val="26"/>
          <w:szCs w:val="26"/>
          <w:lang w:bidi="he-IL"/>
        </w:rPr>
        <w:t>Rashi</w:t>
      </w:r>
      <w:proofErr w:type="spellEnd"/>
      <w:r w:rsidR="00975572" w:rsidRPr="00D4590B">
        <w:rPr>
          <w:sz w:val="26"/>
          <w:szCs w:val="26"/>
          <w:lang w:bidi="he-IL"/>
        </w:rPr>
        <w:t xml:space="preserve"> does not result from the author’s minimal proficiency in classical texts, but from programmatic limitations that best served his purposes in this commentary—and that, most important, mark the very earliest stage of </w:t>
      </w:r>
      <w:proofErr w:type="spellStart"/>
      <w:r w:rsidR="00975572" w:rsidRPr="00D4590B">
        <w:rPr>
          <w:sz w:val="26"/>
          <w:szCs w:val="26"/>
          <w:lang w:bidi="he-IL"/>
        </w:rPr>
        <w:t>Radak’s</w:t>
      </w:r>
      <w:proofErr w:type="spellEnd"/>
      <w:r w:rsidR="00975572" w:rsidRPr="00D4590B">
        <w:rPr>
          <w:sz w:val="26"/>
          <w:szCs w:val="26"/>
          <w:lang w:bidi="he-IL"/>
        </w:rPr>
        <w:t xml:space="preserve"> exegetical career.</w:t>
      </w:r>
      <w:r w:rsidR="00997C1C" w:rsidRPr="00D4590B">
        <w:rPr>
          <w:rStyle w:val="a4"/>
          <w:sz w:val="26"/>
          <w:szCs w:val="26"/>
          <w:lang w:bidi="he-IL"/>
        </w:rPr>
        <w:footnoteReference w:id="122"/>
      </w:r>
    </w:p>
    <w:p w:rsidR="00975572" w:rsidRPr="00D4590B" w:rsidRDefault="00975572" w:rsidP="00D4590B">
      <w:pPr>
        <w:spacing w:line="300" w:lineRule="exact"/>
        <w:jc w:val="both"/>
        <w:rPr>
          <w:i/>
          <w:iCs/>
          <w:sz w:val="26"/>
          <w:szCs w:val="26"/>
          <w:lang w:bidi="he-IL"/>
        </w:rPr>
      </w:pPr>
      <w:r w:rsidRPr="00D4590B">
        <w:rPr>
          <w:i/>
          <w:iCs/>
          <w:sz w:val="26"/>
          <w:szCs w:val="26"/>
          <w:lang w:bidi="he-IL"/>
        </w:rPr>
        <w:t>Brevity of Comments and Lack of Philosophical Content</w:t>
      </w:r>
    </w:p>
    <w:p w:rsidR="00975572" w:rsidRPr="00D4590B" w:rsidRDefault="00975572" w:rsidP="00D4590B">
      <w:pPr>
        <w:spacing w:line="300" w:lineRule="exact"/>
        <w:jc w:val="both"/>
        <w:rPr>
          <w:sz w:val="26"/>
          <w:szCs w:val="26"/>
          <w:lang w:bidi="he-IL"/>
        </w:rPr>
      </w:pPr>
      <w:r w:rsidRPr="00D4590B">
        <w:rPr>
          <w:sz w:val="26"/>
          <w:szCs w:val="26"/>
          <w:lang w:bidi="he-IL"/>
        </w:rPr>
        <w:t>Grunhaus makes passing reference to the absence of “</w:t>
      </w:r>
      <w:proofErr w:type="spellStart"/>
      <w:r w:rsidRPr="00D4590B">
        <w:rPr>
          <w:sz w:val="26"/>
          <w:szCs w:val="26"/>
          <w:lang w:bidi="he-IL"/>
        </w:rPr>
        <w:t>Radak’s</w:t>
      </w:r>
      <w:proofErr w:type="spellEnd"/>
      <w:r w:rsidRPr="00D4590B">
        <w:rPr>
          <w:sz w:val="26"/>
          <w:szCs w:val="26"/>
          <w:lang w:bidi="he-IL"/>
        </w:rPr>
        <w:t xml:space="preserve"> characteristic philosophical musings or lengthy digressions” in the Proverbs commentary.</w:t>
      </w:r>
      <w:r w:rsidR="00A91456" w:rsidRPr="00D4590B">
        <w:rPr>
          <w:rStyle w:val="a4"/>
          <w:sz w:val="26"/>
          <w:szCs w:val="26"/>
          <w:lang w:bidi="he-IL"/>
        </w:rPr>
        <w:footnoteReference w:id="123"/>
      </w:r>
      <w:r w:rsidR="008515BC" w:rsidRPr="00D4590B">
        <w:rPr>
          <w:sz w:val="26"/>
          <w:szCs w:val="26"/>
          <w:lang w:bidi="he-IL"/>
        </w:rPr>
        <w:t xml:space="preserve"> </w:t>
      </w:r>
      <w:r w:rsidR="0057101B" w:rsidRPr="00D4590B">
        <w:rPr>
          <w:sz w:val="26"/>
          <w:szCs w:val="26"/>
          <w:lang w:bidi="he-IL"/>
        </w:rPr>
        <w:t>Again</w:t>
      </w:r>
      <w:r w:rsidRPr="00D4590B">
        <w:rPr>
          <w:sz w:val="26"/>
          <w:szCs w:val="26"/>
          <w:lang w:bidi="he-IL"/>
        </w:rPr>
        <w:t xml:space="preserve">, it is necessary to evaluate this in light of </w:t>
      </w:r>
      <w:proofErr w:type="spellStart"/>
      <w:r w:rsidRPr="00D4590B">
        <w:rPr>
          <w:sz w:val="26"/>
          <w:szCs w:val="26"/>
          <w:lang w:bidi="he-IL"/>
        </w:rPr>
        <w:t>Radak’s</w:t>
      </w:r>
      <w:proofErr w:type="spellEnd"/>
      <w:r w:rsidRPr="00D4590B">
        <w:rPr>
          <w:sz w:val="26"/>
          <w:szCs w:val="26"/>
          <w:lang w:bidi="he-IL"/>
        </w:rPr>
        <w:t xml:space="preserve"> work on Chronicles, its earlier versions in particular.</w:t>
      </w:r>
    </w:p>
    <w:p w:rsidR="00975572" w:rsidRPr="00D4590B" w:rsidRDefault="00975572" w:rsidP="00652B40">
      <w:pPr>
        <w:spacing w:line="300" w:lineRule="exact"/>
        <w:ind w:firstLine="284"/>
        <w:jc w:val="both"/>
        <w:rPr>
          <w:sz w:val="26"/>
          <w:szCs w:val="26"/>
          <w:lang w:bidi="he-IL"/>
        </w:rPr>
      </w:pPr>
      <w:r w:rsidRPr="00D4590B">
        <w:rPr>
          <w:sz w:val="26"/>
          <w:szCs w:val="26"/>
          <w:lang w:bidi="he-IL"/>
        </w:rPr>
        <w:t>We have seen tha</w:t>
      </w:r>
      <w:r w:rsidR="00B46174" w:rsidRPr="00D4590B">
        <w:rPr>
          <w:sz w:val="26"/>
          <w:szCs w:val="26"/>
          <w:lang w:bidi="he-IL"/>
        </w:rPr>
        <w:t xml:space="preserve">t in his </w:t>
      </w:r>
      <w:r w:rsidR="005B7EB0" w:rsidRPr="00D4590B">
        <w:rPr>
          <w:sz w:val="26"/>
          <w:szCs w:val="26"/>
          <w:lang w:bidi="he-IL"/>
        </w:rPr>
        <w:t>citations of rabbinic literature i</w:t>
      </w:r>
      <w:r w:rsidRPr="00D4590B">
        <w:rPr>
          <w:sz w:val="26"/>
          <w:szCs w:val="26"/>
          <w:lang w:bidi="he-IL"/>
        </w:rPr>
        <w:t xml:space="preserve">n </w:t>
      </w:r>
      <w:r w:rsidR="005B7EB0" w:rsidRPr="00D4590B">
        <w:rPr>
          <w:sz w:val="26"/>
          <w:szCs w:val="26"/>
          <w:lang w:bidi="he-IL"/>
        </w:rPr>
        <w:t xml:space="preserve">the </w:t>
      </w:r>
      <w:r w:rsidRPr="00D4590B">
        <w:rPr>
          <w:sz w:val="26"/>
          <w:szCs w:val="26"/>
          <w:lang w:bidi="he-IL"/>
        </w:rPr>
        <w:t>Chronicles</w:t>
      </w:r>
      <w:r w:rsidR="005B7EB0" w:rsidRPr="00D4590B">
        <w:rPr>
          <w:sz w:val="26"/>
          <w:szCs w:val="26"/>
          <w:lang w:bidi="he-IL"/>
        </w:rPr>
        <w:t xml:space="preserve"> commentary</w:t>
      </w:r>
      <w:r w:rsidRPr="00D4590B">
        <w:rPr>
          <w:sz w:val="26"/>
          <w:szCs w:val="26"/>
          <w:lang w:bidi="he-IL"/>
        </w:rPr>
        <w:t xml:space="preserve">, </w:t>
      </w:r>
      <w:proofErr w:type="spellStart"/>
      <w:r w:rsidRPr="00D4590B">
        <w:rPr>
          <w:sz w:val="26"/>
          <w:szCs w:val="26"/>
          <w:lang w:bidi="he-IL"/>
        </w:rPr>
        <w:t>Radak</w:t>
      </w:r>
      <w:proofErr w:type="spellEnd"/>
      <w:r w:rsidRPr="00D4590B">
        <w:rPr>
          <w:sz w:val="26"/>
          <w:szCs w:val="26"/>
          <w:lang w:bidi="he-IL"/>
        </w:rPr>
        <w:t xml:space="preserve"> initially limited himself to material address</w:t>
      </w:r>
      <w:r w:rsidR="0057101B" w:rsidRPr="00D4590B">
        <w:rPr>
          <w:sz w:val="26"/>
          <w:szCs w:val="26"/>
          <w:lang w:bidi="he-IL"/>
        </w:rPr>
        <w:t>ing</w:t>
      </w:r>
      <w:r w:rsidRPr="00D4590B">
        <w:rPr>
          <w:sz w:val="26"/>
          <w:szCs w:val="26"/>
          <w:lang w:bidi="he-IL"/>
        </w:rPr>
        <w:t xml:space="preserve"> textual concerns.</w:t>
      </w:r>
      <w:r w:rsidR="008515BC" w:rsidRPr="00D4590B">
        <w:rPr>
          <w:sz w:val="26"/>
          <w:szCs w:val="26"/>
          <w:lang w:bidi="he-IL"/>
        </w:rPr>
        <w:t xml:space="preserve"> </w:t>
      </w:r>
      <w:r w:rsidRPr="00D4590B">
        <w:rPr>
          <w:sz w:val="26"/>
          <w:szCs w:val="26"/>
          <w:lang w:bidi="he-IL"/>
        </w:rPr>
        <w:t>This restrictive focus on acute problems in the text, in fact, characterizes the commentary more generally.</w:t>
      </w:r>
      <w:r w:rsidR="006F72D6" w:rsidRPr="00D4590B">
        <w:rPr>
          <w:rStyle w:val="a4"/>
          <w:sz w:val="26"/>
          <w:szCs w:val="26"/>
          <w:lang w:bidi="he-IL"/>
        </w:rPr>
        <w:footnoteReference w:id="124"/>
      </w:r>
      <w:r w:rsidR="008515BC" w:rsidRPr="00D4590B">
        <w:rPr>
          <w:sz w:val="26"/>
          <w:szCs w:val="26"/>
          <w:lang w:bidi="he-IL"/>
        </w:rPr>
        <w:t xml:space="preserve"> </w:t>
      </w:r>
      <w:r w:rsidR="0057101B" w:rsidRPr="00D4590B">
        <w:rPr>
          <w:sz w:val="26"/>
          <w:szCs w:val="26"/>
          <w:lang w:bidi="he-IL"/>
        </w:rPr>
        <w:t xml:space="preserve"> In the introduction to his </w:t>
      </w:r>
      <w:r w:rsidR="004E7991">
        <w:rPr>
          <w:sz w:val="26"/>
          <w:szCs w:val="26"/>
          <w:lang w:bidi="he-IL"/>
        </w:rPr>
        <w:t>commentary on</w:t>
      </w:r>
      <w:r w:rsidR="0057101B" w:rsidRPr="00D4590B">
        <w:rPr>
          <w:sz w:val="26"/>
          <w:szCs w:val="26"/>
          <w:lang w:bidi="he-IL"/>
        </w:rPr>
        <w:t xml:space="preserve"> Samuel, </w:t>
      </w:r>
      <w:proofErr w:type="spellStart"/>
      <w:r w:rsidRPr="00D4590B">
        <w:rPr>
          <w:sz w:val="26"/>
          <w:szCs w:val="26"/>
          <w:lang w:bidi="he-IL"/>
        </w:rPr>
        <w:t>Abravanel</w:t>
      </w:r>
      <w:proofErr w:type="spellEnd"/>
      <w:r w:rsidR="0057101B" w:rsidRPr="00D4590B">
        <w:rPr>
          <w:sz w:val="26"/>
          <w:szCs w:val="26"/>
          <w:lang w:bidi="he-IL"/>
        </w:rPr>
        <w:t xml:space="preserve"> </w:t>
      </w:r>
      <w:r w:rsidRPr="00D4590B">
        <w:rPr>
          <w:sz w:val="26"/>
          <w:szCs w:val="26"/>
          <w:lang w:bidi="he-IL"/>
        </w:rPr>
        <w:t xml:space="preserve">already complained of the minimal breadth of </w:t>
      </w:r>
      <w:proofErr w:type="spellStart"/>
      <w:r w:rsidRPr="00D4590B">
        <w:rPr>
          <w:sz w:val="26"/>
          <w:szCs w:val="26"/>
          <w:lang w:bidi="he-IL"/>
        </w:rPr>
        <w:t>Radak’s</w:t>
      </w:r>
      <w:proofErr w:type="spellEnd"/>
      <w:r w:rsidRPr="00D4590B">
        <w:rPr>
          <w:sz w:val="26"/>
          <w:szCs w:val="26"/>
          <w:lang w:bidi="he-IL"/>
        </w:rPr>
        <w:t xml:space="preserve"> comments on Chronicles, considering them to be lacking in profundity and “meager to the point of insignificance.”</w:t>
      </w:r>
      <w:r w:rsidR="008515BC" w:rsidRPr="00D4590B">
        <w:rPr>
          <w:sz w:val="26"/>
          <w:szCs w:val="26"/>
          <w:lang w:bidi="he-IL"/>
        </w:rPr>
        <w:t xml:space="preserve"> </w:t>
      </w:r>
      <w:r w:rsidRPr="00D4590B">
        <w:rPr>
          <w:sz w:val="26"/>
          <w:szCs w:val="26"/>
          <w:lang w:bidi="he-IL"/>
        </w:rPr>
        <w:t xml:space="preserve">Large stretches of reasonably lucid text prompt no comment from </w:t>
      </w:r>
      <w:proofErr w:type="spellStart"/>
      <w:r w:rsidRPr="00D4590B">
        <w:rPr>
          <w:sz w:val="26"/>
          <w:szCs w:val="26"/>
          <w:lang w:bidi="he-IL"/>
        </w:rPr>
        <w:t>Radak</w:t>
      </w:r>
      <w:proofErr w:type="spellEnd"/>
      <w:r w:rsidRPr="00D4590B">
        <w:rPr>
          <w:sz w:val="26"/>
          <w:szCs w:val="26"/>
          <w:lang w:bidi="he-IL"/>
        </w:rPr>
        <w:t xml:space="preserve"> at all, and his typical sensitivity to the intricacies of narrative rarely finds expression.</w:t>
      </w:r>
      <w:r w:rsidR="008515BC" w:rsidRPr="00D4590B">
        <w:rPr>
          <w:sz w:val="26"/>
          <w:szCs w:val="26"/>
          <w:lang w:bidi="he-IL"/>
        </w:rPr>
        <w:t xml:space="preserve"> </w:t>
      </w:r>
      <w:r w:rsidRPr="00D4590B">
        <w:rPr>
          <w:sz w:val="26"/>
          <w:szCs w:val="26"/>
          <w:lang w:bidi="he-IL"/>
        </w:rPr>
        <w:t>Individual comments too may be uncharacteristically terse, such as at I 14:14: “</w:t>
      </w:r>
      <w:r w:rsidRPr="00D4590B">
        <w:rPr>
          <w:rFonts w:hint="cs"/>
          <w:sz w:val="26"/>
          <w:szCs w:val="26"/>
          <w:rtl/>
          <w:lang w:bidi="he-IL"/>
        </w:rPr>
        <w:t>'ממול הבכאים': פרשו בו תותים</w:t>
      </w:r>
      <w:r w:rsidRPr="00D4590B">
        <w:rPr>
          <w:sz w:val="26"/>
          <w:szCs w:val="26"/>
          <w:lang w:bidi="he-IL"/>
        </w:rPr>
        <w:t xml:space="preserve">” (“‘Opposite the bushes’: They have explained this </w:t>
      </w:r>
      <w:r w:rsidR="009A4E56" w:rsidRPr="00D4590B">
        <w:rPr>
          <w:sz w:val="26"/>
          <w:szCs w:val="26"/>
          <w:lang w:bidi="he-IL"/>
        </w:rPr>
        <w:t>to mean mulberry bushes”).</w:t>
      </w:r>
      <w:r w:rsidR="008515BC" w:rsidRPr="00D4590B">
        <w:rPr>
          <w:sz w:val="26"/>
          <w:szCs w:val="26"/>
          <w:lang w:bidi="he-IL"/>
        </w:rPr>
        <w:t xml:space="preserve"> </w:t>
      </w:r>
      <w:r w:rsidR="009A4E56" w:rsidRPr="00D4590B">
        <w:rPr>
          <w:sz w:val="26"/>
          <w:szCs w:val="26"/>
          <w:lang w:bidi="he-IL"/>
        </w:rPr>
        <w:t>The brevity of this</w:t>
      </w:r>
      <w:r w:rsidRPr="00D4590B">
        <w:rPr>
          <w:sz w:val="26"/>
          <w:szCs w:val="26"/>
          <w:lang w:bidi="he-IL"/>
        </w:rPr>
        <w:t xml:space="preserve"> remark </w:t>
      </w:r>
      <w:r w:rsidR="00164A3D" w:rsidRPr="00D4590B">
        <w:rPr>
          <w:sz w:val="26"/>
          <w:szCs w:val="26"/>
          <w:lang w:bidi="he-IL"/>
        </w:rPr>
        <w:t>contras</w:t>
      </w:r>
      <w:r w:rsidR="00E12E25" w:rsidRPr="00D4590B">
        <w:rPr>
          <w:sz w:val="26"/>
          <w:szCs w:val="26"/>
          <w:lang w:bidi="he-IL"/>
        </w:rPr>
        <w:t xml:space="preserve">ts sharply with the length of </w:t>
      </w:r>
      <w:proofErr w:type="spellStart"/>
      <w:r w:rsidR="00E12E25" w:rsidRPr="00D4590B">
        <w:rPr>
          <w:sz w:val="26"/>
          <w:szCs w:val="26"/>
          <w:lang w:bidi="he-IL"/>
        </w:rPr>
        <w:t>Radak’</w:t>
      </w:r>
      <w:r w:rsidR="00164A3D" w:rsidRPr="00D4590B">
        <w:rPr>
          <w:sz w:val="26"/>
          <w:szCs w:val="26"/>
          <w:lang w:bidi="he-IL"/>
        </w:rPr>
        <w:t>s</w:t>
      </w:r>
      <w:proofErr w:type="spellEnd"/>
      <w:r w:rsidRPr="00D4590B">
        <w:rPr>
          <w:sz w:val="26"/>
          <w:szCs w:val="26"/>
          <w:lang w:bidi="he-IL"/>
        </w:rPr>
        <w:t xml:space="preserve"> parallel commen</w:t>
      </w:r>
      <w:r w:rsidR="00E12E25" w:rsidRPr="00D4590B">
        <w:rPr>
          <w:sz w:val="26"/>
          <w:szCs w:val="26"/>
          <w:lang w:bidi="he-IL"/>
        </w:rPr>
        <w:t>t at II Samuel 5:24, where he</w:t>
      </w:r>
      <w:r w:rsidRPr="00D4590B">
        <w:rPr>
          <w:sz w:val="26"/>
          <w:szCs w:val="26"/>
          <w:lang w:bidi="he-IL"/>
        </w:rPr>
        <w:t xml:space="preserve"> adds a citation of the Targum, a rabbinic precedent for the use of the term </w:t>
      </w:r>
      <w:r w:rsidRPr="00D4590B">
        <w:rPr>
          <w:rFonts w:hint="cs"/>
          <w:sz w:val="26"/>
          <w:szCs w:val="26"/>
          <w:rtl/>
          <w:lang w:bidi="he-IL"/>
        </w:rPr>
        <w:t>תותים</w:t>
      </w:r>
      <w:r w:rsidRPr="00D4590B">
        <w:rPr>
          <w:sz w:val="26"/>
          <w:szCs w:val="26"/>
          <w:lang w:bidi="he-IL"/>
        </w:rPr>
        <w:t xml:space="preserve">, and a biblical parallel for </w:t>
      </w:r>
      <w:r w:rsidRPr="00D4590B">
        <w:rPr>
          <w:rFonts w:hint="cs"/>
          <w:sz w:val="26"/>
          <w:szCs w:val="26"/>
          <w:rtl/>
          <w:lang w:bidi="he-IL"/>
        </w:rPr>
        <w:t>בכאים</w:t>
      </w:r>
      <w:r w:rsidRPr="00D4590B">
        <w:rPr>
          <w:sz w:val="26"/>
          <w:szCs w:val="26"/>
          <w:lang w:bidi="he-IL"/>
        </w:rPr>
        <w:t>.</w:t>
      </w:r>
    </w:p>
    <w:p w:rsidR="00975572" w:rsidRPr="00D4590B" w:rsidRDefault="00975572" w:rsidP="00652B40">
      <w:pPr>
        <w:spacing w:line="300" w:lineRule="exact"/>
        <w:ind w:firstLine="284"/>
        <w:jc w:val="both"/>
        <w:rPr>
          <w:sz w:val="26"/>
          <w:szCs w:val="26"/>
          <w:lang w:bidi="he-IL"/>
        </w:rPr>
      </w:pPr>
      <w:r w:rsidRPr="00D4590B">
        <w:rPr>
          <w:sz w:val="26"/>
          <w:szCs w:val="26"/>
          <w:lang w:bidi="he-IL"/>
        </w:rPr>
        <w:t xml:space="preserve">Accordingly, while the precise definition of a “lengthy digression” for these purposes must remain subjective, it is quite fair to say that just as in the case of Proverbs, diversions from the exegetical issue under consideration do not, as a rule, appear in the early versions of the Chronicles commentary, where </w:t>
      </w:r>
      <w:proofErr w:type="spellStart"/>
      <w:r w:rsidRPr="00D4590B">
        <w:rPr>
          <w:sz w:val="26"/>
          <w:szCs w:val="26"/>
          <w:lang w:bidi="he-IL"/>
        </w:rPr>
        <w:t>Radak’s</w:t>
      </w:r>
      <w:proofErr w:type="spellEnd"/>
      <w:r w:rsidRPr="00D4590B">
        <w:rPr>
          <w:sz w:val="26"/>
          <w:szCs w:val="26"/>
          <w:lang w:bidi="he-IL"/>
        </w:rPr>
        <w:t xml:space="preserve"> comments remain closely connected to his discussions of the text.</w:t>
      </w:r>
      <w:r w:rsidR="008515BC" w:rsidRPr="00D4590B">
        <w:rPr>
          <w:sz w:val="26"/>
          <w:szCs w:val="26"/>
          <w:lang w:bidi="he-IL"/>
        </w:rPr>
        <w:t xml:space="preserve"> </w:t>
      </w:r>
      <w:r w:rsidRPr="00D4590B">
        <w:rPr>
          <w:sz w:val="26"/>
          <w:szCs w:val="26"/>
          <w:lang w:bidi="he-IL"/>
        </w:rPr>
        <w:t xml:space="preserve">If the exegetical style in the Proverbs commentary, then, is more tightly constrained than that in </w:t>
      </w:r>
      <w:proofErr w:type="spellStart"/>
      <w:r w:rsidRPr="00D4590B">
        <w:rPr>
          <w:sz w:val="26"/>
          <w:szCs w:val="26"/>
          <w:lang w:bidi="he-IL"/>
        </w:rPr>
        <w:t>Radak’s</w:t>
      </w:r>
      <w:proofErr w:type="spellEnd"/>
      <w:r w:rsidRPr="00D4590B">
        <w:rPr>
          <w:sz w:val="26"/>
          <w:szCs w:val="26"/>
          <w:lang w:bidi="he-IL"/>
        </w:rPr>
        <w:t xml:space="preserve"> works more generally, it remains fundamentally consistent with the more restrictive program found in the </w:t>
      </w:r>
      <w:r w:rsidR="004E7991">
        <w:rPr>
          <w:sz w:val="26"/>
          <w:szCs w:val="26"/>
          <w:lang w:bidi="he-IL"/>
        </w:rPr>
        <w:t>commentary on</w:t>
      </w:r>
      <w:r w:rsidRPr="00D4590B">
        <w:rPr>
          <w:sz w:val="26"/>
          <w:szCs w:val="26"/>
          <w:lang w:bidi="he-IL"/>
        </w:rPr>
        <w:t xml:space="preserve"> Chronicles.</w:t>
      </w:r>
      <w:r w:rsidR="00A54570" w:rsidRPr="00D4590B">
        <w:rPr>
          <w:rStyle w:val="a4"/>
          <w:sz w:val="26"/>
          <w:szCs w:val="26"/>
          <w:lang w:bidi="he-IL"/>
        </w:rPr>
        <w:footnoteReference w:id="125"/>
      </w:r>
    </w:p>
    <w:p w:rsidR="00975572" w:rsidRDefault="00975572" w:rsidP="00652B40">
      <w:pPr>
        <w:spacing w:line="300" w:lineRule="exact"/>
        <w:ind w:firstLine="284"/>
        <w:jc w:val="both"/>
        <w:rPr>
          <w:rFonts w:hint="cs"/>
          <w:iCs/>
          <w:sz w:val="26"/>
          <w:szCs w:val="26"/>
          <w:rtl/>
          <w:lang w:bidi="he-IL"/>
        </w:rPr>
      </w:pPr>
      <w:r w:rsidRPr="00D4590B">
        <w:rPr>
          <w:sz w:val="26"/>
          <w:szCs w:val="26"/>
          <w:lang w:bidi="he-IL"/>
        </w:rPr>
        <w:t xml:space="preserve">With respect to treatment of philosophical matters, it is especially striking that the few philosophical remarks in </w:t>
      </w:r>
      <w:proofErr w:type="spellStart"/>
      <w:r w:rsidRPr="00D4590B">
        <w:rPr>
          <w:sz w:val="26"/>
          <w:szCs w:val="26"/>
          <w:lang w:bidi="he-IL"/>
        </w:rPr>
        <w:t>Radak</w:t>
      </w:r>
      <w:proofErr w:type="spellEnd"/>
      <w:r w:rsidRPr="00D4590B">
        <w:rPr>
          <w:sz w:val="26"/>
          <w:szCs w:val="26"/>
          <w:lang w:bidi="he-IL"/>
        </w:rPr>
        <w:t xml:space="preserve"> on Chronicles are </w:t>
      </w:r>
      <w:r w:rsidRPr="00D4590B">
        <w:rPr>
          <w:i/>
          <w:sz w:val="26"/>
          <w:szCs w:val="26"/>
          <w:lang w:bidi="he-IL"/>
        </w:rPr>
        <w:t>all later additions</w:t>
      </w:r>
      <w:r w:rsidRPr="00D4590B">
        <w:rPr>
          <w:iCs/>
          <w:sz w:val="26"/>
          <w:szCs w:val="26"/>
          <w:lang w:bidi="he-IL"/>
        </w:rPr>
        <w:t xml:space="preserve"> not found in MSS Paris and Munich—including several reinterpretations of the biblical text motivated by rationalism, generally a trademark of </w:t>
      </w:r>
      <w:proofErr w:type="spellStart"/>
      <w:r w:rsidRPr="00D4590B">
        <w:rPr>
          <w:iCs/>
          <w:sz w:val="26"/>
          <w:szCs w:val="26"/>
          <w:lang w:bidi="he-IL"/>
        </w:rPr>
        <w:t>Radak’s</w:t>
      </w:r>
      <w:proofErr w:type="spellEnd"/>
      <w:r w:rsidRPr="00D4590B">
        <w:rPr>
          <w:iCs/>
          <w:sz w:val="26"/>
          <w:szCs w:val="26"/>
          <w:lang w:bidi="he-IL"/>
        </w:rPr>
        <w:t xml:space="preserve"> exegesis.</w:t>
      </w:r>
      <w:r w:rsidR="00935E71" w:rsidRPr="00D4590B">
        <w:rPr>
          <w:rStyle w:val="a4"/>
          <w:iCs/>
          <w:sz w:val="26"/>
          <w:szCs w:val="26"/>
          <w:lang w:bidi="he-IL"/>
        </w:rPr>
        <w:footnoteReference w:id="126"/>
      </w:r>
      <w:r w:rsidR="008515BC" w:rsidRPr="00D4590B">
        <w:rPr>
          <w:iCs/>
          <w:sz w:val="26"/>
          <w:szCs w:val="26"/>
          <w:lang w:bidi="he-IL"/>
        </w:rPr>
        <w:t xml:space="preserve"> </w:t>
      </w:r>
      <w:r w:rsidRPr="00D4590B">
        <w:rPr>
          <w:iCs/>
          <w:sz w:val="26"/>
          <w:szCs w:val="26"/>
          <w:lang w:bidi="he-IL"/>
        </w:rPr>
        <w:t xml:space="preserve">Once again, the similar absence of this feature in the Proverbs commentary raises no problem at all if the work represents his first exegetical effort; for as the Chronicles commentary suggests, it is only later that this became a critical part of </w:t>
      </w:r>
      <w:proofErr w:type="spellStart"/>
      <w:r w:rsidRPr="00D4590B">
        <w:rPr>
          <w:iCs/>
          <w:sz w:val="26"/>
          <w:szCs w:val="26"/>
          <w:lang w:bidi="he-IL"/>
        </w:rPr>
        <w:t>Radak’s</w:t>
      </w:r>
      <w:proofErr w:type="spellEnd"/>
      <w:r w:rsidRPr="00D4590B">
        <w:rPr>
          <w:iCs/>
          <w:sz w:val="26"/>
          <w:szCs w:val="26"/>
          <w:lang w:bidi="he-IL"/>
        </w:rPr>
        <w:t xml:space="preserve"> program.</w:t>
      </w:r>
    </w:p>
    <w:p w:rsidR="0006341E" w:rsidRPr="00D4590B" w:rsidRDefault="0006341E" w:rsidP="00D4590B">
      <w:pPr>
        <w:spacing w:line="300" w:lineRule="exact"/>
        <w:ind w:firstLine="360"/>
        <w:jc w:val="both"/>
        <w:rPr>
          <w:rFonts w:hint="cs"/>
          <w:iCs/>
          <w:sz w:val="26"/>
          <w:szCs w:val="26"/>
          <w:lang w:bidi="he-IL"/>
        </w:rPr>
      </w:pPr>
    </w:p>
    <w:p w:rsidR="00975572" w:rsidRPr="00D4590B" w:rsidRDefault="00975572" w:rsidP="00D4590B">
      <w:pPr>
        <w:spacing w:line="300" w:lineRule="exact"/>
        <w:jc w:val="both"/>
        <w:rPr>
          <w:sz w:val="26"/>
          <w:szCs w:val="26"/>
          <w:lang w:bidi="he-IL"/>
        </w:rPr>
      </w:pPr>
      <w:r w:rsidRPr="00D4590B">
        <w:rPr>
          <w:i/>
          <w:iCs/>
          <w:sz w:val="26"/>
          <w:szCs w:val="26"/>
          <w:lang w:bidi="he-IL"/>
        </w:rPr>
        <w:t xml:space="preserve">Discrepancies with </w:t>
      </w:r>
      <w:proofErr w:type="spellStart"/>
      <w:r w:rsidRPr="00D4590B">
        <w:rPr>
          <w:i/>
          <w:iCs/>
          <w:sz w:val="26"/>
          <w:szCs w:val="26"/>
          <w:lang w:bidi="he-IL"/>
        </w:rPr>
        <w:t>Radak’s</w:t>
      </w:r>
      <w:proofErr w:type="spellEnd"/>
      <w:r w:rsidRPr="00D4590B">
        <w:rPr>
          <w:i/>
          <w:iCs/>
          <w:sz w:val="26"/>
          <w:szCs w:val="26"/>
          <w:lang w:bidi="he-IL"/>
        </w:rPr>
        <w:t xml:space="preserve"> </w:t>
      </w:r>
      <w:r w:rsidRPr="00D4590B">
        <w:rPr>
          <w:sz w:val="26"/>
          <w:szCs w:val="26"/>
          <w:lang w:bidi="he-IL"/>
        </w:rPr>
        <w:t>Shorashim</w:t>
      </w:r>
    </w:p>
    <w:p w:rsidR="00975572" w:rsidRPr="00D4590B" w:rsidRDefault="00975572" w:rsidP="00D4590B">
      <w:pPr>
        <w:spacing w:line="300" w:lineRule="exact"/>
        <w:jc w:val="both"/>
        <w:rPr>
          <w:sz w:val="26"/>
          <w:szCs w:val="26"/>
          <w:lang w:bidi="he-IL"/>
        </w:rPr>
      </w:pPr>
      <w:r w:rsidRPr="00D4590B">
        <w:rPr>
          <w:sz w:val="26"/>
          <w:szCs w:val="26"/>
          <w:lang w:bidi="he-IL"/>
        </w:rPr>
        <w:t xml:space="preserve">Grunhaus observes that the Proverbs commentary contains several interpretations at odds with those appearing in </w:t>
      </w:r>
      <w:proofErr w:type="spellStart"/>
      <w:r w:rsidRPr="00D4590B">
        <w:rPr>
          <w:sz w:val="26"/>
          <w:szCs w:val="26"/>
          <w:lang w:bidi="he-IL"/>
        </w:rPr>
        <w:t>Radak’s</w:t>
      </w:r>
      <w:proofErr w:type="spellEnd"/>
      <w:r w:rsidRPr="00D4590B">
        <w:rPr>
          <w:sz w:val="26"/>
          <w:szCs w:val="26"/>
          <w:lang w:bidi="he-IL"/>
        </w:rPr>
        <w:t xml:space="preserve"> </w:t>
      </w:r>
      <w:r w:rsidRPr="00D4590B">
        <w:rPr>
          <w:i/>
          <w:iCs/>
          <w:sz w:val="26"/>
          <w:szCs w:val="26"/>
          <w:lang w:bidi="he-IL"/>
        </w:rPr>
        <w:t>Shorashim</w:t>
      </w:r>
      <w:r w:rsidRPr="00D4590B">
        <w:rPr>
          <w:sz w:val="26"/>
          <w:szCs w:val="26"/>
          <w:lang w:bidi="he-IL"/>
        </w:rPr>
        <w:t>.</w:t>
      </w:r>
      <w:r w:rsidR="008515BC" w:rsidRPr="00D4590B">
        <w:rPr>
          <w:sz w:val="26"/>
          <w:szCs w:val="26"/>
          <w:lang w:bidi="he-IL"/>
        </w:rPr>
        <w:t xml:space="preserve"> </w:t>
      </w:r>
      <w:r w:rsidRPr="00D4590B">
        <w:rPr>
          <w:sz w:val="26"/>
          <w:szCs w:val="26"/>
          <w:lang w:bidi="he-IL"/>
        </w:rPr>
        <w:t>While rightly acknowledging that such inconsistencies with the lexicon are not uncomm</w:t>
      </w:r>
      <w:r w:rsidR="00893408" w:rsidRPr="00D4590B">
        <w:rPr>
          <w:sz w:val="26"/>
          <w:szCs w:val="26"/>
          <w:lang w:bidi="he-IL"/>
        </w:rPr>
        <w:t xml:space="preserve">on in </w:t>
      </w:r>
      <w:proofErr w:type="spellStart"/>
      <w:r w:rsidR="00893408" w:rsidRPr="00D4590B">
        <w:rPr>
          <w:sz w:val="26"/>
          <w:szCs w:val="26"/>
          <w:lang w:bidi="he-IL"/>
        </w:rPr>
        <w:t>Radak’s</w:t>
      </w:r>
      <w:proofErr w:type="spellEnd"/>
      <w:r w:rsidR="00893408" w:rsidRPr="00D4590B">
        <w:rPr>
          <w:sz w:val="26"/>
          <w:szCs w:val="26"/>
          <w:lang w:bidi="he-IL"/>
        </w:rPr>
        <w:t xml:space="preserve"> works, she indicate</w:t>
      </w:r>
      <w:r w:rsidRPr="00D4590B">
        <w:rPr>
          <w:sz w:val="26"/>
          <w:szCs w:val="26"/>
          <w:lang w:bidi="he-IL"/>
        </w:rPr>
        <w:t xml:space="preserve">s that in the case of the </w:t>
      </w:r>
      <w:r w:rsidR="004E7991">
        <w:rPr>
          <w:sz w:val="26"/>
          <w:szCs w:val="26"/>
          <w:lang w:bidi="he-IL"/>
        </w:rPr>
        <w:t>commentary on</w:t>
      </w:r>
      <w:r w:rsidRPr="00D4590B">
        <w:rPr>
          <w:sz w:val="26"/>
          <w:szCs w:val="26"/>
          <w:lang w:bidi="he-IL"/>
        </w:rPr>
        <w:t xml:space="preserve"> Proverbs, two specific departures from </w:t>
      </w:r>
      <w:r w:rsidRPr="00D4590B">
        <w:rPr>
          <w:i/>
          <w:iCs/>
          <w:sz w:val="26"/>
          <w:szCs w:val="26"/>
          <w:lang w:bidi="he-IL"/>
        </w:rPr>
        <w:t xml:space="preserve">Shorashim </w:t>
      </w:r>
      <w:r w:rsidRPr="00D4590B">
        <w:rPr>
          <w:sz w:val="26"/>
          <w:szCs w:val="26"/>
          <w:lang w:bidi="he-IL"/>
        </w:rPr>
        <w:t>are especially suggestive.</w:t>
      </w:r>
      <w:r w:rsidR="008F2FD9" w:rsidRPr="00D4590B">
        <w:rPr>
          <w:rStyle w:val="a4"/>
          <w:sz w:val="26"/>
          <w:szCs w:val="26"/>
          <w:lang w:bidi="he-IL"/>
        </w:rPr>
        <w:footnoteReference w:id="127"/>
      </w:r>
    </w:p>
    <w:p w:rsidR="00975572" w:rsidRPr="00D4590B" w:rsidRDefault="00975572" w:rsidP="00652B40">
      <w:pPr>
        <w:spacing w:line="300" w:lineRule="exact"/>
        <w:ind w:firstLine="284"/>
        <w:jc w:val="both"/>
        <w:rPr>
          <w:sz w:val="26"/>
          <w:szCs w:val="26"/>
          <w:lang w:bidi="he-IL"/>
        </w:rPr>
      </w:pPr>
      <w:r w:rsidRPr="00D4590B">
        <w:rPr>
          <w:sz w:val="26"/>
          <w:szCs w:val="26"/>
          <w:lang w:bidi="he-IL"/>
        </w:rPr>
        <w:t xml:space="preserve">First, at </w:t>
      </w:r>
      <w:smartTag w:uri="urn:schemas-microsoft-com:office:smarttags" w:element="time">
        <w:smartTagPr>
          <w:attr w:name="Minute" w:val="25"/>
          <w:attr w:name="Hour" w:val="20"/>
        </w:smartTagPr>
        <w:r w:rsidRPr="00D4590B">
          <w:rPr>
            <w:sz w:val="26"/>
            <w:szCs w:val="26"/>
            <w:lang w:bidi="he-IL"/>
          </w:rPr>
          <w:t>20:25</w:t>
        </w:r>
      </w:smartTag>
      <w:r w:rsidRPr="00D4590B">
        <w:rPr>
          <w:sz w:val="26"/>
          <w:szCs w:val="26"/>
          <w:lang w:bidi="he-IL"/>
        </w:rPr>
        <w:t xml:space="preserve"> the Proverbs commentator offers a secondary interpretation of the phrase </w:t>
      </w:r>
      <w:r w:rsidR="008C129F" w:rsidRPr="00D4590B">
        <w:rPr>
          <w:rFonts w:hint="cs"/>
          <w:sz w:val="26"/>
          <w:szCs w:val="26"/>
          <w:rtl/>
          <w:lang w:bidi="he-IL"/>
        </w:rPr>
        <w:t>אחר</w:t>
      </w:r>
      <w:r w:rsidRPr="00D4590B">
        <w:rPr>
          <w:rFonts w:hint="cs"/>
          <w:sz w:val="26"/>
          <w:szCs w:val="26"/>
          <w:rtl/>
          <w:lang w:bidi="he-IL"/>
        </w:rPr>
        <w:t xml:space="preserve"> נדרים לבקר</w:t>
      </w:r>
      <w:r w:rsidRPr="00D4590B">
        <w:rPr>
          <w:sz w:val="26"/>
          <w:szCs w:val="26"/>
          <w:lang w:bidi="he-IL"/>
        </w:rPr>
        <w:t xml:space="preserve"> (literally</w:t>
      </w:r>
      <w:r w:rsidR="00893408" w:rsidRPr="00D4590B">
        <w:rPr>
          <w:sz w:val="26"/>
          <w:szCs w:val="26"/>
          <w:lang w:bidi="he-IL"/>
        </w:rPr>
        <w:t>:</w:t>
      </w:r>
      <w:r w:rsidRPr="00D4590B">
        <w:rPr>
          <w:sz w:val="26"/>
          <w:szCs w:val="26"/>
          <w:lang w:bidi="he-IL"/>
        </w:rPr>
        <w:t xml:space="preserve"> “after vows, to scrutinize”) in the name of another unspecified exegete: the verse, according to this view, admonishes an individual who evaluates his ability to fulfill a vow only after having uttered it.</w:t>
      </w:r>
      <w:r w:rsidR="008515BC" w:rsidRPr="00D4590B">
        <w:rPr>
          <w:sz w:val="26"/>
          <w:szCs w:val="26"/>
          <w:lang w:bidi="he-IL"/>
        </w:rPr>
        <w:t xml:space="preserve"> </w:t>
      </w:r>
      <w:r w:rsidRPr="00D4590B">
        <w:rPr>
          <w:sz w:val="26"/>
          <w:szCs w:val="26"/>
          <w:lang w:bidi="he-IL"/>
        </w:rPr>
        <w:t xml:space="preserve">In </w:t>
      </w:r>
      <w:r w:rsidRPr="00D4590B">
        <w:rPr>
          <w:i/>
          <w:iCs/>
          <w:sz w:val="26"/>
          <w:szCs w:val="26"/>
          <w:lang w:bidi="he-IL"/>
        </w:rPr>
        <w:t>Shorashim</w:t>
      </w:r>
      <w:r w:rsidRPr="00D4590B">
        <w:rPr>
          <w:sz w:val="26"/>
          <w:szCs w:val="26"/>
          <w:lang w:bidi="he-IL"/>
        </w:rPr>
        <w:t xml:space="preserve"> (entry </w:t>
      </w:r>
      <w:r w:rsidRPr="00D4590B">
        <w:rPr>
          <w:rFonts w:hint="cs"/>
          <w:sz w:val="26"/>
          <w:szCs w:val="26"/>
          <w:rtl/>
          <w:lang w:bidi="he-IL"/>
        </w:rPr>
        <w:t>לוע</w:t>
      </w:r>
      <w:r w:rsidRPr="00D4590B">
        <w:rPr>
          <w:sz w:val="26"/>
          <w:szCs w:val="26"/>
          <w:lang w:bidi="he-IL"/>
        </w:rPr>
        <w:t>), however, this interpretation is the only one that appears, which suggests to Grunhaus that “</w:t>
      </w:r>
      <w:proofErr w:type="spellStart"/>
      <w:r w:rsidRPr="00D4590B">
        <w:rPr>
          <w:sz w:val="26"/>
          <w:szCs w:val="26"/>
          <w:lang w:bidi="he-IL"/>
        </w:rPr>
        <w:t>Radak</w:t>
      </w:r>
      <w:proofErr w:type="spellEnd"/>
      <w:r w:rsidRPr="00D4590B">
        <w:rPr>
          <w:sz w:val="26"/>
          <w:szCs w:val="26"/>
          <w:lang w:bidi="he-IL"/>
        </w:rPr>
        <w:t xml:space="preserve"> did not write that entry in </w:t>
      </w:r>
      <w:r w:rsidRPr="00D4590B">
        <w:rPr>
          <w:i/>
          <w:iCs/>
          <w:sz w:val="26"/>
          <w:szCs w:val="26"/>
          <w:lang w:bidi="he-IL"/>
        </w:rPr>
        <w:t>the commentary</w:t>
      </w:r>
      <w:r w:rsidRPr="00D4590B">
        <w:rPr>
          <w:sz w:val="26"/>
          <w:szCs w:val="26"/>
          <w:lang w:bidi="he-IL"/>
        </w:rPr>
        <w:t>.”</w:t>
      </w:r>
    </w:p>
    <w:p w:rsidR="00975572" w:rsidRPr="00D4590B" w:rsidRDefault="00975572" w:rsidP="008712A1">
      <w:pPr>
        <w:spacing w:line="300" w:lineRule="exact"/>
        <w:ind w:firstLine="284"/>
        <w:jc w:val="both"/>
        <w:rPr>
          <w:sz w:val="26"/>
          <w:szCs w:val="26"/>
          <w:lang w:bidi="he-IL"/>
        </w:rPr>
      </w:pPr>
      <w:r w:rsidRPr="00D4590B">
        <w:rPr>
          <w:sz w:val="26"/>
          <w:szCs w:val="26"/>
          <w:lang w:bidi="he-IL"/>
        </w:rPr>
        <w:t xml:space="preserve">Now even without further argument, such a disparity need not mean much: if </w:t>
      </w:r>
      <w:proofErr w:type="spellStart"/>
      <w:r w:rsidRPr="00D4590B">
        <w:rPr>
          <w:sz w:val="26"/>
          <w:szCs w:val="26"/>
          <w:lang w:bidi="he-IL"/>
        </w:rPr>
        <w:t>Radak</w:t>
      </w:r>
      <w:proofErr w:type="spellEnd"/>
      <w:r w:rsidRPr="00D4590B">
        <w:rPr>
          <w:sz w:val="26"/>
          <w:szCs w:val="26"/>
          <w:lang w:bidi="he-IL"/>
        </w:rPr>
        <w:t xml:space="preserve"> initially considered this interpretation to be the simple one, and only later came to prefer another, it is unexceptional that he would present it first in </w:t>
      </w:r>
      <w:r w:rsidRPr="00D4590B">
        <w:rPr>
          <w:i/>
          <w:iCs/>
          <w:sz w:val="26"/>
          <w:szCs w:val="26"/>
          <w:lang w:bidi="he-IL"/>
        </w:rPr>
        <w:t>Shorashim</w:t>
      </w:r>
      <w:r w:rsidRPr="00D4590B">
        <w:rPr>
          <w:sz w:val="26"/>
          <w:szCs w:val="26"/>
          <w:lang w:bidi="he-IL"/>
        </w:rPr>
        <w:t xml:space="preserve"> unacknowledged, and then in the commentary—having changed his mind—cite it merely as an alternative favored by someone else.</w:t>
      </w:r>
      <w:r w:rsidR="00223991" w:rsidRPr="00D4590B">
        <w:rPr>
          <w:rStyle w:val="a4"/>
          <w:sz w:val="26"/>
          <w:szCs w:val="26"/>
          <w:lang w:bidi="he-IL"/>
        </w:rPr>
        <w:footnoteReference w:id="128"/>
      </w:r>
      <w:r w:rsidR="008515BC" w:rsidRPr="00D4590B">
        <w:rPr>
          <w:sz w:val="26"/>
          <w:szCs w:val="26"/>
          <w:lang w:bidi="he-IL"/>
        </w:rPr>
        <w:t xml:space="preserve"> </w:t>
      </w:r>
      <w:r w:rsidRPr="00D4590B">
        <w:rPr>
          <w:sz w:val="26"/>
          <w:szCs w:val="26"/>
          <w:lang w:bidi="he-IL"/>
        </w:rPr>
        <w:t xml:space="preserve">What is more, though, a closer look at </w:t>
      </w:r>
      <w:r w:rsidRPr="00D4590B">
        <w:rPr>
          <w:i/>
          <w:iCs/>
          <w:sz w:val="26"/>
          <w:szCs w:val="26"/>
          <w:lang w:bidi="he-IL"/>
        </w:rPr>
        <w:t>Shorashim</w:t>
      </w:r>
      <w:r w:rsidRPr="00D4590B">
        <w:rPr>
          <w:sz w:val="26"/>
          <w:szCs w:val="26"/>
          <w:lang w:bidi="he-IL"/>
        </w:rPr>
        <w:t xml:space="preserve"> reveals that even in that work, the interpretation in question is probably not the preferred one.</w:t>
      </w:r>
      <w:r w:rsidR="008515BC" w:rsidRPr="00D4590B">
        <w:rPr>
          <w:sz w:val="26"/>
          <w:szCs w:val="26"/>
          <w:lang w:bidi="he-IL"/>
        </w:rPr>
        <w:t xml:space="preserve"> </w:t>
      </w:r>
      <w:r w:rsidRPr="00D4590B">
        <w:rPr>
          <w:sz w:val="26"/>
          <w:szCs w:val="26"/>
          <w:lang w:bidi="he-IL"/>
        </w:rPr>
        <w:t xml:space="preserve">Rather, </w:t>
      </w:r>
      <w:proofErr w:type="spellStart"/>
      <w:r w:rsidRPr="00D4590B">
        <w:rPr>
          <w:sz w:val="26"/>
          <w:szCs w:val="26"/>
          <w:lang w:bidi="he-IL"/>
        </w:rPr>
        <w:t>Radak</w:t>
      </w:r>
      <w:proofErr w:type="spellEnd"/>
      <w:r w:rsidRPr="00D4590B">
        <w:rPr>
          <w:sz w:val="26"/>
          <w:szCs w:val="26"/>
          <w:lang w:bidi="he-IL"/>
        </w:rPr>
        <w:t xml:space="preserve"> presents it as the logical continuation of the verse according to a </w:t>
      </w:r>
      <w:r w:rsidRPr="00D4590B">
        <w:rPr>
          <w:i/>
          <w:iCs/>
          <w:sz w:val="26"/>
          <w:szCs w:val="26"/>
          <w:lang w:bidi="he-IL"/>
        </w:rPr>
        <w:t>secondary</w:t>
      </w:r>
      <w:r w:rsidRPr="00D4590B">
        <w:rPr>
          <w:sz w:val="26"/>
          <w:szCs w:val="26"/>
          <w:lang w:bidi="he-IL"/>
        </w:rPr>
        <w:t xml:space="preserve"> interpretation that he offers for the term </w:t>
      </w:r>
      <w:r w:rsidRPr="00D4590B">
        <w:rPr>
          <w:rFonts w:hint="cs"/>
          <w:sz w:val="26"/>
          <w:szCs w:val="26"/>
          <w:rtl/>
          <w:lang w:bidi="he-IL"/>
        </w:rPr>
        <w:t>ילע</w:t>
      </w:r>
      <w:r w:rsidR="00223991" w:rsidRPr="00D4590B">
        <w:rPr>
          <w:sz w:val="26"/>
          <w:szCs w:val="26"/>
          <w:lang w:bidi="he-IL"/>
        </w:rPr>
        <w:t>: if—and only if—</w:t>
      </w:r>
      <w:r w:rsidRPr="00D4590B">
        <w:rPr>
          <w:sz w:val="26"/>
          <w:szCs w:val="26"/>
          <w:lang w:bidi="he-IL"/>
        </w:rPr>
        <w:t xml:space="preserve">the verb </w:t>
      </w:r>
      <w:r w:rsidRPr="00D4590B">
        <w:rPr>
          <w:rFonts w:hint="cs"/>
          <w:sz w:val="26"/>
          <w:szCs w:val="26"/>
          <w:rtl/>
          <w:lang w:bidi="he-IL"/>
        </w:rPr>
        <w:t>ילע</w:t>
      </w:r>
      <w:r w:rsidRPr="00D4590B">
        <w:rPr>
          <w:sz w:val="26"/>
          <w:szCs w:val="26"/>
          <w:lang w:bidi="he-IL"/>
        </w:rPr>
        <w:t xml:space="preserve"> means “to utter,” then the full verse—</w:t>
      </w:r>
      <w:r w:rsidRPr="00D4590B">
        <w:rPr>
          <w:rFonts w:hint="cs"/>
          <w:sz w:val="26"/>
          <w:szCs w:val="26"/>
          <w:rtl/>
          <w:lang w:bidi="he-IL"/>
        </w:rPr>
        <w:t>מוקש אדם ילע קדש ואחר נדרים לבקר</w:t>
      </w:r>
      <w:r w:rsidRPr="00D4590B">
        <w:rPr>
          <w:sz w:val="26"/>
          <w:szCs w:val="26"/>
          <w:lang w:bidi="he-IL"/>
        </w:rPr>
        <w:t>—reads as one continuous sentence: “It is a failure for a person to utter a vow to consecrate [an item] and only later to evaluate [the feasibility of] the vow.”</w:t>
      </w:r>
    </w:p>
    <w:p w:rsidR="00975572" w:rsidRPr="00D4590B" w:rsidRDefault="00CF2FC2" w:rsidP="00652B40">
      <w:pPr>
        <w:spacing w:line="300" w:lineRule="exact"/>
        <w:ind w:firstLine="284"/>
        <w:jc w:val="both"/>
        <w:rPr>
          <w:sz w:val="26"/>
          <w:szCs w:val="26"/>
          <w:lang w:bidi="he-IL"/>
        </w:rPr>
      </w:pPr>
      <w:r w:rsidRPr="00D4590B">
        <w:rPr>
          <w:sz w:val="26"/>
          <w:szCs w:val="26"/>
          <w:lang w:bidi="he-IL"/>
        </w:rPr>
        <w:t>There remains</w:t>
      </w:r>
      <w:r w:rsidR="00975572" w:rsidRPr="00D4590B">
        <w:rPr>
          <w:sz w:val="26"/>
          <w:szCs w:val="26"/>
          <w:lang w:bidi="he-IL"/>
        </w:rPr>
        <w:t xml:space="preserve">, </w:t>
      </w:r>
      <w:r w:rsidRPr="00D4590B">
        <w:rPr>
          <w:sz w:val="26"/>
          <w:szCs w:val="26"/>
          <w:lang w:bidi="he-IL"/>
        </w:rPr>
        <w:t>then, only one serious example, concerning</w:t>
      </w:r>
      <w:r w:rsidR="00975572" w:rsidRPr="00D4590B">
        <w:rPr>
          <w:sz w:val="26"/>
          <w:szCs w:val="26"/>
          <w:lang w:bidi="he-IL"/>
        </w:rPr>
        <w:t xml:space="preserve"> the meaning of the phrase </w:t>
      </w:r>
      <w:r w:rsidR="00975572" w:rsidRPr="00D4590B">
        <w:rPr>
          <w:rFonts w:hint="cs"/>
          <w:sz w:val="26"/>
          <w:szCs w:val="26"/>
          <w:rtl/>
          <w:lang w:bidi="he-IL"/>
        </w:rPr>
        <w:t>לב שמח ייטיב גהה</w:t>
      </w:r>
      <w:r w:rsidR="00975572" w:rsidRPr="00D4590B">
        <w:rPr>
          <w:sz w:val="26"/>
          <w:szCs w:val="26"/>
          <w:lang w:bidi="he-IL"/>
        </w:rPr>
        <w:t xml:space="preserve"> in Proverbs 17:22.</w:t>
      </w:r>
      <w:r w:rsidR="008515BC" w:rsidRPr="00D4590B">
        <w:rPr>
          <w:sz w:val="26"/>
          <w:szCs w:val="26"/>
          <w:lang w:bidi="he-IL"/>
        </w:rPr>
        <w:t xml:space="preserve"> </w:t>
      </w:r>
      <w:r w:rsidR="00975572" w:rsidRPr="00D4590B">
        <w:rPr>
          <w:sz w:val="26"/>
          <w:szCs w:val="26"/>
          <w:lang w:bidi="he-IL"/>
        </w:rPr>
        <w:t xml:space="preserve">Grunhaus correctly notes that in </w:t>
      </w:r>
      <w:r w:rsidR="00975572" w:rsidRPr="00D4590B">
        <w:rPr>
          <w:i/>
          <w:iCs/>
          <w:sz w:val="26"/>
          <w:szCs w:val="26"/>
          <w:lang w:bidi="he-IL"/>
        </w:rPr>
        <w:t>Shorashim</w:t>
      </w:r>
      <w:r w:rsidR="00975572" w:rsidRPr="00D4590B">
        <w:rPr>
          <w:sz w:val="26"/>
          <w:szCs w:val="26"/>
          <w:lang w:bidi="he-IL"/>
        </w:rPr>
        <w:t xml:space="preserve"> (entry </w:t>
      </w:r>
      <w:r w:rsidR="00975572" w:rsidRPr="00D4590B">
        <w:rPr>
          <w:rFonts w:hint="cs"/>
          <w:sz w:val="26"/>
          <w:szCs w:val="26"/>
          <w:rtl/>
          <w:lang w:bidi="he-IL"/>
        </w:rPr>
        <w:t>גהה</w:t>
      </w:r>
      <w:r w:rsidR="00975572" w:rsidRPr="00D4590B">
        <w:rPr>
          <w:sz w:val="26"/>
          <w:szCs w:val="26"/>
          <w:lang w:bidi="he-IL"/>
        </w:rPr>
        <w:t xml:space="preserve">), </w:t>
      </w:r>
      <w:proofErr w:type="spellStart"/>
      <w:r w:rsidR="00975572" w:rsidRPr="00D4590B">
        <w:rPr>
          <w:sz w:val="26"/>
          <w:szCs w:val="26"/>
          <w:lang w:bidi="he-IL"/>
        </w:rPr>
        <w:t>Radak’s</w:t>
      </w:r>
      <w:proofErr w:type="spellEnd"/>
      <w:r w:rsidR="00975572" w:rsidRPr="00D4590B">
        <w:rPr>
          <w:sz w:val="26"/>
          <w:szCs w:val="26"/>
          <w:lang w:bidi="he-IL"/>
        </w:rPr>
        <w:t xml:space="preserve"> preferred rendering of this—following R. Moses </w:t>
      </w:r>
      <w:proofErr w:type="spellStart"/>
      <w:r w:rsidR="00975572" w:rsidRPr="00D4590B">
        <w:rPr>
          <w:sz w:val="26"/>
          <w:szCs w:val="26"/>
          <w:lang w:bidi="he-IL"/>
        </w:rPr>
        <w:t>Kimh</w:t>
      </w:r>
      <w:r w:rsidR="00975572" w:rsidRPr="00D4590B">
        <w:rPr>
          <w:sz w:val="26"/>
          <w:szCs w:val="26"/>
          <w:lang w:bidi="he-IL"/>
        </w:rPr>
        <w:t>i</w:t>
      </w:r>
      <w:proofErr w:type="spellEnd"/>
      <w:r w:rsidR="00975572" w:rsidRPr="00D4590B">
        <w:rPr>
          <w:sz w:val="26"/>
          <w:szCs w:val="26"/>
          <w:lang w:bidi="he-IL"/>
        </w:rPr>
        <w:t xml:space="preserve"> on Proverbs—is “a happy heart benefits [the body like] medicine,” and that he cites this in several places in his commentaries as an instance of elision of the comparative </w:t>
      </w:r>
      <w:proofErr w:type="spellStart"/>
      <w:r w:rsidR="00975572" w:rsidRPr="00D4590B">
        <w:rPr>
          <w:i/>
          <w:iCs/>
          <w:sz w:val="26"/>
          <w:szCs w:val="26"/>
          <w:lang w:bidi="he-IL"/>
        </w:rPr>
        <w:t>kaf</w:t>
      </w:r>
      <w:proofErr w:type="spellEnd"/>
      <w:r w:rsidR="00975572" w:rsidRPr="00D4590B">
        <w:rPr>
          <w:sz w:val="26"/>
          <w:szCs w:val="26"/>
          <w:lang w:bidi="he-IL"/>
        </w:rPr>
        <w:t>.</w:t>
      </w:r>
      <w:r w:rsidR="008515BC" w:rsidRPr="00D4590B">
        <w:rPr>
          <w:sz w:val="26"/>
          <w:szCs w:val="26"/>
          <w:lang w:bidi="he-IL"/>
        </w:rPr>
        <w:t xml:space="preserve"> </w:t>
      </w:r>
      <w:r w:rsidR="00975572" w:rsidRPr="00D4590B">
        <w:rPr>
          <w:sz w:val="26"/>
          <w:szCs w:val="26"/>
          <w:lang w:bidi="he-IL"/>
        </w:rPr>
        <w:t xml:space="preserve">On the other hand, at Proverbs 15:13, “the suggestion of addition of a [comparative </w:t>
      </w:r>
      <w:proofErr w:type="spellStart"/>
      <w:r w:rsidR="00975572" w:rsidRPr="00D4590B">
        <w:rPr>
          <w:i/>
          <w:iCs/>
          <w:sz w:val="26"/>
          <w:szCs w:val="26"/>
          <w:lang w:bidi="he-IL"/>
        </w:rPr>
        <w:t>kaf</w:t>
      </w:r>
      <w:proofErr w:type="spellEnd"/>
      <w:r w:rsidR="00975572" w:rsidRPr="00D4590B">
        <w:rPr>
          <w:sz w:val="26"/>
          <w:szCs w:val="26"/>
          <w:lang w:bidi="he-IL"/>
        </w:rPr>
        <w:t xml:space="preserve">] to the word </w:t>
      </w:r>
      <w:r w:rsidR="00975572" w:rsidRPr="00D4590B">
        <w:rPr>
          <w:rFonts w:hint="cs"/>
          <w:sz w:val="26"/>
          <w:szCs w:val="26"/>
          <w:rtl/>
          <w:lang w:bidi="he-IL"/>
        </w:rPr>
        <w:t>גהה</w:t>
      </w:r>
      <w:r w:rsidR="00975572" w:rsidRPr="00D4590B">
        <w:rPr>
          <w:sz w:val="26"/>
          <w:szCs w:val="26"/>
          <w:lang w:bidi="he-IL"/>
        </w:rPr>
        <w:t xml:space="preserve"> is quoted as a secondary explanation of the verse</w:t>
      </w:r>
      <w:r w:rsidR="00E50899" w:rsidRPr="00D4590B">
        <w:rPr>
          <w:rStyle w:val="a4"/>
          <w:sz w:val="26"/>
          <w:szCs w:val="26"/>
          <w:lang w:bidi="he-IL"/>
        </w:rPr>
        <w:footnoteReference w:id="129"/>
      </w:r>
      <w:r w:rsidR="00975572" w:rsidRPr="00D4590B">
        <w:rPr>
          <w:sz w:val="26"/>
          <w:szCs w:val="26"/>
          <w:lang w:bidi="he-IL"/>
        </w:rPr>
        <w:t xml:space="preserve"> in the name of </w:t>
      </w:r>
      <w:r w:rsidR="00975572" w:rsidRPr="00D4590B">
        <w:rPr>
          <w:rFonts w:hint="cs"/>
          <w:sz w:val="26"/>
          <w:szCs w:val="26"/>
          <w:rtl/>
          <w:lang w:bidi="he-IL"/>
        </w:rPr>
        <w:t>יש מפרשים</w:t>
      </w:r>
      <w:r w:rsidR="00975572" w:rsidRPr="00D4590B">
        <w:rPr>
          <w:sz w:val="26"/>
          <w:szCs w:val="26"/>
          <w:lang w:bidi="he-IL"/>
        </w:rPr>
        <w:t xml:space="preserve"> ‘there are those who explain</w:t>
      </w:r>
      <w:r w:rsidR="0057101B" w:rsidRPr="00D4590B">
        <w:rPr>
          <w:sz w:val="26"/>
          <w:szCs w:val="26"/>
          <w:lang w:bidi="he-IL"/>
        </w:rPr>
        <w:t>,</w:t>
      </w:r>
      <w:r w:rsidR="00975572" w:rsidRPr="00D4590B">
        <w:rPr>
          <w:sz w:val="26"/>
          <w:szCs w:val="26"/>
          <w:lang w:bidi="he-IL"/>
        </w:rPr>
        <w:t>’ and in the doublet of the same verse, 17:22, no mention at all is made of the addition of a [</w:t>
      </w:r>
      <w:proofErr w:type="spellStart"/>
      <w:r w:rsidR="00975572" w:rsidRPr="00D4590B">
        <w:rPr>
          <w:i/>
          <w:iCs/>
          <w:sz w:val="26"/>
          <w:szCs w:val="26"/>
          <w:lang w:bidi="he-IL"/>
        </w:rPr>
        <w:t>kaf</w:t>
      </w:r>
      <w:proofErr w:type="spellEnd"/>
      <w:r w:rsidR="00975572" w:rsidRPr="00D4590B">
        <w:rPr>
          <w:sz w:val="26"/>
          <w:szCs w:val="26"/>
          <w:lang w:bidi="he-IL"/>
        </w:rPr>
        <w:t>].”</w:t>
      </w:r>
      <w:r w:rsidR="008515BC" w:rsidRPr="00D4590B">
        <w:rPr>
          <w:sz w:val="26"/>
          <w:szCs w:val="26"/>
          <w:lang w:bidi="he-IL"/>
        </w:rPr>
        <w:t xml:space="preserve"> </w:t>
      </w:r>
      <w:r w:rsidR="00975572" w:rsidRPr="00D4590B">
        <w:rPr>
          <w:sz w:val="26"/>
          <w:szCs w:val="26"/>
          <w:lang w:bidi="he-IL"/>
        </w:rPr>
        <w:t>And indeed, the favored interpretation in both places in the Proverbs commentary is quite distinct: the phrase means “a happy heart enhances the brightness [of one’s face/complexion]” (</w:t>
      </w:r>
      <w:r w:rsidR="00975572" w:rsidRPr="00D4590B">
        <w:rPr>
          <w:rFonts w:hint="cs"/>
          <w:sz w:val="26"/>
          <w:szCs w:val="26"/>
          <w:rtl/>
          <w:lang w:bidi="he-IL"/>
        </w:rPr>
        <w:t>גהה</w:t>
      </w:r>
      <w:r w:rsidR="00975572" w:rsidRPr="00D4590B">
        <w:rPr>
          <w:sz w:val="26"/>
          <w:szCs w:val="26"/>
          <w:lang w:bidi="he-IL"/>
        </w:rPr>
        <w:t xml:space="preserve"> deriving from the root </w:t>
      </w:r>
      <w:r w:rsidR="00975572" w:rsidRPr="00D4590B">
        <w:rPr>
          <w:rFonts w:hint="cs"/>
          <w:sz w:val="26"/>
          <w:szCs w:val="26"/>
          <w:rtl/>
          <w:lang w:bidi="he-IL"/>
        </w:rPr>
        <w:t>נגה</w:t>
      </w:r>
      <w:r w:rsidR="00975572" w:rsidRPr="00D4590B">
        <w:rPr>
          <w:sz w:val="26"/>
          <w:szCs w:val="26"/>
          <w:lang w:bidi="he-IL"/>
        </w:rPr>
        <w:t xml:space="preserve">)—a view adopted by </w:t>
      </w:r>
      <w:proofErr w:type="spellStart"/>
      <w:r w:rsidR="00975572" w:rsidRPr="00D4590B">
        <w:rPr>
          <w:sz w:val="26"/>
          <w:szCs w:val="26"/>
          <w:lang w:bidi="he-IL"/>
        </w:rPr>
        <w:t>Rashi</w:t>
      </w:r>
      <w:proofErr w:type="spellEnd"/>
      <w:r w:rsidR="00975572" w:rsidRPr="00D4590B">
        <w:rPr>
          <w:sz w:val="26"/>
          <w:szCs w:val="26"/>
          <w:lang w:bidi="he-IL"/>
        </w:rPr>
        <w:t xml:space="preserve">, and by others cited in Talmage’s note at </w:t>
      </w:r>
      <w:smartTag w:uri="urn:schemas-microsoft-com:office:smarttags" w:element="time">
        <w:smartTagPr>
          <w:attr w:name="Minute" w:val="22"/>
          <w:attr w:name="Hour" w:val="17"/>
        </w:smartTagPr>
        <w:r w:rsidR="00975572" w:rsidRPr="00D4590B">
          <w:rPr>
            <w:sz w:val="26"/>
            <w:szCs w:val="26"/>
            <w:lang w:bidi="he-IL"/>
          </w:rPr>
          <w:t>17:22</w:t>
        </w:r>
      </w:smartTag>
      <w:r w:rsidR="00975572" w:rsidRPr="00D4590B">
        <w:rPr>
          <w:sz w:val="26"/>
          <w:szCs w:val="26"/>
          <w:lang w:bidi="he-IL"/>
        </w:rPr>
        <w:t>.</w:t>
      </w:r>
    </w:p>
    <w:p w:rsidR="00975572" w:rsidRPr="00D4590B" w:rsidRDefault="00975572" w:rsidP="00652B40">
      <w:pPr>
        <w:spacing w:line="300" w:lineRule="exact"/>
        <w:ind w:firstLine="284"/>
        <w:jc w:val="both"/>
        <w:rPr>
          <w:rStyle w:val="a6"/>
          <w:sz w:val="26"/>
          <w:szCs w:val="26"/>
          <w:lang w:bidi="he-IL"/>
        </w:rPr>
      </w:pPr>
      <w:r w:rsidRPr="00D4590B">
        <w:rPr>
          <w:sz w:val="26"/>
          <w:szCs w:val="26"/>
          <w:lang w:bidi="he-IL"/>
        </w:rPr>
        <w:t xml:space="preserve">Nevertheless, if we are correct that the Proverbs commentary is </w:t>
      </w:r>
      <w:proofErr w:type="spellStart"/>
      <w:r w:rsidRPr="00D4590B">
        <w:rPr>
          <w:sz w:val="26"/>
          <w:szCs w:val="26"/>
          <w:lang w:bidi="he-IL"/>
        </w:rPr>
        <w:t>Radak’s</w:t>
      </w:r>
      <w:proofErr w:type="spellEnd"/>
      <w:r w:rsidRPr="00D4590B">
        <w:rPr>
          <w:sz w:val="26"/>
          <w:szCs w:val="26"/>
          <w:lang w:bidi="he-IL"/>
        </w:rPr>
        <w:t xml:space="preserve"> first work of exegesis, then it need not be considered problematic that he departs from an interpretation </w:t>
      </w:r>
      <w:r w:rsidR="00CB6583" w:rsidRPr="00D4590B">
        <w:rPr>
          <w:sz w:val="26"/>
          <w:szCs w:val="26"/>
          <w:lang w:bidi="he-IL"/>
        </w:rPr>
        <w:t xml:space="preserve">that </w:t>
      </w:r>
      <w:r w:rsidRPr="00D4590B">
        <w:rPr>
          <w:sz w:val="26"/>
          <w:szCs w:val="26"/>
          <w:lang w:bidi="he-IL"/>
        </w:rPr>
        <w:t xml:space="preserve">serves as a favored paradigm in his </w:t>
      </w:r>
      <w:r w:rsidRPr="00D4590B">
        <w:rPr>
          <w:i/>
          <w:iCs/>
          <w:sz w:val="26"/>
          <w:szCs w:val="26"/>
          <w:lang w:bidi="he-IL"/>
        </w:rPr>
        <w:t>later</w:t>
      </w:r>
      <w:r w:rsidRPr="00D4590B">
        <w:rPr>
          <w:sz w:val="26"/>
          <w:szCs w:val="26"/>
          <w:lang w:bidi="he-IL"/>
        </w:rPr>
        <w:t xml:space="preserve"> works specifically.</w:t>
      </w:r>
      <w:r w:rsidR="008515BC" w:rsidRPr="00D4590B">
        <w:rPr>
          <w:sz w:val="26"/>
          <w:szCs w:val="26"/>
          <w:lang w:bidi="he-IL"/>
        </w:rPr>
        <w:t xml:space="preserve"> </w:t>
      </w:r>
      <w:proofErr w:type="spellStart"/>
      <w:r w:rsidRPr="00D4590B">
        <w:rPr>
          <w:sz w:val="26"/>
          <w:szCs w:val="26"/>
          <w:lang w:bidi="he-IL"/>
        </w:rPr>
        <w:t>Radak</w:t>
      </w:r>
      <w:proofErr w:type="spellEnd"/>
      <w:r w:rsidRPr="00D4590B">
        <w:rPr>
          <w:sz w:val="26"/>
          <w:szCs w:val="26"/>
          <w:lang w:bidi="he-IL"/>
        </w:rPr>
        <w:t xml:space="preserve"> indeed preferred this interpretation in </w:t>
      </w:r>
      <w:r w:rsidRPr="00D4590B">
        <w:rPr>
          <w:i/>
          <w:iCs/>
          <w:sz w:val="26"/>
          <w:szCs w:val="26"/>
          <w:lang w:bidi="he-IL"/>
        </w:rPr>
        <w:t>Shorashim</w:t>
      </w:r>
      <w:r w:rsidRPr="00D4590B">
        <w:rPr>
          <w:sz w:val="26"/>
          <w:szCs w:val="26"/>
          <w:lang w:bidi="he-IL"/>
        </w:rPr>
        <w:t xml:space="preserve"> and later employed it as a standard example of elision of </w:t>
      </w:r>
      <w:proofErr w:type="spellStart"/>
      <w:r w:rsidRPr="00D4590B">
        <w:rPr>
          <w:i/>
          <w:iCs/>
          <w:sz w:val="26"/>
          <w:szCs w:val="26"/>
          <w:lang w:bidi="he-IL"/>
        </w:rPr>
        <w:t>kaf</w:t>
      </w:r>
      <w:proofErr w:type="spellEnd"/>
      <w:r w:rsidRPr="00D4590B">
        <w:rPr>
          <w:sz w:val="26"/>
          <w:szCs w:val="26"/>
          <w:lang w:bidi="he-IL"/>
        </w:rPr>
        <w:t xml:space="preserve">; but when he composed the </w:t>
      </w:r>
      <w:r w:rsidR="004E7991">
        <w:rPr>
          <w:sz w:val="26"/>
          <w:szCs w:val="26"/>
          <w:lang w:bidi="he-IL"/>
        </w:rPr>
        <w:t>commentary on</w:t>
      </w:r>
      <w:r w:rsidRPr="00D4590B">
        <w:rPr>
          <w:sz w:val="26"/>
          <w:szCs w:val="26"/>
          <w:lang w:bidi="he-IL"/>
        </w:rPr>
        <w:t xml:space="preserve"> Proverbs, the influence of </w:t>
      </w:r>
      <w:proofErr w:type="spellStart"/>
      <w:r w:rsidRPr="00D4590B">
        <w:rPr>
          <w:sz w:val="26"/>
          <w:szCs w:val="26"/>
          <w:lang w:bidi="he-IL"/>
        </w:rPr>
        <w:t>Rashi</w:t>
      </w:r>
      <w:proofErr w:type="spellEnd"/>
      <w:r w:rsidRPr="00D4590B">
        <w:rPr>
          <w:sz w:val="26"/>
          <w:szCs w:val="26"/>
          <w:lang w:bidi="he-IL"/>
        </w:rPr>
        <w:t>—and perhaps</w:t>
      </w:r>
      <w:r w:rsidR="00BA37F6" w:rsidRPr="00D4590B">
        <w:rPr>
          <w:sz w:val="26"/>
          <w:szCs w:val="26"/>
          <w:lang w:bidi="he-IL"/>
        </w:rPr>
        <w:t xml:space="preserve"> of others—prompted him to give preference</w:t>
      </w:r>
      <w:r w:rsidRPr="00D4590B">
        <w:rPr>
          <w:sz w:val="26"/>
          <w:szCs w:val="26"/>
          <w:lang w:bidi="he-IL"/>
        </w:rPr>
        <w:t xml:space="preserve"> </w:t>
      </w:r>
      <w:r w:rsidR="00BA37F6" w:rsidRPr="00D4590B">
        <w:rPr>
          <w:sz w:val="26"/>
          <w:szCs w:val="26"/>
          <w:lang w:bidi="he-IL"/>
        </w:rPr>
        <w:t xml:space="preserve">to </w:t>
      </w:r>
      <w:r w:rsidRPr="00D4590B">
        <w:rPr>
          <w:sz w:val="26"/>
          <w:szCs w:val="26"/>
          <w:lang w:bidi="he-IL"/>
        </w:rPr>
        <w:t>an alternative explanation.</w:t>
      </w:r>
      <w:r w:rsidR="008515BC" w:rsidRPr="00D4590B">
        <w:rPr>
          <w:sz w:val="26"/>
          <w:szCs w:val="26"/>
          <w:lang w:bidi="he-IL"/>
        </w:rPr>
        <w:t xml:space="preserve"> </w:t>
      </w:r>
      <w:r w:rsidRPr="00D4590B">
        <w:rPr>
          <w:sz w:val="26"/>
          <w:szCs w:val="26"/>
          <w:lang w:bidi="he-IL"/>
        </w:rPr>
        <w:t xml:space="preserve">In fact, for another reason too, this alternative might have been especially attractive to </w:t>
      </w:r>
      <w:proofErr w:type="spellStart"/>
      <w:r w:rsidRPr="00D4590B">
        <w:rPr>
          <w:sz w:val="26"/>
          <w:szCs w:val="26"/>
          <w:lang w:bidi="he-IL"/>
        </w:rPr>
        <w:t>Radak</w:t>
      </w:r>
      <w:proofErr w:type="spellEnd"/>
      <w:r w:rsidR="00CB6583" w:rsidRPr="00D4590B">
        <w:rPr>
          <w:sz w:val="26"/>
          <w:szCs w:val="26"/>
          <w:lang w:bidi="he-IL"/>
        </w:rPr>
        <w:t xml:space="preserve"> </w:t>
      </w:r>
      <w:r w:rsidRPr="00D4590B">
        <w:rPr>
          <w:sz w:val="26"/>
          <w:szCs w:val="26"/>
          <w:lang w:bidi="he-IL"/>
        </w:rPr>
        <w:t xml:space="preserve">when composing a running </w:t>
      </w:r>
      <w:r w:rsidR="004E7991">
        <w:rPr>
          <w:sz w:val="26"/>
          <w:szCs w:val="26"/>
          <w:lang w:bidi="he-IL"/>
        </w:rPr>
        <w:t>commentary on</w:t>
      </w:r>
      <w:r w:rsidRPr="00D4590B">
        <w:rPr>
          <w:sz w:val="26"/>
          <w:szCs w:val="26"/>
          <w:lang w:bidi="he-IL"/>
        </w:rPr>
        <w:t xml:space="preserve"> Proverbs.</w:t>
      </w:r>
      <w:r w:rsidR="008515BC" w:rsidRPr="00D4590B">
        <w:rPr>
          <w:sz w:val="26"/>
          <w:szCs w:val="26"/>
          <w:lang w:bidi="he-IL"/>
        </w:rPr>
        <w:t xml:space="preserve"> </w:t>
      </w:r>
      <w:r w:rsidRPr="00D4590B">
        <w:rPr>
          <w:sz w:val="26"/>
          <w:szCs w:val="26"/>
          <w:lang w:bidi="he-IL"/>
        </w:rPr>
        <w:t xml:space="preserve">In place of </w:t>
      </w:r>
      <w:r w:rsidRPr="00D4590B">
        <w:rPr>
          <w:rFonts w:hint="cs"/>
          <w:sz w:val="26"/>
          <w:szCs w:val="26"/>
          <w:rtl/>
          <w:lang w:bidi="he-IL"/>
        </w:rPr>
        <w:t>גהה</w:t>
      </w:r>
      <w:r w:rsidRPr="00D4590B">
        <w:rPr>
          <w:sz w:val="26"/>
          <w:szCs w:val="26"/>
          <w:lang w:bidi="he-IL"/>
        </w:rPr>
        <w:t xml:space="preserve">, the biblical text in </w:t>
      </w:r>
      <w:smartTag w:uri="urn:schemas-microsoft-com:office:smarttags" w:element="time">
        <w:smartTagPr>
          <w:attr w:name="Minute" w:val="13"/>
          <w:attr w:name="Hour" w:val="15"/>
        </w:smartTagPr>
        <w:r w:rsidRPr="00D4590B">
          <w:rPr>
            <w:sz w:val="26"/>
            <w:szCs w:val="26"/>
            <w:lang w:bidi="he-IL"/>
          </w:rPr>
          <w:t>15:13</w:t>
        </w:r>
      </w:smartTag>
      <w:r w:rsidRPr="00D4590B">
        <w:rPr>
          <w:sz w:val="26"/>
          <w:szCs w:val="26"/>
          <w:lang w:bidi="he-IL"/>
        </w:rPr>
        <w:t xml:space="preserve"> actually reads </w:t>
      </w:r>
      <w:r w:rsidRPr="00D4590B">
        <w:rPr>
          <w:rStyle w:val="a6"/>
          <w:rFonts w:hint="cs"/>
          <w:sz w:val="26"/>
          <w:szCs w:val="26"/>
          <w:rtl/>
          <w:lang w:bidi="he-IL"/>
        </w:rPr>
        <w:t>פנים</w:t>
      </w:r>
      <w:r w:rsidRPr="00D4590B">
        <w:rPr>
          <w:rStyle w:val="a6"/>
          <w:sz w:val="26"/>
          <w:szCs w:val="26"/>
          <w:lang w:bidi="he-IL"/>
        </w:rPr>
        <w:t>—“face”—even as the remainder of the phrase is identical to that in 17:22.</w:t>
      </w:r>
      <w:r w:rsidR="008515BC" w:rsidRPr="00D4590B">
        <w:rPr>
          <w:rStyle w:val="a6"/>
          <w:sz w:val="26"/>
          <w:szCs w:val="26"/>
          <w:lang w:bidi="he-IL"/>
        </w:rPr>
        <w:t xml:space="preserve"> </w:t>
      </w:r>
      <w:r w:rsidRPr="00D4590B">
        <w:rPr>
          <w:rStyle w:val="a6"/>
          <w:sz w:val="26"/>
          <w:szCs w:val="26"/>
          <w:lang w:bidi="he-IL"/>
        </w:rPr>
        <w:t xml:space="preserve">The similarity between the two phrases could well have prompted our commentator to interpret </w:t>
      </w:r>
      <w:r w:rsidRPr="00D4590B">
        <w:rPr>
          <w:rStyle w:val="a6"/>
          <w:rFonts w:hint="cs"/>
          <w:sz w:val="26"/>
          <w:szCs w:val="26"/>
          <w:rtl/>
          <w:lang w:bidi="he-IL"/>
        </w:rPr>
        <w:t>גהה</w:t>
      </w:r>
      <w:r w:rsidRPr="00D4590B">
        <w:rPr>
          <w:rStyle w:val="a6"/>
          <w:sz w:val="26"/>
          <w:szCs w:val="26"/>
          <w:lang w:bidi="he-IL"/>
        </w:rPr>
        <w:t xml:space="preserve"> in the sense of brightness of complexion, so that it parallels the reference to a face in </w:t>
      </w:r>
      <w:smartTag w:uri="urn:schemas-microsoft-com:office:smarttags" w:element="time">
        <w:smartTagPr>
          <w:attr w:name="Minute" w:val="13"/>
          <w:attr w:name="Hour" w:val="15"/>
        </w:smartTagPr>
        <w:r w:rsidRPr="00D4590B">
          <w:rPr>
            <w:rStyle w:val="a6"/>
            <w:sz w:val="26"/>
            <w:szCs w:val="26"/>
            <w:lang w:bidi="he-IL"/>
          </w:rPr>
          <w:t>15:13</w:t>
        </w:r>
      </w:smartTag>
      <w:r w:rsidRPr="00D4590B">
        <w:rPr>
          <w:rStyle w:val="a6"/>
          <w:sz w:val="26"/>
          <w:szCs w:val="26"/>
          <w:lang w:bidi="he-IL"/>
        </w:rPr>
        <w:t>.</w:t>
      </w:r>
      <w:r w:rsidR="008515BC" w:rsidRPr="00D4590B">
        <w:rPr>
          <w:rStyle w:val="a6"/>
          <w:sz w:val="26"/>
          <w:szCs w:val="26"/>
          <w:lang w:bidi="he-IL"/>
        </w:rPr>
        <w:t xml:space="preserve"> </w:t>
      </w:r>
      <w:r w:rsidRPr="00D4590B">
        <w:rPr>
          <w:rStyle w:val="a6"/>
          <w:sz w:val="26"/>
          <w:szCs w:val="26"/>
          <w:lang w:bidi="he-IL"/>
        </w:rPr>
        <w:t xml:space="preserve">Quite possibly, it is only when reflecting on the phrase in isolation—when composing </w:t>
      </w:r>
      <w:r w:rsidRPr="00D4590B">
        <w:rPr>
          <w:rStyle w:val="a6"/>
          <w:i/>
          <w:iCs/>
          <w:sz w:val="26"/>
          <w:szCs w:val="26"/>
          <w:lang w:bidi="he-IL"/>
        </w:rPr>
        <w:t>Shorashim</w:t>
      </w:r>
      <w:r w:rsidRPr="00D4590B">
        <w:rPr>
          <w:rStyle w:val="a6"/>
          <w:sz w:val="26"/>
          <w:szCs w:val="26"/>
          <w:lang w:bidi="he-IL"/>
        </w:rPr>
        <w:t xml:space="preserve"> and when later seeking a paradigm for elision of </w:t>
      </w:r>
      <w:proofErr w:type="spellStart"/>
      <w:r w:rsidRPr="00D4590B">
        <w:rPr>
          <w:rStyle w:val="a6"/>
          <w:i/>
          <w:iCs/>
          <w:sz w:val="26"/>
          <w:szCs w:val="26"/>
          <w:lang w:bidi="he-IL"/>
        </w:rPr>
        <w:t>kaf</w:t>
      </w:r>
      <w:proofErr w:type="spellEnd"/>
      <w:r w:rsidRPr="00D4590B">
        <w:rPr>
          <w:rStyle w:val="a6"/>
          <w:sz w:val="26"/>
          <w:szCs w:val="26"/>
          <w:lang w:bidi="he-IL"/>
        </w:rPr>
        <w:t xml:space="preserve">—that </w:t>
      </w:r>
      <w:proofErr w:type="spellStart"/>
      <w:r w:rsidRPr="00D4590B">
        <w:rPr>
          <w:rStyle w:val="a6"/>
          <w:sz w:val="26"/>
          <w:szCs w:val="26"/>
          <w:lang w:bidi="he-IL"/>
        </w:rPr>
        <w:t>Radak</w:t>
      </w:r>
      <w:proofErr w:type="spellEnd"/>
      <w:r w:rsidRPr="00D4590B">
        <w:rPr>
          <w:rStyle w:val="a6"/>
          <w:sz w:val="26"/>
          <w:szCs w:val="26"/>
          <w:lang w:bidi="he-IL"/>
        </w:rPr>
        <w:t xml:space="preserve">, following his brother, was inclined to render </w:t>
      </w:r>
      <w:r w:rsidRPr="00D4590B">
        <w:rPr>
          <w:rStyle w:val="a6"/>
          <w:rFonts w:hint="cs"/>
          <w:sz w:val="26"/>
          <w:szCs w:val="26"/>
          <w:rtl/>
          <w:lang w:bidi="he-IL"/>
        </w:rPr>
        <w:t>גהה</w:t>
      </w:r>
      <w:r w:rsidRPr="00D4590B">
        <w:rPr>
          <w:rStyle w:val="a6"/>
          <w:sz w:val="26"/>
          <w:szCs w:val="26"/>
          <w:lang w:bidi="he-IL"/>
        </w:rPr>
        <w:t xml:space="preserve"> as “medicine.”</w:t>
      </w:r>
      <w:r w:rsidR="008515BC" w:rsidRPr="00D4590B">
        <w:rPr>
          <w:rStyle w:val="a6"/>
          <w:sz w:val="26"/>
          <w:szCs w:val="26"/>
          <w:lang w:bidi="he-IL"/>
        </w:rPr>
        <w:t xml:space="preserve"> </w:t>
      </w:r>
      <w:r w:rsidR="0050565F">
        <w:rPr>
          <w:rStyle w:val="a6"/>
          <w:sz w:val="26"/>
          <w:szCs w:val="26"/>
          <w:lang w:bidi="he-IL"/>
        </w:rPr>
        <w:t>And i</w:t>
      </w:r>
      <w:r w:rsidRPr="00D4590B">
        <w:rPr>
          <w:rStyle w:val="a6"/>
          <w:sz w:val="26"/>
          <w:szCs w:val="26"/>
          <w:lang w:bidi="he-IL"/>
        </w:rPr>
        <w:t xml:space="preserve">ndeed, after he completed the Proverbs commentary early in his career, this latter interpretation became </w:t>
      </w:r>
      <w:proofErr w:type="spellStart"/>
      <w:r w:rsidRPr="00D4590B">
        <w:rPr>
          <w:rStyle w:val="a6"/>
          <w:sz w:val="26"/>
          <w:szCs w:val="26"/>
          <w:lang w:bidi="he-IL"/>
        </w:rPr>
        <w:t>Radak’s</w:t>
      </w:r>
      <w:proofErr w:type="spellEnd"/>
      <w:r w:rsidRPr="00D4590B">
        <w:rPr>
          <w:rStyle w:val="a6"/>
          <w:sz w:val="26"/>
          <w:szCs w:val="26"/>
          <w:lang w:bidi="he-IL"/>
        </w:rPr>
        <w:t xml:space="preserve"> routine example—one to which he adhered consistently without further reevaluation.</w:t>
      </w:r>
      <w:r w:rsidR="00801C03" w:rsidRPr="00D4590B">
        <w:rPr>
          <w:rStyle w:val="a4"/>
          <w:sz w:val="26"/>
          <w:szCs w:val="26"/>
          <w:lang w:bidi="he-IL"/>
        </w:rPr>
        <w:footnoteReference w:id="130"/>
      </w:r>
      <w:r w:rsidRPr="00D4590B">
        <w:rPr>
          <w:rStyle w:val="a6"/>
          <w:sz w:val="26"/>
          <w:szCs w:val="26"/>
          <w:lang w:bidi="he-IL"/>
        </w:rPr>
        <w:t xml:space="preserve"> </w:t>
      </w:r>
    </w:p>
    <w:p w:rsidR="00975572" w:rsidRPr="00D4590B" w:rsidRDefault="00975572" w:rsidP="00D4590B">
      <w:pPr>
        <w:spacing w:line="300" w:lineRule="exact"/>
        <w:jc w:val="both"/>
        <w:rPr>
          <w:sz w:val="26"/>
          <w:szCs w:val="26"/>
          <w:lang w:bidi="he-IL"/>
        </w:rPr>
      </w:pPr>
      <w:r w:rsidRPr="00E641C4">
        <w:rPr>
          <w:rStyle w:val="a6"/>
          <w:bCs/>
          <w:sz w:val="28"/>
          <w:szCs w:val="26"/>
          <w:lang w:bidi="he-IL"/>
        </w:rPr>
        <w:t>Conclusion</w:t>
      </w:r>
    </w:p>
    <w:p w:rsidR="00975572" w:rsidRPr="00D4590B" w:rsidRDefault="00975572" w:rsidP="00652B40">
      <w:pPr>
        <w:spacing w:line="300" w:lineRule="exact"/>
        <w:jc w:val="both"/>
        <w:rPr>
          <w:sz w:val="26"/>
          <w:szCs w:val="26"/>
          <w:lang w:bidi="he-IL"/>
        </w:rPr>
      </w:pPr>
      <w:r w:rsidRPr="00D4590B">
        <w:rPr>
          <w:sz w:val="26"/>
          <w:szCs w:val="26"/>
          <w:lang w:bidi="he-IL"/>
        </w:rPr>
        <w:t>If, as its opening paragraph suggests, the Proverbs commentary is its author’s first exegetical composition, then we remain with little reason to question the posi</w:t>
      </w:r>
      <w:r w:rsidR="00A93508" w:rsidRPr="00D4590B">
        <w:rPr>
          <w:sz w:val="26"/>
          <w:szCs w:val="26"/>
          <w:lang w:bidi="he-IL"/>
        </w:rPr>
        <w:t>tion</w:t>
      </w:r>
      <w:r w:rsidR="006527ED" w:rsidRPr="00D4590B">
        <w:rPr>
          <w:sz w:val="26"/>
          <w:szCs w:val="26"/>
          <w:lang w:bidi="he-IL"/>
        </w:rPr>
        <w:t xml:space="preserve"> of Cassuto and Talmage, for whom the work’s </w:t>
      </w:r>
      <w:proofErr w:type="spellStart"/>
      <w:r w:rsidR="006527ED" w:rsidRPr="00D4590B">
        <w:rPr>
          <w:sz w:val="26"/>
          <w:szCs w:val="26"/>
          <w:lang w:bidi="he-IL"/>
        </w:rPr>
        <w:t>Kimh</w:t>
      </w:r>
      <w:r w:rsidR="006527ED" w:rsidRPr="00D4590B">
        <w:rPr>
          <w:sz w:val="26"/>
          <w:szCs w:val="26"/>
          <w:lang w:bidi="he-IL"/>
        </w:rPr>
        <w:t>ian</w:t>
      </w:r>
      <w:proofErr w:type="spellEnd"/>
      <w:r w:rsidR="006527ED" w:rsidRPr="00D4590B">
        <w:rPr>
          <w:sz w:val="26"/>
          <w:szCs w:val="26"/>
          <w:lang w:bidi="he-IL"/>
        </w:rPr>
        <w:t xml:space="preserve"> features pointed toward </w:t>
      </w:r>
      <w:proofErr w:type="spellStart"/>
      <w:r w:rsidR="006527ED" w:rsidRPr="00D4590B">
        <w:rPr>
          <w:sz w:val="26"/>
          <w:szCs w:val="26"/>
          <w:lang w:bidi="he-IL"/>
        </w:rPr>
        <w:t>Radak’s</w:t>
      </w:r>
      <w:proofErr w:type="spellEnd"/>
      <w:r w:rsidR="006527ED" w:rsidRPr="00D4590B">
        <w:rPr>
          <w:sz w:val="26"/>
          <w:szCs w:val="26"/>
          <w:lang w:bidi="he-IL"/>
        </w:rPr>
        <w:t xml:space="preserve"> authorship</w:t>
      </w:r>
      <w:r w:rsidRPr="00D4590B">
        <w:rPr>
          <w:sz w:val="26"/>
          <w:szCs w:val="26"/>
          <w:lang w:bidi="he-IL"/>
        </w:rPr>
        <w:t>.</w:t>
      </w:r>
      <w:r w:rsidR="008515BC" w:rsidRPr="00D4590B">
        <w:rPr>
          <w:sz w:val="26"/>
          <w:szCs w:val="26"/>
          <w:lang w:bidi="he-IL"/>
        </w:rPr>
        <w:t xml:space="preserve"> </w:t>
      </w:r>
      <w:r w:rsidRPr="00D4590B">
        <w:rPr>
          <w:sz w:val="26"/>
          <w:szCs w:val="26"/>
          <w:lang w:bidi="he-IL"/>
        </w:rPr>
        <w:t xml:space="preserve">Indeed, </w:t>
      </w:r>
      <w:r w:rsidR="00046D2E" w:rsidRPr="00D4590B">
        <w:rPr>
          <w:sz w:val="26"/>
          <w:szCs w:val="26"/>
          <w:lang w:bidi="he-IL"/>
        </w:rPr>
        <w:t xml:space="preserve">in my opinion, </w:t>
      </w:r>
      <w:r w:rsidRPr="00D4590B">
        <w:rPr>
          <w:sz w:val="26"/>
          <w:szCs w:val="26"/>
          <w:lang w:bidi="he-IL"/>
        </w:rPr>
        <w:t>the many specific observations we have ad</w:t>
      </w:r>
      <w:r w:rsidR="00E53793" w:rsidRPr="00D4590B">
        <w:rPr>
          <w:sz w:val="26"/>
          <w:szCs w:val="26"/>
          <w:lang w:bidi="he-IL"/>
        </w:rPr>
        <w:t>ded to the d</w:t>
      </w:r>
      <w:r w:rsidR="00090462" w:rsidRPr="00D4590B">
        <w:rPr>
          <w:sz w:val="26"/>
          <w:szCs w:val="26"/>
          <w:lang w:bidi="he-IL"/>
        </w:rPr>
        <w:t>iscussion lend decisive support to this position</w:t>
      </w:r>
      <w:r w:rsidRPr="00D4590B">
        <w:rPr>
          <w:sz w:val="26"/>
          <w:szCs w:val="26"/>
          <w:lang w:bidi="he-IL"/>
        </w:rPr>
        <w:t>.</w:t>
      </w:r>
      <w:r w:rsidR="008515BC" w:rsidRPr="00D4590B">
        <w:rPr>
          <w:sz w:val="26"/>
          <w:szCs w:val="26"/>
          <w:lang w:bidi="he-IL"/>
        </w:rPr>
        <w:t xml:space="preserve"> </w:t>
      </w:r>
      <w:r w:rsidR="002D4FB6" w:rsidRPr="00D4590B">
        <w:rPr>
          <w:sz w:val="26"/>
          <w:szCs w:val="26"/>
          <w:lang w:bidi="he-IL"/>
        </w:rPr>
        <w:t>At the same time,</w:t>
      </w:r>
      <w:r w:rsidR="005C35E6" w:rsidRPr="00D4590B">
        <w:rPr>
          <w:sz w:val="26"/>
          <w:szCs w:val="26"/>
          <w:lang w:bidi="he-IL"/>
        </w:rPr>
        <w:t xml:space="preserve"> the</w:t>
      </w:r>
      <w:r w:rsidRPr="00D4590B">
        <w:rPr>
          <w:sz w:val="26"/>
          <w:szCs w:val="26"/>
          <w:lang w:bidi="he-IL"/>
        </w:rPr>
        <w:t xml:space="preserve"> </w:t>
      </w:r>
      <w:r w:rsidR="002D4FB6" w:rsidRPr="00D4590B">
        <w:rPr>
          <w:sz w:val="26"/>
          <w:szCs w:val="26"/>
          <w:lang w:bidi="he-IL"/>
        </w:rPr>
        <w:t xml:space="preserve">many </w:t>
      </w:r>
      <w:r w:rsidRPr="00D4590B">
        <w:rPr>
          <w:sz w:val="26"/>
          <w:szCs w:val="26"/>
          <w:lang w:bidi="he-IL"/>
        </w:rPr>
        <w:t xml:space="preserve">counterarguments we have seen, while insufficient to </w:t>
      </w:r>
      <w:r w:rsidR="00C867ED" w:rsidRPr="00D4590B">
        <w:rPr>
          <w:sz w:val="26"/>
          <w:szCs w:val="26"/>
          <w:lang w:bidi="he-IL"/>
        </w:rPr>
        <w:t>challenge</w:t>
      </w:r>
      <w:r w:rsidRPr="00D4590B">
        <w:rPr>
          <w:sz w:val="26"/>
          <w:szCs w:val="26"/>
          <w:lang w:bidi="he-IL"/>
        </w:rPr>
        <w:t xml:space="preserve"> this conclusion, remain important for the worthy contribution they provide, if indirectly, to our understanding of the early exegesis of </w:t>
      </w:r>
      <w:proofErr w:type="spellStart"/>
      <w:r w:rsidRPr="00D4590B">
        <w:rPr>
          <w:sz w:val="26"/>
          <w:szCs w:val="26"/>
          <w:lang w:bidi="he-IL"/>
        </w:rPr>
        <w:t>Radak</w:t>
      </w:r>
      <w:proofErr w:type="spellEnd"/>
      <w:r w:rsidRPr="00D4590B">
        <w:rPr>
          <w:sz w:val="26"/>
          <w:szCs w:val="26"/>
          <w:lang w:bidi="he-IL"/>
        </w:rPr>
        <w:t xml:space="preserve"> and its subsequent development.</w:t>
      </w:r>
    </w:p>
    <w:sectPr w:rsidR="00975572" w:rsidRPr="00D4590B" w:rsidSect="002804F3">
      <w:headerReference w:type="even" r:id="rId6"/>
      <w:headerReference w:type="default" r:id="rId7"/>
      <w:footerReference w:type="even" r:id="rId8"/>
      <w:footerReference w:type="default" r:id="rId9"/>
      <w:headerReference w:type="first" r:id="rId10"/>
      <w:footerReference w:type="first" r:id="rId11"/>
      <w:pgSz w:w="12240" w:h="15840" w:code="1"/>
      <w:pgMar w:top="2160" w:right="2268" w:bottom="2160" w:left="2268" w:header="1418" w:footer="1418" w:gutter="0"/>
      <w:pgNumType w:start="20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253" w:rsidRDefault="00FF7253">
      <w:r>
        <w:separator/>
      </w:r>
    </w:p>
  </w:endnote>
  <w:endnote w:type="continuationSeparator" w:id="0">
    <w:p w:rsidR="00FF7253" w:rsidRDefault="00FF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07" w:rsidRPr="00D4590B" w:rsidRDefault="00745007" w:rsidP="00D4590B">
    <w:pPr>
      <w:pStyle w:val="a5"/>
      <w:rPr>
        <w:u w:val="single"/>
      </w:rPr>
    </w:pPr>
    <w:hyperlink r:id="rId1" w:history="1">
      <w:r w:rsidRPr="00C4159D">
        <w:rPr>
          <w:rStyle w:val="Hyperlink"/>
        </w:rPr>
        <w:t>http://www.biu.ac.il/JS/JSIJ/7-2008/Berger.pdf</w:t>
      </w:r>
    </w:hyperlink>
    <w:r>
      <w:rPr>
        <w:rStyle w:val="a6"/>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07" w:rsidRPr="00D4590B" w:rsidRDefault="00745007" w:rsidP="00D4590B">
    <w:pPr>
      <w:pStyle w:val="a5"/>
      <w:rPr>
        <w:u w:val="single"/>
      </w:rPr>
    </w:pPr>
    <w:hyperlink r:id="rId1" w:history="1">
      <w:r w:rsidRPr="00C4159D">
        <w:rPr>
          <w:rStyle w:val="Hyperlink"/>
        </w:rPr>
        <w:t>http://www.biu.ac.il/JS/JSIJ/7-2008/Berger.pdf</w:t>
      </w:r>
    </w:hyperlink>
    <w:r>
      <w:rPr>
        <w:rStyle w:val="a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07" w:rsidRPr="00D4590B" w:rsidRDefault="00745007" w:rsidP="00D4590B">
    <w:pPr>
      <w:pStyle w:val="a5"/>
      <w:rPr>
        <w:u w:val="single"/>
      </w:rPr>
    </w:pPr>
    <w:hyperlink r:id="rId1" w:history="1">
      <w:r w:rsidRPr="00C4159D">
        <w:rPr>
          <w:rStyle w:val="Hyperlink"/>
        </w:rPr>
        <w:t>http://www.biu.ac.il/JS/JSIJ/7-2008/Berger.pdf</w:t>
      </w:r>
    </w:hyperlink>
    <w:r>
      <w:rPr>
        <w:rStyle w:val="a6"/>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253" w:rsidRDefault="00FF7253">
      <w:r>
        <w:separator/>
      </w:r>
    </w:p>
  </w:footnote>
  <w:footnote w:type="continuationSeparator" w:id="0">
    <w:p w:rsidR="00FF7253" w:rsidRDefault="00FF7253">
      <w:r>
        <w:continuationSeparator/>
      </w:r>
    </w:p>
  </w:footnote>
  <w:footnote w:id="1">
    <w:p w:rsidR="00745007" w:rsidRPr="00D4590B" w:rsidRDefault="00745007" w:rsidP="00D4590B">
      <w:pPr>
        <w:pStyle w:val="a3"/>
        <w:spacing w:line="270" w:lineRule="exact"/>
        <w:jc w:val="both"/>
        <w:rPr>
          <w:sz w:val="23"/>
          <w:szCs w:val="23"/>
        </w:rPr>
      </w:pPr>
      <w:r w:rsidRPr="00D4590B">
        <w:rPr>
          <w:rStyle w:val="a4"/>
          <w:sz w:val="23"/>
          <w:szCs w:val="23"/>
        </w:rPr>
        <w:t>*</w:t>
      </w:r>
      <w:r w:rsidRPr="00D4590B">
        <w:rPr>
          <w:sz w:val="23"/>
          <w:szCs w:val="23"/>
        </w:rPr>
        <w:t xml:space="preserve"> Many of the arguments in this study appeared in concise form in my dissertation, “</w:t>
      </w:r>
      <w:proofErr w:type="spellStart"/>
      <w:r w:rsidRPr="00D4590B">
        <w:rPr>
          <w:sz w:val="23"/>
          <w:szCs w:val="23"/>
        </w:rPr>
        <w:t>Radak</w:t>
      </w:r>
      <w:proofErr w:type="spellEnd"/>
      <w:r w:rsidRPr="00D4590B">
        <w:rPr>
          <w:sz w:val="23"/>
          <w:szCs w:val="23"/>
        </w:rPr>
        <w:t xml:space="preserve"> on Chronicles: Critical Edition, Translation and Supercommentary,” </w:t>
      </w:r>
      <w:smartTag w:uri="urn:schemas-microsoft-com:office:smarttags" w:element="place">
        <w:smartTag w:uri="urn:schemas-microsoft-com:office:smarttags" w:element="PlaceName">
          <w:r w:rsidRPr="00D4590B">
            <w:rPr>
              <w:sz w:val="23"/>
              <w:szCs w:val="23"/>
            </w:rPr>
            <w:t>Yeshiva</w:t>
          </w:r>
        </w:smartTag>
        <w:r w:rsidRPr="00D4590B">
          <w:rPr>
            <w:sz w:val="23"/>
            <w:szCs w:val="23"/>
          </w:rPr>
          <w:t xml:space="preserve"> </w:t>
        </w:r>
        <w:smartTag w:uri="urn:schemas-microsoft-com:office:smarttags" w:element="PlaceType">
          <w:r w:rsidRPr="00D4590B">
            <w:rPr>
              <w:sz w:val="23"/>
              <w:szCs w:val="23"/>
            </w:rPr>
            <w:t>University</w:t>
          </w:r>
        </w:smartTag>
      </w:smartTag>
      <w:r w:rsidRPr="00D4590B">
        <w:rPr>
          <w:sz w:val="23"/>
          <w:szCs w:val="23"/>
        </w:rPr>
        <w:t xml:space="preserve">, 2003, 48-59, when I benefited from the direction of Profs. Sid </w:t>
      </w:r>
      <w:proofErr w:type="spellStart"/>
      <w:r w:rsidRPr="00D4590B">
        <w:rPr>
          <w:sz w:val="23"/>
          <w:szCs w:val="23"/>
        </w:rPr>
        <w:t>Leiman</w:t>
      </w:r>
      <w:proofErr w:type="spellEnd"/>
      <w:r w:rsidRPr="00D4590B">
        <w:rPr>
          <w:sz w:val="23"/>
          <w:szCs w:val="23"/>
        </w:rPr>
        <w:t xml:space="preserve">, Richard Steiner, and Mordechai Cohen. I also thank Prof. Herbert </w:t>
      </w:r>
      <w:proofErr w:type="spellStart"/>
      <w:r w:rsidRPr="00D4590B">
        <w:rPr>
          <w:sz w:val="23"/>
          <w:szCs w:val="23"/>
        </w:rPr>
        <w:t>Basser</w:t>
      </w:r>
      <w:proofErr w:type="spellEnd"/>
      <w:r w:rsidRPr="00D4590B">
        <w:rPr>
          <w:sz w:val="23"/>
          <w:szCs w:val="23"/>
        </w:rPr>
        <w:t xml:space="preserve"> and an anonymous reviewer for numerous helpful comments. Dr. Naomi Grunhaus, whose opinion I challenge here, provided reactions to several points presented in the dissertation, and our correspondence has added greater clarity and precision to our areas of disagreement. I gratefully acknowledge a grant provided by the Memorial Foundation for Jewish Culture that helped facilitate the preparation of this article.</w:t>
      </w:r>
    </w:p>
  </w:footnote>
  <w:footnote w:id="2">
    <w:p w:rsidR="00745007" w:rsidRPr="00D4590B" w:rsidRDefault="00745007" w:rsidP="00D4590B">
      <w:pPr>
        <w:pStyle w:val="a3"/>
        <w:spacing w:line="270" w:lineRule="exact"/>
        <w:jc w:val="both"/>
        <w:rPr>
          <w:sz w:val="23"/>
          <w:szCs w:val="23"/>
        </w:rPr>
      </w:pPr>
      <w:r w:rsidRPr="00D4590B">
        <w:rPr>
          <w:rStyle w:val="a4"/>
          <w:sz w:val="23"/>
          <w:szCs w:val="23"/>
        </w:rPr>
        <w:t>**</w:t>
      </w:r>
      <w:r w:rsidRPr="00D4590B">
        <w:rPr>
          <w:sz w:val="23"/>
          <w:szCs w:val="23"/>
        </w:rPr>
        <w:t xml:space="preserve"> </w:t>
      </w:r>
      <w:smartTag w:uri="urn:schemas-microsoft-com:office:smarttags" w:element="place">
        <w:smartTag w:uri="urn:schemas-microsoft-com:office:smarttags" w:element="PlaceName">
          <w:r w:rsidRPr="00D4590B">
            <w:rPr>
              <w:sz w:val="23"/>
              <w:szCs w:val="23"/>
            </w:rPr>
            <w:t>Hunter</w:t>
          </w:r>
        </w:smartTag>
        <w:r w:rsidRPr="00D4590B">
          <w:rPr>
            <w:sz w:val="23"/>
            <w:szCs w:val="23"/>
          </w:rPr>
          <w:t xml:space="preserve"> </w:t>
        </w:r>
        <w:smartTag w:uri="urn:schemas-microsoft-com:office:smarttags" w:element="PlaceName">
          <w:r w:rsidRPr="00D4590B">
            <w:rPr>
              <w:sz w:val="23"/>
              <w:szCs w:val="23"/>
            </w:rPr>
            <w:t>College</w:t>
          </w:r>
        </w:smartTag>
      </w:smartTag>
      <w:r w:rsidRPr="00D4590B">
        <w:rPr>
          <w:sz w:val="23"/>
          <w:szCs w:val="23"/>
        </w:rPr>
        <w:t xml:space="preserve"> of the </w:t>
      </w:r>
      <w:smartTag w:uri="urn:schemas-microsoft-com:office:smarttags" w:element="place">
        <w:smartTag w:uri="urn:schemas-microsoft-com:office:smarttags" w:element="PlaceType">
          <w:r w:rsidRPr="00D4590B">
            <w:rPr>
              <w:sz w:val="23"/>
              <w:szCs w:val="23"/>
            </w:rPr>
            <w:t>City</w:t>
          </w:r>
        </w:smartTag>
        <w:r w:rsidRPr="00D4590B">
          <w:rPr>
            <w:sz w:val="23"/>
            <w:szCs w:val="23"/>
          </w:rPr>
          <w:t xml:space="preserve"> </w:t>
        </w:r>
        <w:smartTag w:uri="urn:schemas-microsoft-com:office:smarttags" w:element="PlaceType">
          <w:r w:rsidRPr="00D4590B">
            <w:rPr>
              <w:sz w:val="23"/>
              <w:szCs w:val="23"/>
            </w:rPr>
            <w:t>University</w:t>
          </w:r>
        </w:smartTag>
      </w:smartTag>
      <w:r w:rsidRPr="00D4590B">
        <w:rPr>
          <w:sz w:val="23"/>
          <w:szCs w:val="23"/>
        </w:rPr>
        <w:t xml:space="preserve"> of </w:t>
      </w:r>
      <w:smartTag w:uri="urn:schemas-microsoft-com:office:smarttags" w:element="State">
        <w:smartTag w:uri="urn:schemas-microsoft-com:office:smarttags" w:element="place">
          <w:r w:rsidRPr="00D4590B">
            <w:rPr>
              <w:sz w:val="23"/>
              <w:szCs w:val="23"/>
            </w:rPr>
            <w:t>New York</w:t>
          </w:r>
        </w:smartTag>
      </w:smartTag>
      <w:r>
        <w:rPr>
          <w:sz w:val="23"/>
          <w:szCs w:val="23"/>
        </w:rPr>
        <w:t>.</w:t>
      </w:r>
    </w:p>
  </w:footnote>
  <w:footnote w:id="3">
    <w:p w:rsidR="00745007" w:rsidRPr="00D4590B" w:rsidRDefault="00745007" w:rsidP="00D4590B">
      <w:pPr>
        <w:autoSpaceDE w:val="0"/>
        <w:autoSpaceDN w:val="0"/>
        <w:adjustRightInd w:val="0"/>
        <w:spacing w:line="270" w:lineRule="exact"/>
        <w:jc w:val="both"/>
        <w:rPr>
          <w:sz w:val="23"/>
          <w:szCs w:val="23"/>
        </w:rPr>
      </w:pPr>
      <w:r w:rsidRPr="00D4590B">
        <w:rPr>
          <w:rStyle w:val="a4"/>
          <w:sz w:val="23"/>
          <w:szCs w:val="23"/>
        </w:rPr>
        <w:footnoteRef/>
      </w:r>
      <w:r w:rsidRPr="00D4590B">
        <w:rPr>
          <w:sz w:val="23"/>
          <w:szCs w:val="23"/>
        </w:rPr>
        <w:t xml:space="preserve"> Solomon Ibn </w:t>
      </w:r>
      <w:proofErr w:type="spellStart"/>
      <w:r w:rsidRPr="00D4590B">
        <w:rPr>
          <w:sz w:val="23"/>
          <w:szCs w:val="23"/>
        </w:rPr>
        <w:t>Melekh</w:t>
      </w:r>
      <w:proofErr w:type="spellEnd"/>
      <w:r w:rsidRPr="00D4590B">
        <w:rPr>
          <w:sz w:val="23"/>
          <w:szCs w:val="23"/>
        </w:rPr>
        <w:t xml:space="preserve">, </w:t>
      </w:r>
      <w:proofErr w:type="spellStart"/>
      <w:r w:rsidRPr="00D4590B">
        <w:rPr>
          <w:i/>
          <w:sz w:val="23"/>
          <w:szCs w:val="23"/>
        </w:rPr>
        <w:t>Mikhlal</w:t>
      </w:r>
      <w:proofErr w:type="spellEnd"/>
      <w:r w:rsidRPr="00D4590B">
        <w:rPr>
          <w:i/>
          <w:sz w:val="23"/>
          <w:szCs w:val="23"/>
        </w:rPr>
        <w:t xml:space="preserve"> </w:t>
      </w:r>
      <w:proofErr w:type="spellStart"/>
      <w:r w:rsidRPr="00D4590B">
        <w:rPr>
          <w:i/>
          <w:sz w:val="23"/>
          <w:szCs w:val="23"/>
        </w:rPr>
        <w:t>Yofi</w:t>
      </w:r>
      <w:proofErr w:type="spellEnd"/>
      <w:r w:rsidRPr="00D4590B">
        <w:rPr>
          <w:iCs/>
          <w:sz w:val="23"/>
          <w:szCs w:val="23"/>
        </w:rPr>
        <w:t>,</w:t>
      </w:r>
      <w:r w:rsidRPr="00D4590B">
        <w:rPr>
          <w:sz w:val="23"/>
          <w:szCs w:val="23"/>
        </w:rPr>
        <w:t xml:space="preserve"> </w:t>
      </w:r>
      <w:smartTag w:uri="urn:schemas-microsoft-com:office:smarttags" w:element="City">
        <w:smartTag w:uri="urn:schemas-microsoft-com:office:smarttags" w:element="place">
          <w:r w:rsidRPr="00D4590B">
            <w:rPr>
              <w:sz w:val="23"/>
              <w:szCs w:val="23"/>
            </w:rPr>
            <w:t>Amsterdam</w:t>
          </w:r>
        </w:smartTag>
      </w:smartTag>
      <w:r w:rsidRPr="00D4590B">
        <w:rPr>
          <w:sz w:val="23"/>
          <w:szCs w:val="23"/>
        </w:rPr>
        <w:t xml:space="preserve"> 1684 (</w:t>
      </w:r>
      <w:proofErr w:type="spellStart"/>
      <w:r w:rsidRPr="00D4590B">
        <w:rPr>
          <w:sz w:val="23"/>
          <w:szCs w:val="23"/>
        </w:rPr>
        <w:t>repr</w:t>
      </w:r>
      <w:proofErr w:type="spellEnd"/>
      <w:r w:rsidRPr="00D4590B">
        <w:rPr>
          <w:sz w:val="23"/>
          <w:szCs w:val="23"/>
        </w:rPr>
        <w:t xml:space="preserve">. </w:t>
      </w:r>
      <w:smartTag w:uri="urn:schemas-microsoft-com:office:smarttags" w:element="City">
        <w:smartTag w:uri="urn:schemas-microsoft-com:office:smarttags" w:element="place">
          <w:r w:rsidRPr="00D4590B">
            <w:rPr>
              <w:sz w:val="23"/>
              <w:szCs w:val="23"/>
            </w:rPr>
            <w:t>Jerusalem</w:t>
          </w:r>
        </w:smartTag>
      </w:smartTag>
      <w:r w:rsidRPr="00D4590B">
        <w:rPr>
          <w:sz w:val="23"/>
          <w:szCs w:val="23"/>
        </w:rPr>
        <w:t>: Makor, 1969), 219b. For information regarding earlier and subsequent printings, see Eliezer Schlossberg, “</w:t>
      </w:r>
      <w:proofErr w:type="spellStart"/>
      <w:r w:rsidRPr="00D4590B">
        <w:rPr>
          <w:i/>
          <w:iCs/>
          <w:sz w:val="23"/>
          <w:szCs w:val="23"/>
        </w:rPr>
        <w:t>Mikhlol</w:t>
      </w:r>
      <w:proofErr w:type="spellEnd"/>
      <w:r w:rsidRPr="00D4590B">
        <w:rPr>
          <w:i/>
          <w:iCs/>
          <w:sz w:val="23"/>
          <w:szCs w:val="23"/>
        </w:rPr>
        <w:t xml:space="preserve"> </w:t>
      </w:r>
      <w:proofErr w:type="spellStart"/>
      <w:r w:rsidRPr="00D4590B">
        <w:rPr>
          <w:i/>
          <w:iCs/>
          <w:sz w:val="23"/>
          <w:szCs w:val="23"/>
        </w:rPr>
        <w:t>Yofi</w:t>
      </w:r>
      <w:proofErr w:type="spellEnd"/>
      <w:r w:rsidRPr="00D4590B">
        <w:rPr>
          <w:sz w:val="23"/>
          <w:szCs w:val="23"/>
        </w:rPr>
        <w:t xml:space="preserve"> of</w:t>
      </w:r>
      <w:r w:rsidRPr="00D4590B">
        <w:rPr>
          <w:i/>
          <w:iCs/>
          <w:sz w:val="23"/>
          <w:szCs w:val="23"/>
        </w:rPr>
        <w:t xml:space="preserve"> </w:t>
      </w:r>
      <w:r w:rsidRPr="00D4590B">
        <w:rPr>
          <w:sz w:val="23"/>
          <w:szCs w:val="23"/>
        </w:rPr>
        <w:t xml:space="preserve">R. Solomon ben </w:t>
      </w:r>
      <w:proofErr w:type="spellStart"/>
      <w:r w:rsidRPr="00D4590B">
        <w:rPr>
          <w:sz w:val="23"/>
          <w:szCs w:val="23"/>
        </w:rPr>
        <w:t>Melekh</w:t>
      </w:r>
      <w:proofErr w:type="spellEnd"/>
      <w:r w:rsidRPr="00D4590B">
        <w:rPr>
          <w:sz w:val="23"/>
          <w:szCs w:val="23"/>
        </w:rPr>
        <w:t xml:space="preserve">—Compiler of Medieval Philological Interpretation of the Bible” (Hebrew), </w:t>
      </w:r>
      <w:proofErr w:type="spellStart"/>
      <w:r w:rsidRPr="00D4590B">
        <w:rPr>
          <w:i/>
          <w:iCs/>
          <w:sz w:val="23"/>
          <w:szCs w:val="23"/>
        </w:rPr>
        <w:t>Megadim</w:t>
      </w:r>
      <w:proofErr w:type="spellEnd"/>
      <w:r w:rsidRPr="00D4590B">
        <w:rPr>
          <w:sz w:val="23"/>
          <w:szCs w:val="23"/>
        </w:rPr>
        <w:t xml:space="preserve"> 5 (1988): 45-46. The vocalization </w:t>
      </w:r>
      <w:proofErr w:type="spellStart"/>
      <w:r w:rsidRPr="00D4590B">
        <w:rPr>
          <w:i/>
          <w:iCs/>
          <w:sz w:val="23"/>
          <w:szCs w:val="23"/>
        </w:rPr>
        <w:t>Mikhlol</w:t>
      </w:r>
      <w:proofErr w:type="spellEnd"/>
      <w:r w:rsidRPr="00D4590B">
        <w:rPr>
          <w:i/>
          <w:iCs/>
          <w:sz w:val="23"/>
          <w:szCs w:val="23"/>
        </w:rPr>
        <w:t xml:space="preserve"> </w:t>
      </w:r>
      <w:proofErr w:type="spellStart"/>
      <w:r w:rsidRPr="00D4590B">
        <w:rPr>
          <w:i/>
          <w:iCs/>
          <w:sz w:val="23"/>
          <w:szCs w:val="23"/>
        </w:rPr>
        <w:t>Yofi</w:t>
      </w:r>
      <w:proofErr w:type="spellEnd"/>
      <w:r w:rsidRPr="00D4590B">
        <w:rPr>
          <w:sz w:val="23"/>
          <w:szCs w:val="23"/>
        </w:rPr>
        <w:t xml:space="preserve"> appears on the cover and title page of the 1969 reprint, but has no apparent justification.</w:t>
      </w:r>
    </w:p>
  </w:footnote>
  <w:footnote w:id="4">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Umberto Cassuto, </w:t>
      </w:r>
      <w:r w:rsidRPr="00D4590B">
        <w:rPr>
          <w:i/>
          <w:iCs/>
          <w:sz w:val="23"/>
          <w:szCs w:val="23"/>
        </w:rPr>
        <w:t xml:space="preserve">Codices </w:t>
      </w:r>
      <w:proofErr w:type="spellStart"/>
      <w:smartTag w:uri="urn:schemas-microsoft-com:office:smarttags" w:element="place">
        <w:smartTag w:uri="urn:schemas-microsoft-com:office:smarttags" w:element="City">
          <w:r w:rsidRPr="00D4590B">
            <w:rPr>
              <w:i/>
              <w:iCs/>
              <w:sz w:val="23"/>
              <w:szCs w:val="23"/>
            </w:rPr>
            <w:t>Vaticani</w:t>
          </w:r>
          <w:proofErr w:type="spellEnd"/>
          <w:r w:rsidRPr="00D4590B">
            <w:rPr>
              <w:i/>
              <w:iCs/>
              <w:sz w:val="23"/>
              <w:szCs w:val="23"/>
            </w:rPr>
            <w:t xml:space="preserve"> </w:t>
          </w:r>
          <w:proofErr w:type="spellStart"/>
          <w:r w:rsidRPr="00D4590B">
            <w:rPr>
              <w:i/>
              <w:iCs/>
              <w:sz w:val="23"/>
              <w:szCs w:val="23"/>
            </w:rPr>
            <w:t>Hebraici</w:t>
          </w:r>
        </w:smartTag>
        <w:proofErr w:type="spellEnd"/>
        <w:r w:rsidRPr="00D4590B">
          <w:rPr>
            <w:sz w:val="23"/>
            <w:szCs w:val="23"/>
          </w:rPr>
          <w:t xml:space="preserve">, </w:t>
        </w:r>
        <w:smartTag w:uri="urn:schemas-microsoft-com:office:smarttags" w:element="State">
          <w:r w:rsidRPr="00D4590B">
            <w:rPr>
              <w:sz w:val="23"/>
              <w:szCs w:val="23"/>
            </w:rPr>
            <w:t>Vatican City</w:t>
          </w:r>
        </w:smartTag>
      </w:smartTag>
      <w:r w:rsidRPr="00D4590B">
        <w:rPr>
          <w:sz w:val="23"/>
          <w:szCs w:val="23"/>
        </w:rPr>
        <w:t xml:space="preserve">: </w:t>
      </w:r>
      <w:smartTag w:uri="urn:schemas-microsoft-com:office:smarttags" w:element="place">
        <w:r w:rsidRPr="00D4590B">
          <w:rPr>
            <w:sz w:val="23"/>
            <w:szCs w:val="23"/>
          </w:rPr>
          <w:t>Vatican</w:t>
        </w:r>
      </w:smartTag>
      <w:r w:rsidRPr="00D4590B">
        <w:rPr>
          <w:sz w:val="23"/>
          <w:szCs w:val="23"/>
        </w:rPr>
        <w:t xml:space="preserve"> Library, 1956, 129-130.</w:t>
      </w:r>
    </w:p>
  </w:footnote>
  <w:footnote w:id="5">
    <w:p w:rsidR="00745007" w:rsidRPr="00D4590B" w:rsidRDefault="00745007" w:rsidP="00D4590B">
      <w:pPr>
        <w:autoSpaceDE w:val="0"/>
        <w:autoSpaceDN w:val="0"/>
        <w:adjustRightInd w:val="0"/>
        <w:spacing w:line="270" w:lineRule="exact"/>
        <w:jc w:val="both"/>
        <w:rPr>
          <w:sz w:val="23"/>
          <w:szCs w:val="23"/>
        </w:rPr>
      </w:pPr>
      <w:r w:rsidRPr="00D4590B">
        <w:rPr>
          <w:rStyle w:val="a4"/>
          <w:sz w:val="23"/>
          <w:szCs w:val="23"/>
        </w:rPr>
        <w:footnoteRef/>
      </w:r>
      <w:r w:rsidRPr="00D4590B">
        <w:rPr>
          <w:sz w:val="23"/>
          <w:szCs w:val="23"/>
        </w:rPr>
        <w:t xml:space="preserve"> Frank E. </w:t>
      </w:r>
      <w:r w:rsidRPr="00D4590B">
        <w:rPr>
          <w:color w:val="000000"/>
          <w:sz w:val="23"/>
          <w:szCs w:val="23"/>
        </w:rPr>
        <w:t xml:space="preserve">Talmage, </w:t>
      </w:r>
      <w:r w:rsidRPr="00D4590B">
        <w:rPr>
          <w:i/>
          <w:color w:val="000000"/>
          <w:sz w:val="23"/>
          <w:szCs w:val="23"/>
        </w:rPr>
        <w:t xml:space="preserve">David </w:t>
      </w:r>
      <w:proofErr w:type="spellStart"/>
      <w:r w:rsidRPr="00D4590B">
        <w:rPr>
          <w:i/>
          <w:color w:val="000000"/>
          <w:sz w:val="23"/>
          <w:szCs w:val="23"/>
        </w:rPr>
        <w:t>Kimh</w:t>
      </w:r>
      <w:r w:rsidRPr="00D4590B">
        <w:rPr>
          <w:i/>
          <w:color w:val="000000"/>
          <w:sz w:val="23"/>
          <w:szCs w:val="23"/>
        </w:rPr>
        <w:t>i</w:t>
      </w:r>
      <w:proofErr w:type="spellEnd"/>
      <w:r w:rsidRPr="00D4590B">
        <w:rPr>
          <w:i/>
          <w:color w:val="000000"/>
          <w:sz w:val="23"/>
          <w:szCs w:val="23"/>
        </w:rPr>
        <w:t>: The Man and the Commentaries</w:t>
      </w:r>
      <w:r w:rsidRPr="00D4590B">
        <w:rPr>
          <w:iCs/>
          <w:color w:val="000000"/>
          <w:sz w:val="23"/>
          <w:szCs w:val="23"/>
        </w:rPr>
        <w:t>,</w:t>
      </w:r>
      <w:r w:rsidRPr="00D4590B">
        <w:rPr>
          <w:color w:val="000000"/>
          <w:sz w:val="23"/>
          <w:szCs w:val="23"/>
        </w:rPr>
        <w:t xml:space="preserve"> </w:t>
      </w:r>
      <w:smartTag w:uri="urn:schemas-microsoft-com:office:smarttags" w:element="City">
        <w:smartTag w:uri="urn:schemas-microsoft-com:office:smarttags" w:element="place">
          <w:r w:rsidRPr="00D4590B">
            <w:rPr>
              <w:color w:val="000000"/>
              <w:sz w:val="23"/>
              <w:szCs w:val="23"/>
            </w:rPr>
            <w:t>Cambridge</w:t>
          </w:r>
        </w:smartTag>
      </w:smartTag>
      <w:r w:rsidRPr="00D4590B">
        <w:rPr>
          <w:color w:val="000000"/>
          <w:sz w:val="23"/>
          <w:szCs w:val="23"/>
        </w:rPr>
        <w:t>:</w:t>
      </w:r>
    </w:p>
    <w:p w:rsidR="00745007" w:rsidRPr="00D4590B" w:rsidRDefault="00745007" w:rsidP="00D4590B">
      <w:pPr>
        <w:autoSpaceDE w:val="0"/>
        <w:autoSpaceDN w:val="0"/>
        <w:adjustRightInd w:val="0"/>
        <w:spacing w:line="270" w:lineRule="exact"/>
        <w:jc w:val="both"/>
        <w:rPr>
          <w:sz w:val="23"/>
          <w:szCs w:val="23"/>
        </w:rPr>
      </w:pPr>
      <w:smartTag w:uri="urn:schemas-microsoft-com:office:smarttags" w:element="place">
        <w:smartTag w:uri="urn:schemas-microsoft-com:office:smarttags" w:element="PlaceName">
          <w:r w:rsidRPr="00D4590B">
            <w:rPr>
              <w:sz w:val="23"/>
              <w:szCs w:val="23"/>
            </w:rPr>
            <w:t>Harvard</w:t>
          </w:r>
        </w:smartTag>
        <w:r w:rsidRPr="00D4590B">
          <w:rPr>
            <w:sz w:val="23"/>
            <w:szCs w:val="23"/>
          </w:rPr>
          <w:t xml:space="preserve"> </w:t>
        </w:r>
        <w:smartTag w:uri="urn:schemas-microsoft-com:office:smarttags" w:element="PlaceType">
          <w:r w:rsidRPr="00D4590B">
            <w:rPr>
              <w:sz w:val="23"/>
              <w:szCs w:val="23"/>
            </w:rPr>
            <w:t>University</w:t>
          </w:r>
        </w:smartTag>
      </w:smartTag>
      <w:r w:rsidRPr="00D4590B">
        <w:rPr>
          <w:sz w:val="23"/>
          <w:szCs w:val="23"/>
        </w:rPr>
        <w:t xml:space="preserve"> Press, 1975, 60.</w:t>
      </w:r>
    </w:p>
  </w:footnote>
  <w:footnote w:id="6">
    <w:p w:rsidR="00745007" w:rsidRPr="00D4590B" w:rsidRDefault="00745007" w:rsidP="00DA7803">
      <w:pPr>
        <w:pStyle w:val="a3"/>
        <w:spacing w:line="270" w:lineRule="exact"/>
        <w:jc w:val="both"/>
        <w:rPr>
          <w:sz w:val="23"/>
          <w:szCs w:val="23"/>
        </w:rPr>
      </w:pPr>
      <w:r w:rsidRPr="00D4590B">
        <w:rPr>
          <w:rStyle w:val="a4"/>
          <w:sz w:val="23"/>
          <w:szCs w:val="23"/>
        </w:rPr>
        <w:footnoteRef/>
      </w:r>
      <w:r w:rsidRPr="00D4590B">
        <w:rPr>
          <w:sz w:val="23"/>
          <w:szCs w:val="23"/>
        </w:rPr>
        <w:t xml:space="preserve"> Frank E. Talmage, </w:t>
      </w:r>
      <w:r w:rsidRPr="00D4590B">
        <w:rPr>
          <w:i/>
          <w:iCs/>
          <w:sz w:val="23"/>
          <w:szCs w:val="23"/>
        </w:rPr>
        <w:t xml:space="preserve">The Commentaries on Proverbs of the </w:t>
      </w:r>
      <w:proofErr w:type="spellStart"/>
      <w:r w:rsidRPr="00D4590B">
        <w:rPr>
          <w:i/>
          <w:iCs/>
          <w:sz w:val="23"/>
          <w:szCs w:val="23"/>
        </w:rPr>
        <w:t>Kimh</w:t>
      </w:r>
      <w:r w:rsidRPr="00D4590B">
        <w:rPr>
          <w:i/>
          <w:iCs/>
          <w:sz w:val="23"/>
          <w:szCs w:val="23"/>
        </w:rPr>
        <w:t>i</w:t>
      </w:r>
      <w:proofErr w:type="spellEnd"/>
      <w:r w:rsidRPr="00D4590B">
        <w:rPr>
          <w:i/>
          <w:iCs/>
          <w:sz w:val="23"/>
          <w:szCs w:val="23"/>
        </w:rPr>
        <w:t xml:space="preserve"> Family </w:t>
      </w:r>
      <w:r w:rsidRPr="00D4590B">
        <w:rPr>
          <w:sz w:val="23"/>
          <w:szCs w:val="23"/>
        </w:rPr>
        <w:t xml:space="preserve">(Hebrew), </w:t>
      </w:r>
      <w:smartTag w:uri="urn:schemas-microsoft-com:office:smarttags" w:element="City">
        <w:smartTag w:uri="urn:schemas-microsoft-com:office:smarttags" w:element="place">
          <w:r w:rsidRPr="00D4590B">
            <w:rPr>
              <w:sz w:val="23"/>
              <w:szCs w:val="23"/>
            </w:rPr>
            <w:t>Jerusalem</w:t>
          </w:r>
        </w:smartTag>
      </w:smartTag>
      <w:r w:rsidRPr="00D4590B">
        <w:rPr>
          <w:sz w:val="23"/>
          <w:szCs w:val="23"/>
        </w:rPr>
        <w:t xml:space="preserve">: </w:t>
      </w:r>
      <w:proofErr w:type="spellStart"/>
      <w:r w:rsidRPr="00D4590B">
        <w:rPr>
          <w:sz w:val="23"/>
          <w:szCs w:val="23"/>
        </w:rPr>
        <w:t>Magnes</w:t>
      </w:r>
      <w:proofErr w:type="spellEnd"/>
      <w:r w:rsidRPr="00D4590B">
        <w:rPr>
          <w:sz w:val="23"/>
          <w:szCs w:val="23"/>
        </w:rPr>
        <w:t xml:space="preserve"> Press, 1990.</w:t>
      </w:r>
      <w:r>
        <w:rPr>
          <w:sz w:val="23"/>
          <w:szCs w:val="23"/>
        </w:rPr>
        <w:t xml:space="preserve"> </w:t>
      </w:r>
      <w:r w:rsidRPr="00D4590B">
        <w:rPr>
          <w:sz w:val="23"/>
          <w:szCs w:val="23"/>
        </w:rPr>
        <w:t>See his endorsement of Radak’s authorship, 18-19.</w:t>
      </w:r>
    </w:p>
  </w:footnote>
  <w:footnote w:id="7">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Naomi Grunhaus, “The Commentary of Rabbi David Kimhi on Proverbs: A Case of Mistaken Attribution,” </w:t>
      </w:r>
      <w:r w:rsidRPr="00D4590B">
        <w:rPr>
          <w:i/>
          <w:iCs/>
          <w:sz w:val="23"/>
          <w:szCs w:val="23"/>
        </w:rPr>
        <w:t>JJS</w:t>
      </w:r>
      <w:r w:rsidRPr="00D4590B">
        <w:rPr>
          <w:sz w:val="23"/>
          <w:szCs w:val="23"/>
        </w:rPr>
        <w:t xml:space="preserve"> 54/2 (2003): 311-327.</w:t>
      </w:r>
    </w:p>
  </w:footnote>
  <w:footnote w:id="8">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Prof. Herbert </w:t>
      </w:r>
      <w:proofErr w:type="spellStart"/>
      <w:r w:rsidRPr="00D4590B">
        <w:rPr>
          <w:sz w:val="23"/>
          <w:szCs w:val="23"/>
        </w:rPr>
        <w:t>Basser</w:t>
      </w:r>
      <w:proofErr w:type="spellEnd"/>
      <w:r w:rsidRPr="00D4590B">
        <w:rPr>
          <w:sz w:val="23"/>
          <w:szCs w:val="23"/>
        </w:rPr>
        <w:t>, who assisted considerably in the preparation of Talmage’s edition, reports in an oral communication that Talmage himself experienced periods of doubt regarding the question of authorship. The new perspective offered here attempts to neutralize all apparently conflicting evidence.</w:t>
      </w:r>
    </w:p>
  </w:footnote>
  <w:footnote w:id="9">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As first noted to me by Grunhaus, the material on page 328 of Talmage’s edition that precedes the paragraph reproduced below is in fact the epilogue to R. Moses </w:t>
      </w:r>
      <w:proofErr w:type="spellStart"/>
      <w:r w:rsidRPr="00D4590B">
        <w:rPr>
          <w:sz w:val="23"/>
          <w:szCs w:val="23"/>
        </w:rPr>
        <w:t>Kimh</w:t>
      </w:r>
      <w:r w:rsidRPr="00D4590B">
        <w:rPr>
          <w:sz w:val="23"/>
          <w:szCs w:val="23"/>
        </w:rPr>
        <w:t>i’s</w:t>
      </w:r>
      <w:proofErr w:type="spellEnd"/>
      <w:r w:rsidRPr="00D4590B">
        <w:rPr>
          <w:sz w:val="23"/>
          <w:szCs w:val="23"/>
        </w:rPr>
        <w:t xml:space="preserve"> commentary, despite appearing under the heading </w:t>
      </w:r>
      <w:r w:rsidRPr="00D4590B">
        <w:rPr>
          <w:rFonts w:hint="cs"/>
          <w:sz w:val="23"/>
          <w:szCs w:val="23"/>
          <w:rtl/>
          <w:lang w:bidi="he-IL"/>
        </w:rPr>
        <w:t>פירוש ר' דוד קמחי לספר משלי</w:t>
      </w:r>
      <w:r w:rsidRPr="00D4590B">
        <w:rPr>
          <w:sz w:val="23"/>
          <w:szCs w:val="23"/>
        </w:rPr>
        <w:t>.</w:t>
      </w:r>
    </w:p>
  </w:footnote>
  <w:footnote w:id="10">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As we shall observe shortly, this opening formula is clearly problematic, and there is excellent reason to think that it originally read “</w:t>
      </w:r>
      <w:r w:rsidRPr="00D4590B">
        <w:rPr>
          <w:i/>
          <w:iCs/>
          <w:sz w:val="23"/>
          <w:szCs w:val="23"/>
        </w:rPr>
        <w:t>David ben</w:t>
      </w:r>
      <w:r w:rsidRPr="00D4590B">
        <w:rPr>
          <w:sz w:val="23"/>
          <w:szCs w:val="23"/>
        </w:rPr>
        <w:t xml:space="preserve"> Joseph </w:t>
      </w:r>
      <w:proofErr w:type="spellStart"/>
      <w:r w:rsidRPr="00D4590B">
        <w:rPr>
          <w:sz w:val="23"/>
          <w:szCs w:val="23"/>
        </w:rPr>
        <w:t>Kimh</w:t>
      </w:r>
      <w:r w:rsidRPr="00D4590B">
        <w:rPr>
          <w:sz w:val="23"/>
          <w:szCs w:val="23"/>
        </w:rPr>
        <w:t>i</w:t>
      </w:r>
      <w:proofErr w:type="spellEnd"/>
      <w:r w:rsidRPr="00D4590B">
        <w:rPr>
          <w:sz w:val="23"/>
          <w:szCs w:val="23"/>
        </w:rPr>
        <w:t xml:space="preserve"> the Spaniard said,” as reconstructed by Talmage in his edition.</w:t>
      </w:r>
    </w:p>
  </w:footnote>
  <w:footnote w:id="11">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In his notes </w:t>
      </w:r>
      <w:r w:rsidRPr="00D4590B">
        <w:rPr>
          <w:i/>
          <w:iCs/>
          <w:sz w:val="23"/>
          <w:szCs w:val="23"/>
        </w:rPr>
        <w:t>ad loc</w:t>
      </w:r>
      <w:r w:rsidRPr="00D4590B">
        <w:rPr>
          <w:sz w:val="23"/>
          <w:szCs w:val="23"/>
        </w:rPr>
        <w:t xml:space="preserve">., Talmage identifies these exegetes as Rashi and R. Jonah ibn </w:t>
      </w:r>
      <w:proofErr w:type="spellStart"/>
      <w:r w:rsidRPr="00D4590B">
        <w:rPr>
          <w:sz w:val="23"/>
          <w:szCs w:val="23"/>
        </w:rPr>
        <w:t>Janah</w:t>
      </w:r>
      <w:proofErr w:type="spellEnd"/>
      <w:r w:rsidRPr="00D4590B">
        <w:rPr>
          <w:sz w:val="23"/>
          <w:szCs w:val="23"/>
        </w:rPr>
        <w:t xml:space="preserve">, respectively. To be sure, Rashi at 1:6 does emphasize the importance of the literal meaning, but </w:t>
      </w:r>
      <w:r>
        <w:rPr>
          <w:sz w:val="23"/>
          <w:szCs w:val="23"/>
        </w:rPr>
        <w:t xml:space="preserve">he </w:t>
      </w:r>
      <w:r w:rsidRPr="00D4590B">
        <w:rPr>
          <w:sz w:val="23"/>
          <w:szCs w:val="23"/>
        </w:rPr>
        <w:t xml:space="preserve">nonetheless saw fit to include and even favor metaphoric interpretation in his commentary. For example, contrast </w:t>
      </w:r>
      <w:proofErr w:type="spellStart"/>
      <w:r w:rsidRPr="00D4590B">
        <w:rPr>
          <w:sz w:val="23"/>
          <w:szCs w:val="23"/>
        </w:rPr>
        <w:t>Rashi’s</w:t>
      </w:r>
      <w:proofErr w:type="spellEnd"/>
      <w:r w:rsidRPr="00D4590B">
        <w:rPr>
          <w:sz w:val="23"/>
          <w:szCs w:val="23"/>
        </w:rPr>
        <w:t xml:space="preserve"> comment at </w:t>
      </w:r>
      <w:smartTag w:uri="urn:schemas-microsoft-com:office:smarttags" w:element="time">
        <w:smartTagPr>
          <w:attr w:name="Minute" w:val="16"/>
          <w:attr w:name="Hour" w:val="2"/>
        </w:smartTagPr>
        <w:r w:rsidRPr="00D4590B">
          <w:rPr>
            <w:sz w:val="23"/>
            <w:szCs w:val="23"/>
          </w:rPr>
          <w:t>2:16</w:t>
        </w:r>
      </w:smartTag>
      <w:r w:rsidRPr="00D4590B">
        <w:rPr>
          <w:sz w:val="23"/>
          <w:szCs w:val="23"/>
        </w:rPr>
        <w:t xml:space="preserve"> to that of our commentator. See also the discussion below of our commentator’s use of the term </w:t>
      </w:r>
      <w:proofErr w:type="spellStart"/>
      <w:r w:rsidRPr="00D4590B">
        <w:rPr>
          <w:i/>
          <w:iCs/>
          <w:sz w:val="23"/>
          <w:szCs w:val="23"/>
        </w:rPr>
        <w:t>peshat</w:t>
      </w:r>
      <w:proofErr w:type="spellEnd"/>
      <w:r w:rsidRPr="00D4590B">
        <w:rPr>
          <w:sz w:val="23"/>
          <w:szCs w:val="23"/>
        </w:rPr>
        <w:t>, particularly the examples where he resists metaphoric readings found in Rashi.</w:t>
      </w:r>
    </w:p>
  </w:footnote>
  <w:footnote w:id="12">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This pronoun appears to refer to the commentators, not the verses.</w:t>
      </w:r>
    </w:p>
  </w:footnote>
  <w:footnote w:id="13">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The “two meanings” are the literal and the metaphoric.</w:t>
      </w:r>
    </w:p>
    <w:p w:rsidR="00745007" w:rsidRPr="00D4590B" w:rsidRDefault="00745007" w:rsidP="00D4590B">
      <w:pPr>
        <w:pStyle w:val="a3"/>
        <w:spacing w:line="270" w:lineRule="exact"/>
        <w:jc w:val="both"/>
        <w:rPr>
          <w:sz w:val="23"/>
          <w:szCs w:val="23"/>
        </w:rPr>
      </w:pPr>
    </w:p>
  </w:footnote>
  <w:footnote w:id="14">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We shall evaluate this citation in detail below.</w:t>
      </w:r>
    </w:p>
  </w:footnote>
  <w:footnote w:id="15">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It is unclear to me what is intended by “lack of reference to those works.” </w:t>
      </w:r>
      <w:proofErr w:type="spellStart"/>
      <w:r w:rsidRPr="00D4590B">
        <w:rPr>
          <w:i/>
          <w:iCs/>
          <w:sz w:val="23"/>
          <w:szCs w:val="23"/>
        </w:rPr>
        <w:t>Mikhlol</w:t>
      </w:r>
      <w:proofErr w:type="spellEnd"/>
      <w:r w:rsidRPr="00D4590B">
        <w:rPr>
          <w:sz w:val="23"/>
          <w:szCs w:val="23"/>
        </w:rPr>
        <w:t xml:space="preserve"> is indeed mentioned, and the absence of references to Radak’s exegetical works does not imply that the Proverbs commentary preceded his grammatical works.</w:t>
      </w:r>
    </w:p>
  </w:footnote>
  <w:footnote w:id="16">
    <w:p w:rsidR="00745007" w:rsidRPr="00D4590B" w:rsidRDefault="00745007" w:rsidP="00EF45FA">
      <w:pPr>
        <w:pStyle w:val="a3"/>
        <w:spacing w:line="270" w:lineRule="exact"/>
        <w:jc w:val="both"/>
        <w:rPr>
          <w:sz w:val="23"/>
          <w:szCs w:val="23"/>
        </w:rPr>
      </w:pPr>
      <w:r w:rsidRPr="00D4590B">
        <w:rPr>
          <w:rStyle w:val="a4"/>
          <w:sz w:val="23"/>
          <w:szCs w:val="23"/>
        </w:rPr>
        <w:footnoteRef/>
      </w:r>
      <w:r w:rsidRPr="00D4590B">
        <w:rPr>
          <w:sz w:val="23"/>
          <w:szCs w:val="23"/>
        </w:rPr>
        <w:t xml:space="preserve"> Grunhaus, “Commentary on Proverbs,” 326.</w:t>
      </w:r>
      <w:r>
        <w:rPr>
          <w:sz w:val="23"/>
          <w:szCs w:val="23"/>
        </w:rPr>
        <w:t xml:space="preserve"> </w:t>
      </w:r>
      <w:proofErr w:type="spellStart"/>
      <w:r w:rsidRPr="00D4590B">
        <w:rPr>
          <w:sz w:val="23"/>
          <w:szCs w:val="23"/>
        </w:rPr>
        <w:t>Grunhaus’s</w:t>
      </w:r>
      <w:proofErr w:type="spellEnd"/>
      <w:r w:rsidRPr="00D4590B">
        <w:rPr>
          <w:sz w:val="23"/>
          <w:szCs w:val="23"/>
        </w:rPr>
        <w:t xml:space="preserve"> references to “</w:t>
      </w:r>
      <w:r w:rsidRPr="00D4590B">
        <w:rPr>
          <w:i/>
          <w:iCs/>
          <w:sz w:val="23"/>
          <w:szCs w:val="23"/>
        </w:rPr>
        <w:t>the commentary</w:t>
      </w:r>
      <w:r w:rsidRPr="00D4590B">
        <w:rPr>
          <w:sz w:val="23"/>
          <w:szCs w:val="23"/>
        </w:rPr>
        <w:t>” are always italicized, with no emphasis intended.</w:t>
      </w:r>
    </w:p>
  </w:footnote>
  <w:footnote w:id="17">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See, for example, Talmage, </w:t>
      </w:r>
      <w:r w:rsidRPr="00D4590B">
        <w:rPr>
          <w:i/>
          <w:iCs/>
          <w:sz w:val="23"/>
          <w:szCs w:val="23"/>
        </w:rPr>
        <w:t>Man and Commentaries</w:t>
      </w:r>
      <w:r w:rsidRPr="00D4590B">
        <w:rPr>
          <w:sz w:val="23"/>
          <w:szCs w:val="23"/>
        </w:rPr>
        <w:t xml:space="preserve">, 54. In this context, see also Grunhaus, “Commentary on Proverbs,” 326 n. 73. For the purpose of such discussions, it should be noted that Radak’s precise dates are not known, even though Talmage’s estimate of 1160-1235 (in several of his writings; see, e.g., his “R. David </w:t>
      </w:r>
      <w:proofErr w:type="spellStart"/>
      <w:r w:rsidRPr="00D4590B">
        <w:rPr>
          <w:sz w:val="23"/>
          <w:szCs w:val="23"/>
        </w:rPr>
        <w:t>Kimh</w:t>
      </w:r>
      <w:r w:rsidRPr="00D4590B">
        <w:rPr>
          <w:sz w:val="23"/>
          <w:szCs w:val="23"/>
        </w:rPr>
        <w:t>i</w:t>
      </w:r>
      <w:proofErr w:type="spellEnd"/>
      <w:r w:rsidRPr="00D4590B">
        <w:rPr>
          <w:sz w:val="23"/>
          <w:szCs w:val="23"/>
        </w:rPr>
        <w:t xml:space="preserve"> as Polemicist,” </w:t>
      </w:r>
      <w:r w:rsidRPr="00D4590B">
        <w:rPr>
          <w:i/>
          <w:iCs/>
          <w:sz w:val="23"/>
          <w:szCs w:val="23"/>
        </w:rPr>
        <w:t xml:space="preserve">HUCA </w:t>
      </w:r>
      <w:r w:rsidRPr="00D4590B">
        <w:rPr>
          <w:sz w:val="23"/>
          <w:szCs w:val="23"/>
        </w:rPr>
        <w:t>38: 1967, 213) is widely utilized.</w:t>
      </w:r>
    </w:p>
  </w:footnote>
  <w:footnote w:id="18">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The standard editions of Radak’s </w:t>
      </w:r>
      <w:proofErr w:type="spellStart"/>
      <w:r w:rsidRPr="00D4590B">
        <w:rPr>
          <w:i/>
          <w:iCs/>
          <w:sz w:val="23"/>
          <w:szCs w:val="23"/>
        </w:rPr>
        <w:t>Mikhlol</w:t>
      </w:r>
      <w:proofErr w:type="spellEnd"/>
      <w:r w:rsidRPr="00D4590B">
        <w:rPr>
          <w:sz w:val="23"/>
          <w:szCs w:val="23"/>
        </w:rPr>
        <w:t xml:space="preserve"> and </w:t>
      </w:r>
      <w:r w:rsidRPr="00D4590B">
        <w:rPr>
          <w:i/>
          <w:iCs/>
          <w:sz w:val="23"/>
          <w:szCs w:val="23"/>
        </w:rPr>
        <w:t>Shorashim</w:t>
      </w:r>
      <w:r w:rsidRPr="00D4590B">
        <w:rPr>
          <w:sz w:val="23"/>
          <w:szCs w:val="23"/>
        </w:rPr>
        <w:t xml:space="preserve"> are </w:t>
      </w:r>
      <w:r w:rsidRPr="00D4590B">
        <w:rPr>
          <w:color w:val="000000"/>
          <w:sz w:val="23"/>
          <w:szCs w:val="23"/>
        </w:rPr>
        <w:t xml:space="preserve">Isaac </w:t>
      </w:r>
      <w:proofErr w:type="spellStart"/>
      <w:r w:rsidRPr="00D4590B">
        <w:rPr>
          <w:color w:val="000000"/>
          <w:sz w:val="23"/>
          <w:szCs w:val="23"/>
        </w:rPr>
        <w:t>Rittenberg</w:t>
      </w:r>
      <w:proofErr w:type="spellEnd"/>
      <w:r w:rsidRPr="00D4590B">
        <w:rPr>
          <w:color w:val="000000"/>
          <w:sz w:val="23"/>
          <w:szCs w:val="23"/>
        </w:rPr>
        <w:t xml:space="preserve"> ed., </w:t>
      </w:r>
      <w:proofErr w:type="spellStart"/>
      <w:r w:rsidRPr="00D4590B">
        <w:rPr>
          <w:i/>
          <w:color w:val="000000"/>
          <w:sz w:val="23"/>
          <w:szCs w:val="23"/>
        </w:rPr>
        <w:t>Sefer</w:t>
      </w:r>
      <w:proofErr w:type="spellEnd"/>
      <w:r w:rsidRPr="00D4590B">
        <w:rPr>
          <w:i/>
          <w:color w:val="000000"/>
          <w:sz w:val="23"/>
          <w:szCs w:val="23"/>
        </w:rPr>
        <w:t xml:space="preserve"> </w:t>
      </w:r>
      <w:proofErr w:type="spellStart"/>
      <w:r w:rsidRPr="00D4590B">
        <w:rPr>
          <w:i/>
          <w:color w:val="000000"/>
          <w:sz w:val="23"/>
          <w:szCs w:val="23"/>
        </w:rPr>
        <w:t>Mikhlol</w:t>
      </w:r>
      <w:proofErr w:type="spellEnd"/>
      <w:r w:rsidRPr="00D4590B">
        <w:rPr>
          <w:color w:val="000000"/>
          <w:sz w:val="23"/>
          <w:szCs w:val="23"/>
        </w:rPr>
        <w:t xml:space="preserve">, </w:t>
      </w:r>
      <w:proofErr w:type="spellStart"/>
      <w:r w:rsidRPr="00D4590B">
        <w:rPr>
          <w:color w:val="000000"/>
          <w:sz w:val="23"/>
          <w:szCs w:val="23"/>
        </w:rPr>
        <w:t>Lyck</w:t>
      </w:r>
      <w:proofErr w:type="spellEnd"/>
      <w:r w:rsidRPr="00D4590B">
        <w:rPr>
          <w:color w:val="000000"/>
          <w:sz w:val="23"/>
          <w:szCs w:val="23"/>
        </w:rPr>
        <w:t>, 1862 (</w:t>
      </w:r>
      <w:proofErr w:type="spellStart"/>
      <w:r w:rsidRPr="00D4590B">
        <w:rPr>
          <w:color w:val="000000"/>
          <w:sz w:val="23"/>
          <w:szCs w:val="23"/>
        </w:rPr>
        <w:t>repr</w:t>
      </w:r>
      <w:proofErr w:type="spellEnd"/>
      <w:r w:rsidRPr="00D4590B">
        <w:rPr>
          <w:color w:val="000000"/>
          <w:sz w:val="23"/>
          <w:szCs w:val="23"/>
        </w:rPr>
        <w:t xml:space="preserve">. </w:t>
      </w:r>
      <w:smartTag w:uri="urn:schemas-microsoft-com:office:smarttags" w:element="City">
        <w:smartTag w:uri="urn:schemas-microsoft-com:office:smarttags" w:element="place">
          <w:r w:rsidRPr="00D4590B">
            <w:rPr>
              <w:color w:val="000000"/>
              <w:sz w:val="23"/>
              <w:szCs w:val="23"/>
            </w:rPr>
            <w:t>Jerusalem</w:t>
          </w:r>
        </w:smartTag>
      </w:smartTag>
      <w:r w:rsidRPr="00D4590B">
        <w:rPr>
          <w:color w:val="000000"/>
          <w:sz w:val="23"/>
          <w:szCs w:val="23"/>
        </w:rPr>
        <w:t xml:space="preserve">, 1966); and Jo. H.R. </w:t>
      </w:r>
      <w:proofErr w:type="spellStart"/>
      <w:r w:rsidRPr="00D4590B">
        <w:rPr>
          <w:color w:val="000000"/>
          <w:sz w:val="23"/>
          <w:szCs w:val="23"/>
        </w:rPr>
        <w:t>Biesenthal</w:t>
      </w:r>
      <w:proofErr w:type="spellEnd"/>
      <w:r w:rsidRPr="00D4590B">
        <w:rPr>
          <w:color w:val="000000"/>
          <w:sz w:val="23"/>
          <w:szCs w:val="23"/>
        </w:rPr>
        <w:t xml:space="preserve"> and F. </w:t>
      </w:r>
      <w:proofErr w:type="spellStart"/>
      <w:r w:rsidRPr="00D4590B">
        <w:rPr>
          <w:color w:val="000000"/>
          <w:sz w:val="23"/>
          <w:szCs w:val="23"/>
        </w:rPr>
        <w:t>Lebrecht</w:t>
      </w:r>
      <w:proofErr w:type="spellEnd"/>
      <w:r w:rsidRPr="00D4590B">
        <w:rPr>
          <w:color w:val="000000"/>
          <w:sz w:val="23"/>
          <w:szCs w:val="23"/>
        </w:rPr>
        <w:t xml:space="preserve"> eds., </w:t>
      </w:r>
      <w:proofErr w:type="spellStart"/>
      <w:r w:rsidRPr="00D4590B">
        <w:rPr>
          <w:i/>
          <w:iCs/>
          <w:color w:val="000000"/>
          <w:sz w:val="23"/>
          <w:szCs w:val="23"/>
        </w:rPr>
        <w:t>Sefer</w:t>
      </w:r>
      <w:proofErr w:type="spellEnd"/>
      <w:r w:rsidRPr="00D4590B">
        <w:rPr>
          <w:i/>
          <w:iCs/>
          <w:color w:val="000000"/>
          <w:sz w:val="23"/>
          <w:szCs w:val="23"/>
        </w:rPr>
        <w:t xml:space="preserve"> ha-Shorashim</w:t>
      </w:r>
      <w:r w:rsidRPr="00D4590B">
        <w:rPr>
          <w:color w:val="000000"/>
          <w:sz w:val="23"/>
          <w:szCs w:val="23"/>
        </w:rPr>
        <w:t xml:space="preserve">, </w:t>
      </w:r>
      <w:smartTag w:uri="urn:schemas-microsoft-com:office:smarttags" w:element="State">
        <w:smartTag w:uri="urn:schemas-microsoft-com:office:smarttags" w:element="place">
          <w:r w:rsidRPr="00D4590B">
            <w:rPr>
              <w:color w:val="000000"/>
              <w:sz w:val="23"/>
              <w:szCs w:val="23"/>
            </w:rPr>
            <w:t>Berlin</w:t>
          </w:r>
        </w:smartTag>
      </w:smartTag>
      <w:r w:rsidRPr="00D4590B">
        <w:rPr>
          <w:color w:val="000000"/>
          <w:sz w:val="23"/>
          <w:szCs w:val="23"/>
        </w:rPr>
        <w:t>, 1847 (</w:t>
      </w:r>
      <w:proofErr w:type="spellStart"/>
      <w:r w:rsidRPr="00D4590B">
        <w:rPr>
          <w:color w:val="000000"/>
          <w:sz w:val="23"/>
          <w:szCs w:val="23"/>
        </w:rPr>
        <w:t>repr</w:t>
      </w:r>
      <w:proofErr w:type="spellEnd"/>
      <w:r w:rsidRPr="00D4590B">
        <w:rPr>
          <w:color w:val="000000"/>
          <w:sz w:val="23"/>
          <w:szCs w:val="23"/>
        </w:rPr>
        <w:t xml:space="preserve">. </w:t>
      </w:r>
      <w:smartTag w:uri="urn:schemas-microsoft-com:office:smarttags" w:element="City">
        <w:smartTag w:uri="urn:schemas-microsoft-com:office:smarttags" w:element="place">
          <w:r w:rsidRPr="00D4590B">
            <w:rPr>
              <w:color w:val="000000"/>
              <w:sz w:val="23"/>
              <w:szCs w:val="23"/>
            </w:rPr>
            <w:t>Jerusalem</w:t>
          </w:r>
        </w:smartTag>
      </w:smartTag>
      <w:r w:rsidRPr="00D4590B">
        <w:rPr>
          <w:color w:val="000000"/>
          <w:sz w:val="23"/>
          <w:szCs w:val="23"/>
        </w:rPr>
        <w:t xml:space="preserve">, 1967). </w:t>
      </w:r>
    </w:p>
  </w:footnote>
  <w:footnote w:id="19">
    <w:p w:rsidR="00745007" w:rsidRPr="00D4590B" w:rsidRDefault="00745007" w:rsidP="00194B67">
      <w:pPr>
        <w:pStyle w:val="a3"/>
        <w:spacing w:line="270" w:lineRule="exact"/>
        <w:jc w:val="both"/>
        <w:rPr>
          <w:sz w:val="23"/>
          <w:szCs w:val="23"/>
        </w:rPr>
      </w:pPr>
      <w:r w:rsidRPr="00D4590B">
        <w:rPr>
          <w:rStyle w:val="a4"/>
          <w:sz w:val="23"/>
          <w:szCs w:val="23"/>
        </w:rPr>
        <w:footnoteRef/>
      </w:r>
      <w:r w:rsidRPr="00D4590B">
        <w:rPr>
          <w:sz w:val="23"/>
          <w:szCs w:val="23"/>
        </w:rPr>
        <w:t xml:space="preserve"> We will consider Radak’s substantial revisions of the Chronicles commentary at several points in the discussion. Regarding later insertions into the Kings commentary, first noted by Dr. </w:t>
      </w:r>
      <w:proofErr w:type="spellStart"/>
      <w:r w:rsidRPr="00D4590B">
        <w:rPr>
          <w:sz w:val="23"/>
          <w:szCs w:val="23"/>
        </w:rPr>
        <w:t>Bryna</w:t>
      </w:r>
      <w:proofErr w:type="spellEnd"/>
      <w:r w:rsidRPr="00D4590B">
        <w:rPr>
          <w:sz w:val="23"/>
          <w:szCs w:val="23"/>
        </w:rPr>
        <w:t xml:space="preserve"> Levy in research shared with me, see Yitzhak Berger, “</w:t>
      </w:r>
      <w:proofErr w:type="spellStart"/>
      <w:r w:rsidRPr="00D4590B">
        <w:rPr>
          <w:i/>
          <w:iCs/>
          <w:sz w:val="23"/>
          <w:szCs w:val="23"/>
        </w:rPr>
        <w:t>Peshat</w:t>
      </w:r>
      <w:proofErr w:type="spellEnd"/>
      <w:r w:rsidRPr="00D4590B">
        <w:rPr>
          <w:sz w:val="23"/>
          <w:szCs w:val="23"/>
        </w:rPr>
        <w:t xml:space="preserve"> and the Authority of </w:t>
      </w:r>
      <w:proofErr w:type="spellStart"/>
      <w:r w:rsidRPr="00D4590B">
        <w:rPr>
          <w:i/>
          <w:iCs/>
          <w:sz w:val="23"/>
          <w:szCs w:val="23"/>
        </w:rPr>
        <w:t>H</w:t>
      </w:r>
      <w:r w:rsidRPr="00D4590B">
        <w:rPr>
          <w:i/>
          <w:iCs/>
          <w:sz w:val="23"/>
          <w:szCs w:val="23"/>
        </w:rPr>
        <w:t>azal</w:t>
      </w:r>
      <w:proofErr w:type="spellEnd"/>
      <w:r w:rsidRPr="00D4590B">
        <w:rPr>
          <w:sz w:val="23"/>
          <w:szCs w:val="23"/>
        </w:rPr>
        <w:t xml:space="preserve"> in the Commentaries of Radak,” </w:t>
      </w:r>
      <w:r w:rsidRPr="00D4590B">
        <w:rPr>
          <w:i/>
          <w:iCs/>
          <w:sz w:val="23"/>
          <w:szCs w:val="23"/>
        </w:rPr>
        <w:t>AJS Review</w:t>
      </w:r>
      <w:r w:rsidRPr="00D4590B">
        <w:rPr>
          <w:sz w:val="23"/>
          <w:szCs w:val="23"/>
        </w:rPr>
        <w:t xml:space="preserve"> 31/1 (2007): 41-59. For some preliminary evidence of revisions of </w:t>
      </w:r>
      <w:r w:rsidRPr="00D4590B">
        <w:rPr>
          <w:i/>
          <w:iCs/>
          <w:sz w:val="23"/>
          <w:szCs w:val="23"/>
        </w:rPr>
        <w:t xml:space="preserve">Shorashim </w:t>
      </w:r>
      <w:r w:rsidRPr="00D4590B">
        <w:rPr>
          <w:sz w:val="23"/>
          <w:szCs w:val="23"/>
        </w:rPr>
        <w:t xml:space="preserve">see the brief remarks in Berger, “Radak’s Commentary to Chronicles and the Development of His Exegetical </w:t>
      </w:r>
      <w:proofErr w:type="spellStart"/>
      <w:r w:rsidRPr="00D4590B">
        <w:rPr>
          <w:sz w:val="23"/>
          <w:szCs w:val="23"/>
        </w:rPr>
        <w:t>Programme</w:t>
      </w:r>
      <w:proofErr w:type="spellEnd"/>
      <w:r w:rsidRPr="00D4590B">
        <w:rPr>
          <w:sz w:val="23"/>
          <w:szCs w:val="23"/>
        </w:rPr>
        <w:t xml:space="preserve">,” </w:t>
      </w:r>
      <w:r w:rsidRPr="00D4590B">
        <w:rPr>
          <w:i/>
          <w:iCs/>
          <w:sz w:val="23"/>
          <w:szCs w:val="23"/>
        </w:rPr>
        <w:t>JJS</w:t>
      </w:r>
      <w:r w:rsidRPr="00D4590B">
        <w:rPr>
          <w:sz w:val="23"/>
          <w:szCs w:val="23"/>
        </w:rPr>
        <w:t xml:space="preserve"> 37/1 (2006): 80-81 n. 4. Talmage, </w:t>
      </w:r>
      <w:r w:rsidRPr="00D4590B">
        <w:rPr>
          <w:i/>
          <w:iCs/>
          <w:sz w:val="23"/>
          <w:szCs w:val="23"/>
        </w:rPr>
        <w:t>Man and Commentaries</w:t>
      </w:r>
      <w:r w:rsidRPr="00D4590B">
        <w:rPr>
          <w:sz w:val="23"/>
          <w:szCs w:val="23"/>
        </w:rPr>
        <w:t xml:space="preserve">, 59, observes that in general, Radak’s commentaries show signs of “reworking and revision.” There also appear to be occasional insertions by a </w:t>
      </w:r>
      <w:r w:rsidRPr="00D4590B">
        <w:rPr>
          <w:i/>
          <w:iCs/>
          <w:sz w:val="23"/>
          <w:szCs w:val="23"/>
        </w:rPr>
        <w:t>later</w:t>
      </w:r>
      <w:r w:rsidRPr="00D4590B">
        <w:rPr>
          <w:sz w:val="23"/>
          <w:szCs w:val="23"/>
        </w:rPr>
        <w:t xml:space="preserve"> hand in Radak’s commentaries. See, for example, the argument in Jordan S. </w:t>
      </w:r>
      <w:proofErr w:type="spellStart"/>
      <w:r w:rsidRPr="00D4590B">
        <w:rPr>
          <w:sz w:val="23"/>
          <w:szCs w:val="23"/>
        </w:rPr>
        <w:t>Penkower</w:t>
      </w:r>
      <w:proofErr w:type="spellEnd"/>
      <w:r w:rsidRPr="00D4590B">
        <w:rPr>
          <w:sz w:val="23"/>
          <w:szCs w:val="23"/>
        </w:rPr>
        <w:t xml:space="preserve">, “The Textual Transmission of Targum Jonathan and </w:t>
      </w:r>
      <w:proofErr w:type="spellStart"/>
      <w:r w:rsidRPr="00D4590B">
        <w:rPr>
          <w:sz w:val="23"/>
          <w:szCs w:val="23"/>
        </w:rPr>
        <w:t>Qimh</w:t>
      </w:r>
      <w:r w:rsidRPr="00D4590B">
        <w:rPr>
          <w:sz w:val="23"/>
          <w:szCs w:val="23"/>
        </w:rPr>
        <w:t>i</w:t>
      </w:r>
      <w:proofErr w:type="spellEnd"/>
      <w:r w:rsidRPr="00D4590B">
        <w:rPr>
          <w:sz w:val="23"/>
          <w:szCs w:val="23"/>
        </w:rPr>
        <w:t xml:space="preserve"> to Ezekiel </w:t>
      </w:r>
      <w:smartTag w:uri="urn:schemas-microsoft-com:office:smarttags" w:element="time">
        <w:smartTagPr>
          <w:attr w:name="Minute" w:val="20"/>
          <w:attr w:name="Hour" w:val="23"/>
        </w:smartTagPr>
        <w:r w:rsidRPr="00D4590B">
          <w:rPr>
            <w:sz w:val="23"/>
            <w:szCs w:val="23"/>
          </w:rPr>
          <w:t>23:20</w:t>
        </w:r>
      </w:smartTag>
      <w:r w:rsidRPr="00D4590B">
        <w:rPr>
          <w:sz w:val="23"/>
          <w:szCs w:val="23"/>
        </w:rPr>
        <w:t xml:space="preserve"> and 34:18” (Hebrew), </w:t>
      </w:r>
      <w:proofErr w:type="spellStart"/>
      <w:r w:rsidRPr="00D4590B">
        <w:rPr>
          <w:i/>
          <w:iCs/>
          <w:sz w:val="23"/>
          <w:szCs w:val="23"/>
        </w:rPr>
        <w:t>Shnaton</w:t>
      </w:r>
      <w:proofErr w:type="spellEnd"/>
      <w:r w:rsidRPr="00D4590B">
        <w:rPr>
          <w:i/>
          <w:iCs/>
          <w:sz w:val="23"/>
          <w:szCs w:val="23"/>
        </w:rPr>
        <w:t xml:space="preserve"> </w:t>
      </w:r>
      <w:proofErr w:type="spellStart"/>
      <w:r w:rsidRPr="00D4590B">
        <w:rPr>
          <w:i/>
          <w:iCs/>
          <w:sz w:val="23"/>
          <w:szCs w:val="23"/>
        </w:rPr>
        <w:t>le-</w:t>
      </w:r>
      <w:r w:rsidRPr="00194B67">
        <w:rPr>
          <w:i/>
          <w:iCs/>
          <w:sz w:val="23"/>
          <w:szCs w:val="23"/>
        </w:rPr>
        <w:t>H</w:t>
      </w:r>
      <w:r w:rsidRPr="00194B67">
        <w:rPr>
          <w:i/>
          <w:iCs/>
          <w:sz w:val="23"/>
          <w:szCs w:val="23"/>
        </w:rPr>
        <w:t>eqer</w:t>
      </w:r>
      <w:proofErr w:type="spellEnd"/>
      <w:r w:rsidRPr="00D4590B">
        <w:rPr>
          <w:i/>
          <w:iCs/>
          <w:sz w:val="23"/>
          <w:szCs w:val="23"/>
        </w:rPr>
        <w:t xml:space="preserve"> ha-</w:t>
      </w:r>
      <w:proofErr w:type="spellStart"/>
      <w:r w:rsidRPr="00D4590B">
        <w:rPr>
          <w:i/>
          <w:iCs/>
          <w:sz w:val="23"/>
          <w:szCs w:val="23"/>
        </w:rPr>
        <w:t>Miqra</w:t>
      </w:r>
      <w:proofErr w:type="spellEnd"/>
      <w:r w:rsidRPr="00D4590B">
        <w:rPr>
          <w:i/>
          <w:iCs/>
          <w:sz w:val="23"/>
          <w:szCs w:val="23"/>
        </w:rPr>
        <w:t xml:space="preserve"> </w:t>
      </w:r>
      <w:proofErr w:type="spellStart"/>
      <w:r w:rsidRPr="00D4590B">
        <w:rPr>
          <w:i/>
          <w:iCs/>
          <w:sz w:val="23"/>
          <w:szCs w:val="23"/>
        </w:rPr>
        <w:t>ve</w:t>
      </w:r>
      <w:proofErr w:type="spellEnd"/>
      <w:r w:rsidRPr="00D4590B">
        <w:rPr>
          <w:i/>
          <w:iCs/>
          <w:sz w:val="23"/>
          <w:szCs w:val="23"/>
        </w:rPr>
        <w:t>-ha-</w:t>
      </w:r>
      <w:proofErr w:type="spellStart"/>
      <w:r w:rsidRPr="00D4590B">
        <w:rPr>
          <w:i/>
          <w:iCs/>
          <w:sz w:val="23"/>
          <w:szCs w:val="23"/>
        </w:rPr>
        <w:t>Mizrah</w:t>
      </w:r>
      <w:proofErr w:type="spellEnd"/>
      <w:r w:rsidRPr="00D4590B">
        <w:rPr>
          <w:i/>
          <w:iCs/>
          <w:sz w:val="23"/>
          <w:szCs w:val="23"/>
        </w:rPr>
        <w:t> ha-</w:t>
      </w:r>
      <w:proofErr w:type="spellStart"/>
      <w:r w:rsidRPr="00D4590B">
        <w:rPr>
          <w:i/>
          <w:iCs/>
          <w:sz w:val="23"/>
          <w:szCs w:val="23"/>
        </w:rPr>
        <w:t>Qadum</w:t>
      </w:r>
      <w:proofErr w:type="spellEnd"/>
      <w:r w:rsidRPr="00D4590B">
        <w:rPr>
          <w:sz w:val="23"/>
          <w:szCs w:val="23"/>
        </w:rPr>
        <w:t xml:space="preserve"> 13 (2002): 247-270.</w:t>
      </w:r>
    </w:p>
  </w:footnote>
  <w:footnote w:id="20">
    <w:p w:rsidR="00745007" w:rsidRPr="00D4590B" w:rsidRDefault="00745007" w:rsidP="00D4590B">
      <w:pPr>
        <w:pStyle w:val="a3"/>
        <w:spacing w:line="270" w:lineRule="exact"/>
        <w:jc w:val="both"/>
        <w:rPr>
          <w:sz w:val="23"/>
          <w:szCs w:val="23"/>
          <w:lang w:bidi="he-IL"/>
        </w:rPr>
      </w:pPr>
      <w:r w:rsidRPr="00D4590B">
        <w:rPr>
          <w:rStyle w:val="a4"/>
          <w:sz w:val="23"/>
          <w:szCs w:val="23"/>
        </w:rPr>
        <w:footnoteRef/>
      </w:r>
      <w:r w:rsidRPr="00D4590B">
        <w:rPr>
          <w:sz w:val="23"/>
          <w:szCs w:val="23"/>
        </w:rPr>
        <w:t xml:space="preserve"> The grammatical observation and reference to </w:t>
      </w:r>
      <w:proofErr w:type="spellStart"/>
      <w:r w:rsidRPr="00D4590B">
        <w:rPr>
          <w:i/>
          <w:iCs/>
          <w:sz w:val="23"/>
          <w:szCs w:val="23"/>
        </w:rPr>
        <w:t>Mikhlol</w:t>
      </w:r>
      <w:proofErr w:type="spellEnd"/>
      <w:r w:rsidRPr="00D4590B">
        <w:rPr>
          <w:sz w:val="23"/>
          <w:szCs w:val="23"/>
        </w:rPr>
        <w:t>, which involve a word in the first half of the verse,</w:t>
      </w:r>
      <w:r w:rsidRPr="00D4590B">
        <w:rPr>
          <w:i/>
          <w:iCs/>
          <w:sz w:val="23"/>
          <w:szCs w:val="23"/>
        </w:rPr>
        <w:t xml:space="preserve"> </w:t>
      </w:r>
      <w:r w:rsidRPr="00D4590B">
        <w:rPr>
          <w:sz w:val="23"/>
          <w:szCs w:val="23"/>
        </w:rPr>
        <w:t xml:space="preserve">appear only at the </w:t>
      </w:r>
      <w:r w:rsidRPr="00D4590B">
        <w:rPr>
          <w:i/>
          <w:iCs/>
          <w:sz w:val="23"/>
          <w:szCs w:val="23"/>
        </w:rPr>
        <w:t>end</w:t>
      </w:r>
      <w:r w:rsidRPr="00D4590B">
        <w:rPr>
          <w:sz w:val="23"/>
          <w:szCs w:val="23"/>
        </w:rPr>
        <w:t xml:space="preserve"> of the Radak’s treatment of the verse, after a comment addressing its </w:t>
      </w:r>
      <w:r w:rsidRPr="00D4590B">
        <w:rPr>
          <w:i/>
          <w:iCs/>
          <w:sz w:val="23"/>
          <w:szCs w:val="23"/>
        </w:rPr>
        <w:t xml:space="preserve">second </w:t>
      </w:r>
      <w:r w:rsidRPr="00D4590B">
        <w:rPr>
          <w:sz w:val="23"/>
          <w:szCs w:val="23"/>
        </w:rPr>
        <w:t xml:space="preserve">half. This does not prove conclusively that the grammatical remark was added at a subsequent stage (Radak might have wanted to complete his explanation of the full verse before addressing a philological matter), but such later insertions of Radak are indeed often placed awkwardly. Among many examples, see the note on his comment at II Chronicles 5:5 in Yitzhak Berger, </w:t>
      </w:r>
      <w:r w:rsidRPr="00D4590B">
        <w:rPr>
          <w:i/>
          <w:iCs/>
          <w:sz w:val="23"/>
          <w:szCs w:val="23"/>
        </w:rPr>
        <w:t xml:space="preserve">The Commentary of Rabbi David </w:t>
      </w:r>
      <w:proofErr w:type="spellStart"/>
      <w:r w:rsidRPr="00D4590B">
        <w:rPr>
          <w:i/>
          <w:iCs/>
          <w:sz w:val="23"/>
          <w:szCs w:val="23"/>
        </w:rPr>
        <w:t>Kimh</w:t>
      </w:r>
      <w:r w:rsidRPr="00D4590B">
        <w:rPr>
          <w:i/>
          <w:iCs/>
          <w:sz w:val="23"/>
          <w:szCs w:val="23"/>
        </w:rPr>
        <w:t>i</w:t>
      </w:r>
      <w:proofErr w:type="spellEnd"/>
      <w:r w:rsidRPr="00D4590B">
        <w:rPr>
          <w:i/>
          <w:iCs/>
          <w:sz w:val="23"/>
          <w:szCs w:val="23"/>
        </w:rPr>
        <w:t xml:space="preserve"> to Chronicles: A Translation with Introduction and Supercommentary</w:t>
      </w:r>
      <w:r w:rsidRPr="00D4590B">
        <w:rPr>
          <w:sz w:val="23"/>
          <w:szCs w:val="23"/>
        </w:rPr>
        <w:t xml:space="preserve">, </w:t>
      </w:r>
      <w:smartTag w:uri="urn:schemas-microsoft-com:office:smarttags" w:element="City">
        <w:smartTag w:uri="urn:schemas-microsoft-com:office:smarttags" w:element="place">
          <w:r w:rsidRPr="00D4590B">
            <w:rPr>
              <w:sz w:val="23"/>
              <w:szCs w:val="23"/>
            </w:rPr>
            <w:t>Providence</w:t>
          </w:r>
        </w:smartTag>
      </w:smartTag>
      <w:r w:rsidRPr="00D4590B">
        <w:rPr>
          <w:sz w:val="23"/>
          <w:szCs w:val="23"/>
        </w:rPr>
        <w:t xml:space="preserve">: Brown Judaic Studies, 2007. See also at II Chronicles 13:10, an example of a philological comment and reference to </w:t>
      </w:r>
      <w:proofErr w:type="spellStart"/>
      <w:r w:rsidRPr="00D4590B">
        <w:rPr>
          <w:i/>
          <w:iCs/>
          <w:sz w:val="23"/>
          <w:szCs w:val="23"/>
        </w:rPr>
        <w:t>Mikhlol</w:t>
      </w:r>
      <w:proofErr w:type="spellEnd"/>
      <w:r w:rsidRPr="00D4590B">
        <w:rPr>
          <w:sz w:val="23"/>
          <w:szCs w:val="23"/>
        </w:rPr>
        <w:t xml:space="preserve"> that </w:t>
      </w:r>
      <w:proofErr w:type="spellStart"/>
      <w:r w:rsidRPr="00D4590B">
        <w:rPr>
          <w:sz w:val="23"/>
          <w:szCs w:val="23"/>
        </w:rPr>
        <w:t>Radak</w:t>
      </w:r>
      <w:proofErr w:type="spellEnd"/>
      <w:r w:rsidRPr="00D4590B">
        <w:rPr>
          <w:sz w:val="23"/>
          <w:szCs w:val="23"/>
        </w:rPr>
        <w:t xml:space="preserve"> clearly added at a later point. There is at least one strong indication that material was in fact added to an earlier version of </w:t>
      </w:r>
      <w:r>
        <w:rPr>
          <w:sz w:val="23"/>
          <w:szCs w:val="23"/>
        </w:rPr>
        <w:t xml:space="preserve">the </w:t>
      </w:r>
      <w:r w:rsidRPr="00D4590B">
        <w:rPr>
          <w:sz w:val="23"/>
          <w:szCs w:val="23"/>
        </w:rPr>
        <w:t xml:space="preserve">Proverbs commentary. At 6:3 (not long after the reference to </w:t>
      </w:r>
      <w:proofErr w:type="spellStart"/>
      <w:r w:rsidRPr="00D4590B">
        <w:rPr>
          <w:i/>
          <w:iCs/>
          <w:sz w:val="23"/>
          <w:szCs w:val="23"/>
        </w:rPr>
        <w:t>Mikhlol</w:t>
      </w:r>
      <w:proofErr w:type="spellEnd"/>
      <w:r w:rsidRPr="00D4590B">
        <w:rPr>
          <w:sz w:val="23"/>
          <w:szCs w:val="23"/>
        </w:rPr>
        <w:t xml:space="preserve">), concerning the phrase </w:t>
      </w:r>
      <w:r w:rsidRPr="00D4590B">
        <w:rPr>
          <w:rFonts w:hint="cs"/>
          <w:sz w:val="23"/>
          <w:szCs w:val="23"/>
          <w:rtl/>
          <w:lang w:bidi="he-IL"/>
        </w:rPr>
        <w:t>ורהב רעיך</w:t>
      </w:r>
      <w:r w:rsidRPr="00D4590B">
        <w:rPr>
          <w:sz w:val="23"/>
          <w:szCs w:val="23"/>
          <w:lang w:bidi="he-IL"/>
        </w:rPr>
        <w:t xml:space="preserve">, </w:t>
      </w:r>
      <w:r w:rsidRPr="00D4590B">
        <w:rPr>
          <w:sz w:val="23"/>
          <w:szCs w:val="23"/>
        </w:rPr>
        <w:t xml:space="preserve">one interpretation is presented that (following Rashi) appears to explain </w:t>
      </w:r>
      <w:r w:rsidRPr="00D4590B">
        <w:rPr>
          <w:rFonts w:hint="cs"/>
          <w:sz w:val="23"/>
          <w:szCs w:val="23"/>
          <w:rtl/>
          <w:lang w:bidi="he-IL"/>
        </w:rPr>
        <w:t>רהב</w:t>
      </w:r>
      <w:r w:rsidRPr="00D4590B">
        <w:rPr>
          <w:sz w:val="23"/>
          <w:szCs w:val="23"/>
          <w:lang w:bidi="he-IL"/>
        </w:rPr>
        <w:t xml:space="preserve"> in the sense of </w:t>
      </w:r>
      <w:r w:rsidRPr="00D4590B">
        <w:rPr>
          <w:rFonts w:hint="cs"/>
          <w:sz w:val="23"/>
          <w:szCs w:val="23"/>
          <w:rtl/>
          <w:lang w:bidi="he-IL"/>
        </w:rPr>
        <w:t>רבה</w:t>
      </w:r>
      <w:r w:rsidRPr="00D4590B">
        <w:rPr>
          <w:sz w:val="23"/>
          <w:szCs w:val="23"/>
          <w:lang w:bidi="he-IL"/>
        </w:rPr>
        <w:t xml:space="preserve">; yet shortly thereafter a fundamentally distinct reading is slipped in which presumes otherwise—probably that </w:t>
      </w:r>
      <w:r w:rsidRPr="00D4590B">
        <w:rPr>
          <w:rFonts w:hint="cs"/>
          <w:sz w:val="23"/>
          <w:szCs w:val="23"/>
          <w:rtl/>
          <w:lang w:bidi="he-IL"/>
        </w:rPr>
        <w:t>רהב</w:t>
      </w:r>
      <w:r w:rsidRPr="00D4590B">
        <w:rPr>
          <w:sz w:val="23"/>
          <w:szCs w:val="23"/>
          <w:lang w:bidi="he-IL"/>
        </w:rPr>
        <w:t xml:space="preserve"> is like </w:t>
      </w:r>
      <w:r w:rsidRPr="00D4590B">
        <w:rPr>
          <w:rFonts w:hint="cs"/>
          <w:sz w:val="23"/>
          <w:szCs w:val="23"/>
          <w:rtl/>
          <w:lang w:bidi="he-IL"/>
        </w:rPr>
        <w:t>חזק</w:t>
      </w:r>
      <w:r w:rsidRPr="00D4590B">
        <w:rPr>
          <w:sz w:val="23"/>
          <w:szCs w:val="23"/>
          <w:lang w:bidi="he-IL"/>
        </w:rPr>
        <w:t xml:space="preserve">—with no indication that it is a different alternative. Compare the varied interpretations in Radak’s </w:t>
      </w:r>
      <w:r w:rsidRPr="00D4590B">
        <w:rPr>
          <w:i/>
          <w:iCs/>
          <w:sz w:val="23"/>
          <w:szCs w:val="23"/>
          <w:lang w:bidi="he-IL"/>
        </w:rPr>
        <w:t>Shorashim</w:t>
      </w:r>
      <w:r w:rsidRPr="00D4590B">
        <w:rPr>
          <w:sz w:val="23"/>
          <w:szCs w:val="23"/>
          <w:lang w:bidi="he-IL"/>
        </w:rPr>
        <w:t xml:space="preserve"> entries </w:t>
      </w:r>
      <w:r w:rsidRPr="00D4590B">
        <w:rPr>
          <w:rFonts w:hint="cs"/>
          <w:sz w:val="23"/>
          <w:szCs w:val="23"/>
          <w:rtl/>
          <w:lang w:bidi="he-IL"/>
        </w:rPr>
        <w:t>רהב</w:t>
      </w:r>
      <w:r w:rsidRPr="00D4590B">
        <w:rPr>
          <w:i/>
          <w:iCs/>
          <w:sz w:val="23"/>
          <w:szCs w:val="23"/>
          <w:lang w:bidi="he-IL"/>
        </w:rPr>
        <w:t xml:space="preserve"> </w:t>
      </w:r>
      <w:r w:rsidRPr="00D4590B">
        <w:rPr>
          <w:sz w:val="23"/>
          <w:szCs w:val="23"/>
          <w:lang w:bidi="he-IL"/>
        </w:rPr>
        <w:t xml:space="preserve">and </w:t>
      </w:r>
      <w:r w:rsidRPr="00D4590B">
        <w:rPr>
          <w:rFonts w:hint="cs"/>
          <w:sz w:val="23"/>
          <w:szCs w:val="23"/>
          <w:rtl/>
          <w:lang w:bidi="he-IL"/>
        </w:rPr>
        <w:t>רפס</w:t>
      </w:r>
      <w:r w:rsidRPr="00D4590B">
        <w:rPr>
          <w:sz w:val="23"/>
          <w:szCs w:val="23"/>
          <w:lang w:bidi="he-IL"/>
        </w:rPr>
        <w:t xml:space="preserve">. For another example where, in a later addition, </w:t>
      </w:r>
      <w:proofErr w:type="spellStart"/>
      <w:r w:rsidRPr="00D4590B">
        <w:rPr>
          <w:sz w:val="23"/>
          <w:szCs w:val="23"/>
          <w:lang w:bidi="he-IL"/>
        </w:rPr>
        <w:t>Radak</w:t>
      </w:r>
      <w:proofErr w:type="spellEnd"/>
      <w:r w:rsidRPr="00D4590B">
        <w:rPr>
          <w:sz w:val="23"/>
          <w:szCs w:val="23"/>
          <w:lang w:bidi="he-IL"/>
        </w:rPr>
        <w:t xml:space="preserve"> awkwardly slips in a new interpretation without saying so, see his comment at II Chronicles 36:6 and the note in Berger, </w:t>
      </w:r>
      <w:r w:rsidRPr="00D4590B">
        <w:rPr>
          <w:i/>
          <w:iCs/>
          <w:sz w:val="23"/>
          <w:szCs w:val="23"/>
          <w:lang w:bidi="he-IL"/>
        </w:rPr>
        <w:t>Translation and Supercommentary</w:t>
      </w:r>
      <w:r w:rsidRPr="00D4590B">
        <w:rPr>
          <w:sz w:val="23"/>
          <w:szCs w:val="23"/>
          <w:lang w:bidi="he-IL"/>
        </w:rPr>
        <w:t>.</w:t>
      </w:r>
    </w:p>
  </w:footnote>
  <w:footnote w:id="21">
    <w:p w:rsidR="00745007" w:rsidRPr="00E641C4" w:rsidRDefault="00745007" w:rsidP="00D4590B">
      <w:pPr>
        <w:autoSpaceDE w:val="0"/>
        <w:autoSpaceDN w:val="0"/>
        <w:adjustRightInd w:val="0"/>
        <w:spacing w:line="270" w:lineRule="exact"/>
        <w:jc w:val="both"/>
        <w:rPr>
          <w:color w:val="000000"/>
          <w:sz w:val="23"/>
          <w:szCs w:val="23"/>
        </w:rPr>
      </w:pPr>
      <w:r w:rsidRPr="00D4590B">
        <w:rPr>
          <w:rStyle w:val="a4"/>
          <w:sz w:val="23"/>
          <w:szCs w:val="23"/>
        </w:rPr>
        <w:footnoteRef/>
      </w:r>
      <w:r w:rsidRPr="00D4590B">
        <w:rPr>
          <w:sz w:val="23"/>
          <w:szCs w:val="23"/>
        </w:rPr>
        <w:t xml:space="preserve"> See Talmage, </w:t>
      </w:r>
      <w:r w:rsidRPr="00D4590B">
        <w:rPr>
          <w:i/>
          <w:iCs/>
          <w:sz w:val="23"/>
          <w:szCs w:val="23"/>
        </w:rPr>
        <w:t>Man and Commentaries</w:t>
      </w:r>
      <w:r w:rsidRPr="00D4590B">
        <w:rPr>
          <w:sz w:val="23"/>
          <w:szCs w:val="23"/>
        </w:rPr>
        <w:t xml:space="preserve">, 58-59, and earlier, Louis Finkelstein, </w:t>
      </w:r>
      <w:r w:rsidRPr="00D4590B">
        <w:rPr>
          <w:i/>
          <w:sz w:val="23"/>
          <w:szCs w:val="23"/>
        </w:rPr>
        <w:t xml:space="preserve">The Commentary of David </w:t>
      </w:r>
      <w:proofErr w:type="spellStart"/>
      <w:r w:rsidRPr="00D4590B">
        <w:rPr>
          <w:i/>
          <w:sz w:val="23"/>
          <w:szCs w:val="23"/>
        </w:rPr>
        <w:t>Kimh</w:t>
      </w:r>
      <w:r w:rsidRPr="00D4590B">
        <w:rPr>
          <w:i/>
          <w:sz w:val="23"/>
          <w:szCs w:val="23"/>
        </w:rPr>
        <w:t>i</w:t>
      </w:r>
      <w:proofErr w:type="spellEnd"/>
      <w:r w:rsidRPr="00D4590B">
        <w:rPr>
          <w:i/>
          <w:sz w:val="23"/>
          <w:szCs w:val="23"/>
        </w:rPr>
        <w:t xml:space="preserve"> on Isaiah</w:t>
      </w:r>
      <w:r w:rsidRPr="00D4590B">
        <w:rPr>
          <w:sz w:val="23"/>
          <w:szCs w:val="23"/>
        </w:rPr>
        <w:t xml:space="preserve">, </w:t>
      </w:r>
      <w:smartTag w:uri="urn:schemas-microsoft-com:office:smarttags" w:element="State">
        <w:smartTag w:uri="urn:schemas-microsoft-com:office:smarttags" w:element="place">
          <w:r w:rsidRPr="00D4590B">
            <w:rPr>
              <w:sz w:val="23"/>
              <w:szCs w:val="23"/>
            </w:rPr>
            <w:t>New York</w:t>
          </w:r>
        </w:smartTag>
      </w:smartTag>
      <w:r w:rsidRPr="00D4590B">
        <w:rPr>
          <w:sz w:val="23"/>
          <w:szCs w:val="23"/>
        </w:rPr>
        <w:t xml:space="preserve">: Columbia University Press, 1926: XCIV-XCVI. </w:t>
      </w:r>
      <w:r w:rsidRPr="00194B67">
        <w:rPr>
          <w:sz w:val="23"/>
          <w:szCs w:val="23"/>
        </w:rPr>
        <w:t xml:space="preserve">The Proverbs commentary has not previously been considered in discussions about the order of </w:t>
      </w:r>
      <w:proofErr w:type="spellStart"/>
      <w:r w:rsidRPr="00194B67">
        <w:rPr>
          <w:sz w:val="23"/>
          <w:szCs w:val="23"/>
        </w:rPr>
        <w:t>Radak’s</w:t>
      </w:r>
      <w:proofErr w:type="spellEnd"/>
      <w:r w:rsidRPr="00194B67">
        <w:rPr>
          <w:sz w:val="23"/>
          <w:szCs w:val="23"/>
        </w:rPr>
        <w:t xml:space="preserve"> compositions</w:t>
      </w:r>
      <w:r w:rsidRPr="00E641C4">
        <w:rPr>
          <w:sz w:val="23"/>
          <w:szCs w:val="23"/>
        </w:rPr>
        <w:t>.</w:t>
      </w:r>
    </w:p>
  </w:footnote>
  <w:footnote w:id="22">
    <w:p w:rsidR="00745007" w:rsidRPr="00E641C4" w:rsidRDefault="00745007" w:rsidP="00D4590B">
      <w:pPr>
        <w:pStyle w:val="a3"/>
        <w:spacing w:line="270" w:lineRule="exact"/>
        <w:jc w:val="both"/>
        <w:rPr>
          <w:sz w:val="23"/>
          <w:szCs w:val="23"/>
        </w:rPr>
      </w:pPr>
      <w:r w:rsidRPr="00E641C4">
        <w:rPr>
          <w:rStyle w:val="a4"/>
          <w:sz w:val="23"/>
          <w:szCs w:val="23"/>
        </w:rPr>
        <w:footnoteRef/>
      </w:r>
      <w:r w:rsidRPr="00E641C4">
        <w:rPr>
          <w:sz w:val="23"/>
          <w:szCs w:val="23"/>
        </w:rPr>
        <w:t xml:space="preserve"> Berger, “Exegetical </w:t>
      </w:r>
      <w:proofErr w:type="spellStart"/>
      <w:r w:rsidRPr="00E641C4">
        <w:rPr>
          <w:sz w:val="23"/>
          <w:szCs w:val="23"/>
        </w:rPr>
        <w:t>Programme</w:t>
      </w:r>
      <w:proofErr w:type="spellEnd"/>
      <w:r w:rsidRPr="00E641C4">
        <w:rPr>
          <w:sz w:val="23"/>
          <w:szCs w:val="23"/>
        </w:rPr>
        <w:t>,” 80-92.</w:t>
      </w:r>
    </w:p>
  </w:footnote>
  <w:footnote w:id="23">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Grunhaus, “Commentary on Proverbs,” 317 n. 35.</w:t>
      </w:r>
    </w:p>
  </w:footnote>
  <w:footnote w:id="24">
    <w:p w:rsidR="00745007" w:rsidRPr="00D4590B" w:rsidRDefault="00745007" w:rsidP="00E641C4">
      <w:pPr>
        <w:pStyle w:val="a3"/>
        <w:spacing w:line="270" w:lineRule="exact"/>
        <w:jc w:val="both"/>
        <w:rPr>
          <w:sz w:val="23"/>
          <w:szCs w:val="23"/>
        </w:rPr>
      </w:pPr>
      <w:r w:rsidRPr="00D4590B">
        <w:rPr>
          <w:rStyle w:val="a4"/>
          <w:sz w:val="23"/>
          <w:szCs w:val="23"/>
        </w:rPr>
        <w:footnoteRef/>
      </w:r>
      <w:r w:rsidRPr="00D4590B">
        <w:rPr>
          <w:sz w:val="23"/>
          <w:szCs w:val="23"/>
        </w:rPr>
        <w:t xml:space="preserve"> Cassuto, </w:t>
      </w:r>
      <w:r w:rsidRPr="00D4590B">
        <w:rPr>
          <w:i/>
          <w:iCs/>
          <w:sz w:val="23"/>
          <w:szCs w:val="23"/>
        </w:rPr>
        <w:t>Codices</w:t>
      </w:r>
      <w:r w:rsidRPr="00D4590B">
        <w:rPr>
          <w:sz w:val="23"/>
          <w:szCs w:val="23"/>
        </w:rPr>
        <w:t xml:space="preserve">, 129-130. Cassuto’s notation—“(corr. </w:t>
      </w:r>
      <w:r w:rsidRPr="00D4590B">
        <w:rPr>
          <w:rFonts w:hint="cs"/>
          <w:sz w:val="23"/>
          <w:szCs w:val="23"/>
          <w:rtl/>
          <w:lang w:bidi="he-IL"/>
        </w:rPr>
        <w:t>דוד</w:t>
      </w:r>
      <w:r w:rsidRPr="00D4590B">
        <w:rPr>
          <w:sz w:val="23"/>
          <w:szCs w:val="23"/>
          <w:lang w:bidi="he-IL"/>
        </w:rPr>
        <w:t>)”—</w:t>
      </w:r>
      <w:r w:rsidRPr="00D4590B">
        <w:rPr>
          <w:sz w:val="23"/>
          <w:szCs w:val="23"/>
        </w:rPr>
        <w:t xml:space="preserve">clearly means that “Joseph” was corrected to “David.” I thank Prof. Moshe Bernstein for his help on this matter. I am especially grateful to </w:t>
      </w:r>
      <w:r>
        <w:rPr>
          <w:sz w:val="23"/>
          <w:szCs w:val="23"/>
        </w:rPr>
        <w:t>R</w:t>
      </w:r>
      <w:r w:rsidRPr="00D4590B">
        <w:rPr>
          <w:sz w:val="23"/>
          <w:szCs w:val="23"/>
        </w:rPr>
        <w:t xml:space="preserve">. Meir </w:t>
      </w:r>
      <w:proofErr w:type="spellStart"/>
      <w:r w:rsidRPr="00D4590B">
        <w:rPr>
          <w:sz w:val="23"/>
          <w:szCs w:val="23"/>
        </w:rPr>
        <w:t>Wunder</w:t>
      </w:r>
      <w:proofErr w:type="spellEnd"/>
      <w:r w:rsidRPr="00D4590B">
        <w:rPr>
          <w:sz w:val="23"/>
          <w:szCs w:val="23"/>
        </w:rPr>
        <w:t>, who confirmed for me, in consultation with Prof. Malachi Beit-</w:t>
      </w:r>
      <w:proofErr w:type="spellStart"/>
      <w:r w:rsidRPr="00D4590B">
        <w:rPr>
          <w:sz w:val="23"/>
          <w:szCs w:val="23"/>
        </w:rPr>
        <w:t>Arié</w:t>
      </w:r>
      <w:proofErr w:type="spellEnd"/>
      <w:r w:rsidRPr="00D4590B">
        <w:rPr>
          <w:sz w:val="23"/>
          <w:szCs w:val="23"/>
        </w:rPr>
        <w:t xml:space="preserve">, that Cassuto’s reading appears to be correct, notwithstanding my strong initial impression that the original comment actually read “David” and was later changed to “Joseph.” I also thank Prof. David Berger, Dr. Ezra </w:t>
      </w:r>
      <w:proofErr w:type="spellStart"/>
      <w:r w:rsidRPr="00D4590B">
        <w:rPr>
          <w:sz w:val="23"/>
          <w:szCs w:val="23"/>
        </w:rPr>
        <w:t>Chwat</w:t>
      </w:r>
      <w:proofErr w:type="spellEnd"/>
      <w:r w:rsidRPr="00D4590B">
        <w:rPr>
          <w:sz w:val="23"/>
          <w:szCs w:val="23"/>
        </w:rPr>
        <w:t xml:space="preserve">, Mr. Benjamin Richler and Mr. </w:t>
      </w:r>
      <w:proofErr w:type="spellStart"/>
      <w:r w:rsidRPr="00D4590B">
        <w:rPr>
          <w:sz w:val="23"/>
          <w:szCs w:val="23"/>
        </w:rPr>
        <w:t>Pinchas</w:t>
      </w:r>
      <w:proofErr w:type="spellEnd"/>
      <w:r w:rsidRPr="00D4590B">
        <w:rPr>
          <w:sz w:val="23"/>
          <w:szCs w:val="23"/>
        </w:rPr>
        <w:t xml:space="preserve"> Roth for their help at various stages of inquiry.</w:t>
      </w:r>
    </w:p>
  </w:footnote>
  <w:footnote w:id="25">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A barely discernible interlinear insertion appears to emend “Joseph” to “David” in this opening phrase as well. While Cassuto and Talmage make no mention of this, </w:t>
      </w:r>
      <w:proofErr w:type="spellStart"/>
      <w:r w:rsidRPr="00D4590B">
        <w:rPr>
          <w:sz w:val="23"/>
          <w:szCs w:val="23"/>
        </w:rPr>
        <w:t>Basser</w:t>
      </w:r>
      <w:proofErr w:type="spellEnd"/>
      <w:r w:rsidRPr="00D4590B">
        <w:rPr>
          <w:sz w:val="23"/>
          <w:szCs w:val="23"/>
        </w:rPr>
        <w:t xml:space="preserve"> reports that Talmage was aware of the matter.</w:t>
      </w:r>
    </w:p>
  </w:footnote>
  <w:footnote w:id="26">
    <w:p w:rsidR="00745007" w:rsidRPr="00D4590B" w:rsidRDefault="00745007" w:rsidP="00DA7803">
      <w:pPr>
        <w:pStyle w:val="a3"/>
        <w:spacing w:line="270" w:lineRule="exact"/>
        <w:jc w:val="both"/>
        <w:rPr>
          <w:sz w:val="23"/>
          <w:szCs w:val="23"/>
        </w:rPr>
      </w:pPr>
      <w:r w:rsidRPr="00D4590B">
        <w:rPr>
          <w:rStyle w:val="a4"/>
          <w:sz w:val="23"/>
          <w:szCs w:val="23"/>
        </w:rPr>
        <w:footnoteRef/>
      </w:r>
      <w:r w:rsidRPr="00D4590B">
        <w:rPr>
          <w:sz w:val="23"/>
          <w:szCs w:val="23"/>
        </w:rPr>
        <w:t xml:space="preserve"> Compare Grunhaus, “Commentary on Proverbs,” 311 and n. 5. R. Joseph’s commentary is a source from which our author appears to have drawn material, but there is general agreement that R. Joseph and our author cannot be one and the same.</w:t>
      </w:r>
    </w:p>
  </w:footnote>
  <w:footnote w:id="27">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See Talmage’s reconstruction at the beginning of the commentary.</w:t>
      </w:r>
    </w:p>
  </w:footnote>
  <w:footnote w:id="28">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See Talmage, </w:t>
      </w:r>
      <w:r w:rsidRPr="00D4590B">
        <w:rPr>
          <w:i/>
          <w:iCs/>
          <w:sz w:val="23"/>
          <w:szCs w:val="23"/>
        </w:rPr>
        <w:t>Commentaries on Proverbs</w:t>
      </w:r>
      <w:r w:rsidRPr="00D4590B">
        <w:rPr>
          <w:sz w:val="23"/>
          <w:szCs w:val="23"/>
        </w:rPr>
        <w:t>, 43-45.</w:t>
      </w:r>
    </w:p>
  </w:footnote>
  <w:footnote w:id="29">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Talmage, </w:t>
      </w:r>
      <w:r w:rsidRPr="00D4590B">
        <w:rPr>
          <w:i/>
          <w:iCs/>
          <w:sz w:val="23"/>
          <w:szCs w:val="23"/>
        </w:rPr>
        <w:t>Man and Commentaries</w:t>
      </w:r>
      <w:r w:rsidRPr="00D4590B">
        <w:rPr>
          <w:sz w:val="23"/>
          <w:szCs w:val="23"/>
        </w:rPr>
        <w:t>, 192-193, makes a similar observati</w:t>
      </w:r>
      <w:r>
        <w:rPr>
          <w:sz w:val="23"/>
          <w:szCs w:val="23"/>
        </w:rPr>
        <w:t>on concerning the “Commentary on</w:t>
      </w:r>
      <w:r w:rsidRPr="00D4590B">
        <w:rPr>
          <w:sz w:val="23"/>
          <w:szCs w:val="23"/>
        </w:rPr>
        <w:t xml:space="preserve"> </w:t>
      </w:r>
      <w:proofErr w:type="spellStart"/>
      <w:r w:rsidRPr="00D4590B">
        <w:rPr>
          <w:i/>
          <w:iCs/>
          <w:sz w:val="23"/>
          <w:szCs w:val="23"/>
        </w:rPr>
        <w:t>Pittum</w:t>
      </w:r>
      <w:proofErr w:type="spellEnd"/>
      <w:r w:rsidRPr="00D4590B">
        <w:rPr>
          <w:i/>
          <w:iCs/>
          <w:sz w:val="23"/>
          <w:szCs w:val="23"/>
        </w:rPr>
        <w:t xml:space="preserve"> ha-</w:t>
      </w:r>
      <w:proofErr w:type="spellStart"/>
      <w:r w:rsidRPr="00D4590B">
        <w:rPr>
          <w:i/>
          <w:iCs/>
          <w:sz w:val="23"/>
          <w:szCs w:val="23"/>
        </w:rPr>
        <w:t>Qetoret</w:t>
      </w:r>
      <w:proofErr w:type="spellEnd"/>
      <w:r w:rsidRPr="00D4590B">
        <w:rPr>
          <w:sz w:val="23"/>
          <w:szCs w:val="23"/>
        </w:rPr>
        <w:t xml:space="preserve">.” He indicates that this work is attested in different forms in </w:t>
      </w:r>
      <w:smartTag w:uri="urn:schemas-microsoft-com:office:smarttags" w:element="stockticker">
        <w:r w:rsidRPr="00D4590B">
          <w:rPr>
            <w:sz w:val="23"/>
            <w:szCs w:val="23"/>
          </w:rPr>
          <w:t>MSS</w:t>
        </w:r>
      </w:smartTag>
      <w:r w:rsidRPr="00D4590B">
        <w:rPr>
          <w:sz w:val="23"/>
          <w:szCs w:val="23"/>
        </w:rPr>
        <w:t xml:space="preserve"> Parma 2785 and Montefiore 217, both of which contain a self-attribution to Radak at the end. (See Talmage’s full discussion for additional bibliographical information and some remarks on the different versions of the work. According to catalogue information at the Institute for Microfilmed Hebrew Manuscripts in </w:t>
      </w:r>
      <w:smartTag w:uri="urn:schemas-microsoft-com:office:smarttags" w:element="City">
        <w:smartTag w:uri="urn:schemas-microsoft-com:office:smarttags" w:element="place">
          <w:r w:rsidRPr="00D4590B">
            <w:rPr>
              <w:sz w:val="23"/>
              <w:szCs w:val="23"/>
            </w:rPr>
            <w:t>Jerusalem</w:t>
          </w:r>
        </w:smartTag>
      </w:smartTag>
      <w:r w:rsidRPr="00D4590B">
        <w:rPr>
          <w:sz w:val="23"/>
          <w:szCs w:val="23"/>
        </w:rPr>
        <w:t>, the work also appears i</w:t>
      </w:r>
      <w:r>
        <w:rPr>
          <w:sz w:val="23"/>
          <w:szCs w:val="23"/>
        </w:rPr>
        <w:t>n</w:t>
      </w:r>
      <w:r w:rsidRPr="00D4590B">
        <w:rPr>
          <w:sz w:val="23"/>
          <w:szCs w:val="23"/>
        </w:rPr>
        <w:t xml:space="preserve"> </w:t>
      </w:r>
      <w:smartTag w:uri="urn:schemas-microsoft-com:office:smarttags" w:element="stockticker">
        <w:r w:rsidRPr="00D4590B">
          <w:rPr>
            <w:sz w:val="23"/>
            <w:szCs w:val="23"/>
          </w:rPr>
          <w:t>MSS</w:t>
        </w:r>
      </w:smartTag>
      <w:r w:rsidRPr="00D4590B">
        <w:rPr>
          <w:sz w:val="23"/>
          <w:szCs w:val="23"/>
        </w:rPr>
        <w:t xml:space="preserve"> Vatican 270 and </w:t>
      </w:r>
      <w:smartTag w:uri="urn:schemas-microsoft-com:office:smarttags" w:element="City">
        <w:smartTag w:uri="urn:schemas-microsoft-com:office:smarttags" w:element="place">
          <w:r w:rsidRPr="00D4590B">
            <w:rPr>
              <w:sz w:val="23"/>
              <w:szCs w:val="23"/>
            </w:rPr>
            <w:t>Parma</w:t>
          </w:r>
        </w:smartTag>
      </w:smartTag>
      <w:r w:rsidRPr="00D4590B">
        <w:rPr>
          <w:sz w:val="23"/>
          <w:szCs w:val="23"/>
        </w:rPr>
        <w:t xml:space="preserve"> 3175.) While scholars have questioned Radak’s authorship of this work in the forms that we have it, the closing attribution prompts Talmage to write that “one might be justified in assuming” Radak to have been its author in some early form. As for the possibility of multiple authorship of the Proverbs commentary, Grunhaus rightly observes that the general consistency of its style militates against such an option. Seeing its “Kimhian elements” as “easily…isolated from the rest of </w:t>
      </w:r>
      <w:r w:rsidRPr="00D4590B">
        <w:rPr>
          <w:i/>
          <w:iCs/>
          <w:sz w:val="23"/>
          <w:szCs w:val="23"/>
        </w:rPr>
        <w:t>the commentary</w:t>
      </w:r>
      <w:r w:rsidRPr="00D4590B">
        <w:rPr>
          <w:sz w:val="23"/>
          <w:szCs w:val="23"/>
        </w:rPr>
        <w:t xml:space="preserve"> and…only a small portion of it,” she at best allows for “some rudimentary notes on the book of Proverbs written by Radak or an outline of a Kimhian commentary to Proverbs around which the author shaped his own work” (“Commentary on Proverbs,” 327). My own conclusions regarding the style of the commentary, it will be seen, are sharply at odds with this limited view of its </w:t>
      </w:r>
      <w:proofErr w:type="spellStart"/>
      <w:r w:rsidRPr="00D4590B">
        <w:rPr>
          <w:sz w:val="23"/>
          <w:szCs w:val="23"/>
        </w:rPr>
        <w:t>Kimh</w:t>
      </w:r>
      <w:r w:rsidRPr="00D4590B">
        <w:rPr>
          <w:sz w:val="23"/>
          <w:szCs w:val="23"/>
        </w:rPr>
        <w:t>ian</w:t>
      </w:r>
      <w:proofErr w:type="spellEnd"/>
      <w:r w:rsidRPr="00D4590B">
        <w:rPr>
          <w:sz w:val="23"/>
          <w:szCs w:val="23"/>
        </w:rPr>
        <w:t xml:space="preserve"> features. If the work appears to be largely—more likely entirely—of a single author, this would appear to be none other than Radak himself.</w:t>
      </w:r>
    </w:p>
  </w:footnote>
  <w:footnote w:id="30">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Grunhaus, “Commentary on Proverbs,” 311 n. 3.</w:t>
      </w:r>
    </w:p>
  </w:footnote>
  <w:footnote w:id="31">
    <w:p w:rsidR="00745007" w:rsidRPr="00D4590B" w:rsidRDefault="00745007" w:rsidP="000863DA">
      <w:pPr>
        <w:pStyle w:val="a3"/>
        <w:spacing w:line="270" w:lineRule="exact"/>
        <w:jc w:val="both"/>
        <w:rPr>
          <w:sz w:val="23"/>
          <w:szCs w:val="23"/>
        </w:rPr>
      </w:pPr>
      <w:r w:rsidRPr="00D4590B">
        <w:rPr>
          <w:rStyle w:val="a4"/>
          <w:sz w:val="23"/>
          <w:szCs w:val="23"/>
        </w:rPr>
        <w:footnoteRef/>
      </w:r>
      <w:r w:rsidRPr="00D4590B">
        <w:rPr>
          <w:sz w:val="23"/>
          <w:szCs w:val="23"/>
        </w:rPr>
        <w:t xml:space="preserve"> In a footnote in her conclusion, without referring explicitly to the commentary’s opening formula, Grunhaus suggests that the work’s “Kimhian elements” led to its attribution to R. Joseph </w:t>
      </w:r>
      <w:proofErr w:type="spellStart"/>
      <w:r w:rsidRPr="000863DA">
        <w:rPr>
          <w:sz w:val="23"/>
          <w:szCs w:val="23"/>
        </w:rPr>
        <w:t>Kim</w:t>
      </w:r>
      <w:r w:rsidRPr="000863DA">
        <w:rPr>
          <w:sz w:val="23"/>
          <w:szCs w:val="23"/>
          <w:lang w:bidi="he-IL"/>
        </w:rPr>
        <w:t>h</w:t>
      </w:r>
      <w:r w:rsidRPr="000863DA">
        <w:rPr>
          <w:sz w:val="23"/>
          <w:szCs w:val="23"/>
          <w:lang w:bidi="he-IL"/>
        </w:rPr>
        <w:t></w:t>
      </w:r>
      <w:r w:rsidRPr="000863DA">
        <w:rPr>
          <w:sz w:val="23"/>
          <w:szCs w:val="23"/>
        </w:rPr>
        <w:t>i</w:t>
      </w:r>
      <w:proofErr w:type="spellEnd"/>
      <w:r w:rsidRPr="00D4590B">
        <w:rPr>
          <w:sz w:val="23"/>
          <w:szCs w:val="23"/>
        </w:rPr>
        <w:t xml:space="preserve"> (ibid., 317 n. 76). However, this too does not explain the emergence of the </w:t>
      </w:r>
      <w:r w:rsidRPr="00D4590B">
        <w:rPr>
          <w:i/>
          <w:iCs/>
          <w:sz w:val="23"/>
          <w:szCs w:val="23"/>
        </w:rPr>
        <w:t>self</w:t>
      </w:r>
      <w:r w:rsidRPr="00D4590B">
        <w:rPr>
          <w:sz w:val="23"/>
          <w:szCs w:val="23"/>
        </w:rPr>
        <w:t xml:space="preserve">-attribution, nor does it account for the features of the commentary that, as we shall see, are characteristic of Radak in particular. </w:t>
      </w:r>
    </w:p>
  </w:footnote>
  <w:footnote w:id="32">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On this argument, see Cassuto, </w:t>
      </w:r>
      <w:r w:rsidRPr="00D4590B">
        <w:rPr>
          <w:i/>
          <w:iCs/>
          <w:sz w:val="23"/>
          <w:szCs w:val="23"/>
        </w:rPr>
        <w:t>Codices</w:t>
      </w:r>
      <w:r w:rsidRPr="00D4590B">
        <w:rPr>
          <w:sz w:val="23"/>
          <w:szCs w:val="23"/>
        </w:rPr>
        <w:t xml:space="preserve">, 129, and Talmage, </w:t>
      </w:r>
      <w:r w:rsidRPr="00D4590B">
        <w:rPr>
          <w:i/>
          <w:iCs/>
          <w:sz w:val="23"/>
          <w:szCs w:val="23"/>
        </w:rPr>
        <w:t>Commentaries on Proverbs</w:t>
      </w:r>
      <w:r w:rsidRPr="00D4590B">
        <w:rPr>
          <w:sz w:val="23"/>
          <w:szCs w:val="23"/>
        </w:rPr>
        <w:t xml:space="preserve">, 19. A list of Radak’s citations of his brother appears in Harry Cohen, </w:t>
      </w:r>
      <w:r w:rsidRPr="00D4590B">
        <w:rPr>
          <w:i/>
          <w:iCs/>
          <w:sz w:val="23"/>
          <w:szCs w:val="23"/>
        </w:rPr>
        <w:t>The Commentary of Rabbi David Kimhi on Hosea</w:t>
      </w:r>
      <w:r w:rsidRPr="00D4590B">
        <w:rPr>
          <w:sz w:val="23"/>
          <w:szCs w:val="23"/>
        </w:rPr>
        <w:t xml:space="preserve">, </w:t>
      </w:r>
      <w:smartTag w:uri="urn:schemas-microsoft-com:office:smarttags" w:element="State">
        <w:smartTag w:uri="urn:schemas-microsoft-com:office:smarttags" w:element="place">
          <w:r w:rsidRPr="00D4590B">
            <w:rPr>
              <w:sz w:val="23"/>
              <w:szCs w:val="23"/>
            </w:rPr>
            <w:t>New York</w:t>
          </w:r>
        </w:smartTag>
      </w:smartTag>
      <w:r w:rsidRPr="00D4590B">
        <w:rPr>
          <w:sz w:val="23"/>
          <w:szCs w:val="23"/>
        </w:rPr>
        <w:t>: Columbia University Press, 1929, xxiii. See also the sources cited in Grunhaus, “Commentary on Proverbs,” 313 n. 12.</w:t>
      </w:r>
    </w:p>
  </w:footnote>
  <w:footnote w:id="33">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This possibly</w:t>
      </w:r>
      <w:r w:rsidRPr="00D4590B">
        <w:rPr>
          <w:sz w:val="23"/>
          <w:szCs w:val="23"/>
          <w:lang w:bidi="he-IL"/>
        </w:rPr>
        <w:t xml:space="preserve"> accounts for why here, specifically, Radak would have chosen to mention his brother. Other interpretations that he appears to have drawn from his brother are attested in R. Moses’ own Proverbs commentary; but since this one is not, Radak cites it in his capacity as a brother-student familiar with explanations not otherwise recorded.</w:t>
      </w:r>
    </w:p>
  </w:footnote>
  <w:footnote w:id="34">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Grunhaus, “Commentary on Proverbs,” 327.</w:t>
      </w:r>
    </w:p>
  </w:footnote>
  <w:footnote w:id="35">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w:t>
      </w:r>
      <w:proofErr w:type="spellStart"/>
      <w:r w:rsidRPr="00D4590B">
        <w:rPr>
          <w:i/>
          <w:iCs/>
          <w:sz w:val="23"/>
          <w:szCs w:val="23"/>
        </w:rPr>
        <w:t>Sefer</w:t>
      </w:r>
      <w:proofErr w:type="spellEnd"/>
      <w:r w:rsidRPr="00D4590B">
        <w:rPr>
          <w:i/>
          <w:iCs/>
          <w:sz w:val="23"/>
          <w:szCs w:val="23"/>
        </w:rPr>
        <w:t xml:space="preserve"> ha-</w:t>
      </w:r>
      <w:proofErr w:type="spellStart"/>
      <w:r w:rsidRPr="00D4590B">
        <w:rPr>
          <w:i/>
          <w:iCs/>
          <w:sz w:val="23"/>
          <w:szCs w:val="23"/>
        </w:rPr>
        <w:t>Yesodot</w:t>
      </w:r>
      <w:proofErr w:type="spellEnd"/>
      <w:r w:rsidRPr="00D4590B">
        <w:rPr>
          <w:sz w:val="23"/>
          <w:szCs w:val="23"/>
        </w:rPr>
        <w:t xml:space="preserve">” </w:t>
      </w:r>
      <w:r w:rsidRPr="00D4590B">
        <w:rPr>
          <w:i/>
          <w:iCs/>
          <w:sz w:val="23"/>
          <w:szCs w:val="23"/>
        </w:rPr>
        <w:t>of R. Isaac b. Solomon ha-</w:t>
      </w:r>
      <w:proofErr w:type="spellStart"/>
      <w:r w:rsidRPr="00D4590B">
        <w:rPr>
          <w:i/>
          <w:iCs/>
          <w:sz w:val="23"/>
          <w:szCs w:val="23"/>
        </w:rPr>
        <w:t>Yisra’eli</w:t>
      </w:r>
      <w:proofErr w:type="spellEnd"/>
      <w:r w:rsidRPr="00D4590B">
        <w:rPr>
          <w:sz w:val="23"/>
          <w:szCs w:val="23"/>
        </w:rPr>
        <w:t xml:space="preserve"> (Hebrew), ed. Salomon Fried, Frankfurt-am-Main, 1900 (</w:t>
      </w:r>
      <w:proofErr w:type="spellStart"/>
      <w:r w:rsidRPr="00D4590B">
        <w:rPr>
          <w:sz w:val="23"/>
          <w:szCs w:val="23"/>
        </w:rPr>
        <w:t>repr</w:t>
      </w:r>
      <w:proofErr w:type="spellEnd"/>
      <w:r w:rsidRPr="00D4590B">
        <w:rPr>
          <w:sz w:val="23"/>
          <w:szCs w:val="23"/>
        </w:rPr>
        <w:t xml:space="preserve">. </w:t>
      </w:r>
      <w:smartTag w:uri="urn:schemas-microsoft-com:office:smarttags" w:element="City">
        <w:smartTag w:uri="urn:schemas-microsoft-com:office:smarttags" w:element="place">
          <w:r w:rsidRPr="00D4590B">
            <w:rPr>
              <w:sz w:val="23"/>
              <w:szCs w:val="23"/>
            </w:rPr>
            <w:t>Jerusalem</w:t>
          </w:r>
        </w:smartTag>
      </w:smartTag>
      <w:r w:rsidRPr="00D4590B">
        <w:rPr>
          <w:sz w:val="23"/>
          <w:szCs w:val="23"/>
        </w:rPr>
        <w:t>, 1968), 2.</w:t>
      </w:r>
    </w:p>
  </w:footnote>
  <w:footnote w:id="36">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As will be seen, this preference is manifest to an appreciable extent in the Chronicles commentary too, and thus cannot be considered fundamentally inconsistent with Radak’s style.</w:t>
      </w:r>
    </w:p>
  </w:footnote>
  <w:footnote w:id="37">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See Talmage, </w:t>
      </w:r>
      <w:r w:rsidRPr="00D4590B">
        <w:rPr>
          <w:i/>
          <w:iCs/>
          <w:sz w:val="23"/>
          <w:szCs w:val="23"/>
        </w:rPr>
        <w:t>Man and Commentaries</w:t>
      </w:r>
      <w:r w:rsidRPr="00D4590B">
        <w:rPr>
          <w:sz w:val="23"/>
          <w:szCs w:val="23"/>
        </w:rPr>
        <w:t xml:space="preserve">, 209 n. 56, and idem, </w:t>
      </w:r>
      <w:r w:rsidRPr="00D4590B">
        <w:rPr>
          <w:i/>
          <w:iCs/>
          <w:sz w:val="23"/>
          <w:szCs w:val="23"/>
        </w:rPr>
        <w:t>Commentaries on Proverbs</w:t>
      </w:r>
      <w:r w:rsidRPr="00D4590B">
        <w:rPr>
          <w:sz w:val="23"/>
          <w:szCs w:val="23"/>
        </w:rPr>
        <w:t>, 19 n. 41.</w:t>
      </w:r>
    </w:p>
  </w:footnote>
  <w:footnote w:id="38">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Grunhaus, “Commentary on Proverbs,” 313-314.</w:t>
      </w:r>
    </w:p>
  </w:footnote>
  <w:footnote w:id="39">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See the entry </w:t>
      </w:r>
      <w:r w:rsidRPr="00D4590B">
        <w:rPr>
          <w:rFonts w:hint="cs"/>
          <w:sz w:val="23"/>
          <w:szCs w:val="23"/>
          <w:rtl/>
          <w:lang w:bidi="he-IL"/>
        </w:rPr>
        <w:t>אבד</w:t>
      </w:r>
      <w:r w:rsidRPr="00D4590B">
        <w:rPr>
          <w:sz w:val="23"/>
          <w:szCs w:val="23"/>
        </w:rPr>
        <w:t xml:space="preserve"> near the very beginning of </w:t>
      </w:r>
      <w:r w:rsidRPr="00D4590B">
        <w:rPr>
          <w:i/>
          <w:iCs/>
          <w:sz w:val="23"/>
          <w:szCs w:val="23"/>
        </w:rPr>
        <w:t>Shorashim</w:t>
      </w:r>
      <w:r w:rsidRPr="00D4590B">
        <w:rPr>
          <w:sz w:val="23"/>
          <w:szCs w:val="23"/>
        </w:rPr>
        <w:t>.</w:t>
      </w:r>
    </w:p>
  </w:footnote>
  <w:footnote w:id="40">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Grunhaus, “Commentary on Proverbs,” 315 n. 19.</w:t>
      </w:r>
    </w:p>
  </w:footnote>
  <w:footnote w:id="41">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See Berger, “Critical Edition,” </w:t>
      </w:r>
      <w:r w:rsidRPr="00D4590B">
        <w:rPr>
          <w:i/>
          <w:iCs/>
          <w:sz w:val="23"/>
          <w:szCs w:val="23"/>
        </w:rPr>
        <w:t>ad loc</w:t>
      </w:r>
      <w:r w:rsidRPr="00D4590B">
        <w:rPr>
          <w:sz w:val="23"/>
          <w:szCs w:val="23"/>
        </w:rPr>
        <w:t xml:space="preserve">. The reading </w:t>
      </w:r>
      <w:r w:rsidRPr="00D4590B">
        <w:rPr>
          <w:rFonts w:hint="cs"/>
          <w:sz w:val="23"/>
          <w:szCs w:val="23"/>
          <w:rtl/>
          <w:lang w:bidi="he-IL"/>
        </w:rPr>
        <w:t>חלק הדקדוק</w:t>
      </w:r>
      <w:r w:rsidRPr="00D4590B">
        <w:rPr>
          <w:sz w:val="23"/>
          <w:szCs w:val="23"/>
          <w:lang w:bidi="he-IL"/>
        </w:rPr>
        <w:t xml:space="preserve"> </w:t>
      </w:r>
      <w:r w:rsidRPr="00D4590B">
        <w:rPr>
          <w:sz w:val="23"/>
          <w:szCs w:val="23"/>
        </w:rPr>
        <w:t>appears in MS Paris 198, which attests to the earliest version of the commentary in our possession, as well as in printed texts, all of which are based—directly or not—on this manuscript.</w:t>
      </w:r>
    </w:p>
  </w:footnote>
  <w:footnote w:id="42">
    <w:p w:rsidR="00745007" w:rsidRPr="00D4590B" w:rsidRDefault="00745007" w:rsidP="00D4590B">
      <w:pPr>
        <w:pStyle w:val="a3"/>
        <w:spacing w:line="270" w:lineRule="exact"/>
        <w:jc w:val="both"/>
        <w:rPr>
          <w:sz w:val="23"/>
          <w:szCs w:val="23"/>
          <w:lang w:bidi="he-IL"/>
        </w:rPr>
      </w:pPr>
      <w:r w:rsidRPr="00D4590B">
        <w:rPr>
          <w:rStyle w:val="a4"/>
          <w:sz w:val="23"/>
          <w:szCs w:val="23"/>
        </w:rPr>
        <w:footnoteRef/>
      </w:r>
      <w:r w:rsidRPr="00D4590B">
        <w:rPr>
          <w:sz w:val="23"/>
          <w:szCs w:val="23"/>
        </w:rPr>
        <w:t xml:space="preserve"> Talmage, </w:t>
      </w:r>
      <w:r w:rsidRPr="00D4590B">
        <w:rPr>
          <w:i/>
          <w:iCs/>
          <w:sz w:val="23"/>
          <w:szCs w:val="23"/>
        </w:rPr>
        <w:t>Man and Commentaries</w:t>
      </w:r>
      <w:r w:rsidRPr="00D4590B">
        <w:rPr>
          <w:sz w:val="23"/>
          <w:szCs w:val="23"/>
        </w:rPr>
        <w:t xml:space="preserve">, 209 n. 59. In this connection, see also Mordechai Z. Cohen, </w:t>
      </w:r>
      <w:r w:rsidRPr="00D4590B">
        <w:rPr>
          <w:i/>
          <w:iCs/>
          <w:sz w:val="23"/>
          <w:szCs w:val="23"/>
        </w:rPr>
        <w:t>Three Approaches to Biblical Metaphor: From Maimonides and Ibn Ezra to David Kimhi</w:t>
      </w:r>
      <w:r w:rsidRPr="00D4590B">
        <w:rPr>
          <w:sz w:val="23"/>
          <w:szCs w:val="23"/>
        </w:rPr>
        <w:t xml:space="preserve">, </w:t>
      </w:r>
      <w:smartTag w:uri="urn:schemas-microsoft-com:office:smarttags" w:element="City">
        <w:smartTag w:uri="urn:schemas-microsoft-com:office:smarttags" w:element="place">
          <w:r w:rsidRPr="00D4590B">
            <w:rPr>
              <w:sz w:val="23"/>
              <w:szCs w:val="23"/>
            </w:rPr>
            <w:t>Leiden</w:t>
          </w:r>
        </w:smartTag>
      </w:smartTag>
      <w:r w:rsidRPr="00D4590B">
        <w:rPr>
          <w:sz w:val="23"/>
          <w:szCs w:val="23"/>
        </w:rPr>
        <w:t>: E.J. Brill, 2003, 153-154.</w:t>
      </w:r>
    </w:p>
  </w:footnote>
  <w:footnote w:id="43">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Grunhaus, “Commentary on Proverbs,” 314.</w:t>
      </w:r>
    </w:p>
  </w:footnote>
  <w:footnote w:id="44">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Indeed, I will argue below that in cases of verbatim or near verbatim quotation—where acknowledgment is especially called for—our commentator departs from his policy of anonymity.</w:t>
      </w:r>
    </w:p>
  </w:footnote>
  <w:footnote w:id="45">
    <w:p w:rsidR="00745007" w:rsidRPr="00D4590B" w:rsidRDefault="00745007" w:rsidP="00D4590B">
      <w:pPr>
        <w:pStyle w:val="a3"/>
        <w:spacing w:line="270" w:lineRule="exact"/>
        <w:jc w:val="both"/>
        <w:rPr>
          <w:sz w:val="23"/>
          <w:szCs w:val="23"/>
          <w:lang w:bidi="he-IL"/>
        </w:rPr>
      </w:pPr>
      <w:r w:rsidRPr="00D4590B">
        <w:rPr>
          <w:rStyle w:val="a4"/>
          <w:sz w:val="23"/>
          <w:szCs w:val="23"/>
        </w:rPr>
        <w:footnoteRef/>
      </w:r>
      <w:r w:rsidRPr="00D4590B">
        <w:rPr>
          <w:sz w:val="23"/>
          <w:szCs w:val="23"/>
        </w:rPr>
        <w:t xml:space="preserve"> Note that the phrase </w:t>
      </w:r>
      <w:r w:rsidRPr="00D4590B">
        <w:rPr>
          <w:rFonts w:hint="cs"/>
          <w:sz w:val="23"/>
          <w:szCs w:val="23"/>
          <w:rtl/>
          <w:lang w:bidi="he-IL"/>
        </w:rPr>
        <w:t>וכונת המחבר לשני ענינים</w:t>
      </w:r>
      <w:r w:rsidRPr="00D4590B">
        <w:rPr>
          <w:sz w:val="23"/>
          <w:szCs w:val="23"/>
          <w:lang w:bidi="he-IL"/>
        </w:rPr>
        <w:t xml:space="preserve"> in </w:t>
      </w:r>
      <w:r w:rsidRPr="00D4590B">
        <w:rPr>
          <w:i/>
          <w:iCs/>
          <w:sz w:val="23"/>
          <w:szCs w:val="23"/>
          <w:lang w:bidi="he-IL"/>
        </w:rPr>
        <w:t>Shorashim</w:t>
      </w:r>
      <w:r w:rsidRPr="00D4590B">
        <w:rPr>
          <w:sz w:val="23"/>
          <w:szCs w:val="23"/>
          <w:lang w:bidi="he-IL"/>
        </w:rPr>
        <w:t xml:space="preserve"> follows </w:t>
      </w:r>
      <w:proofErr w:type="spellStart"/>
      <w:r w:rsidRPr="00D4590B">
        <w:rPr>
          <w:sz w:val="23"/>
          <w:szCs w:val="23"/>
          <w:lang w:bidi="he-IL"/>
        </w:rPr>
        <w:t>Radak’s</w:t>
      </w:r>
      <w:proofErr w:type="spellEnd"/>
      <w:r w:rsidRPr="00D4590B">
        <w:rPr>
          <w:sz w:val="23"/>
          <w:szCs w:val="23"/>
          <w:lang w:bidi="he-IL"/>
        </w:rPr>
        <w:t xml:space="preserve"> citation of Ibn </w:t>
      </w:r>
      <w:proofErr w:type="spellStart"/>
      <w:r w:rsidRPr="00D4590B">
        <w:rPr>
          <w:sz w:val="23"/>
          <w:szCs w:val="23"/>
          <w:lang w:bidi="he-IL"/>
        </w:rPr>
        <w:t>Janah</w:t>
      </w:r>
      <w:proofErr w:type="spellEnd"/>
      <w:r w:rsidRPr="00D4590B">
        <w:rPr>
          <w:sz w:val="23"/>
          <w:szCs w:val="23"/>
          <w:lang w:bidi="he-IL"/>
        </w:rPr>
        <w:t xml:space="preserve">’s metaphoric reading, which Radak prefaces with the word </w:t>
      </w:r>
      <w:r w:rsidRPr="00D4590B">
        <w:rPr>
          <w:rFonts w:hint="cs"/>
          <w:sz w:val="23"/>
          <w:szCs w:val="23"/>
          <w:rtl/>
          <w:lang w:bidi="he-IL"/>
        </w:rPr>
        <w:t>יתכן</w:t>
      </w:r>
      <w:r w:rsidRPr="00D4590B">
        <w:rPr>
          <w:sz w:val="23"/>
          <w:szCs w:val="23"/>
          <w:lang w:bidi="he-IL"/>
        </w:rPr>
        <w:t xml:space="preserve"> (“it is possible”). I am inclined, therefore, to think that he does not intend to assert with confidence that there are two layers of meaning here, and I have accordingly translated the phrase as a running continuation of his presentation of the “possible” merits of Ibn </w:t>
      </w:r>
      <w:proofErr w:type="spellStart"/>
      <w:r w:rsidRPr="00D4590B">
        <w:rPr>
          <w:sz w:val="23"/>
          <w:szCs w:val="23"/>
          <w:lang w:bidi="he-IL"/>
        </w:rPr>
        <w:t>Janah</w:t>
      </w:r>
      <w:proofErr w:type="spellEnd"/>
      <w:r w:rsidRPr="00D4590B">
        <w:rPr>
          <w:sz w:val="23"/>
          <w:szCs w:val="23"/>
          <w:lang w:bidi="he-IL"/>
        </w:rPr>
        <w:t xml:space="preserve">’s view: “so that the author’s intention </w:t>
      </w:r>
      <w:r w:rsidRPr="00D4590B">
        <w:rPr>
          <w:i/>
          <w:iCs/>
          <w:sz w:val="23"/>
          <w:szCs w:val="23"/>
          <w:lang w:bidi="he-IL"/>
        </w:rPr>
        <w:t>would</w:t>
      </w:r>
      <w:r w:rsidRPr="00D4590B">
        <w:rPr>
          <w:sz w:val="23"/>
          <w:szCs w:val="23"/>
          <w:lang w:bidi="he-IL"/>
        </w:rPr>
        <w:t xml:space="preserve"> include both matters” (emphasis added). This would emerge consistent with the noncommittal suggestion of dual layers of meaning in the Proverbs commentary indicated by the phrase </w:t>
      </w:r>
      <w:r w:rsidRPr="00D4590B">
        <w:rPr>
          <w:rFonts w:hint="cs"/>
          <w:sz w:val="23"/>
          <w:szCs w:val="23"/>
          <w:rtl/>
          <w:lang w:bidi="he-IL"/>
        </w:rPr>
        <w:t>ואפשר שמחבר הספר חברו על שתי הכונות</w:t>
      </w:r>
      <w:r w:rsidRPr="00D4590B">
        <w:rPr>
          <w:sz w:val="23"/>
          <w:szCs w:val="23"/>
          <w:lang w:bidi="he-IL"/>
        </w:rPr>
        <w:t xml:space="preserve"> (“It is </w:t>
      </w:r>
      <w:r w:rsidRPr="00D4590B">
        <w:rPr>
          <w:i/>
          <w:iCs/>
          <w:sz w:val="23"/>
          <w:szCs w:val="23"/>
          <w:lang w:bidi="he-IL"/>
        </w:rPr>
        <w:t>possible</w:t>
      </w:r>
      <w:r w:rsidRPr="00D4590B">
        <w:rPr>
          <w:sz w:val="23"/>
          <w:szCs w:val="23"/>
          <w:lang w:bidi="he-IL"/>
        </w:rPr>
        <w:t xml:space="preserve"> that the author of the book wrote it with both intentions”). Regardless, I doubt that any substantial conclusions can be drawn from the difference between the phrase in </w:t>
      </w:r>
      <w:r w:rsidRPr="00D4590B">
        <w:rPr>
          <w:i/>
          <w:iCs/>
          <w:sz w:val="23"/>
          <w:szCs w:val="23"/>
          <w:lang w:bidi="he-IL"/>
        </w:rPr>
        <w:t>Shorashim</w:t>
      </w:r>
      <w:r w:rsidRPr="00D4590B">
        <w:rPr>
          <w:sz w:val="23"/>
          <w:szCs w:val="23"/>
          <w:lang w:bidi="he-IL"/>
        </w:rPr>
        <w:t xml:space="preserve"> and in our commentary.</w:t>
      </w:r>
    </w:p>
  </w:footnote>
  <w:footnote w:id="46">
    <w:p w:rsidR="00745007" w:rsidRPr="00D4590B" w:rsidRDefault="00745007" w:rsidP="00E7193A">
      <w:pPr>
        <w:pStyle w:val="a3"/>
        <w:spacing w:line="270" w:lineRule="exact"/>
        <w:jc w:val="both"/>
        <w:rPr>
          <w:sz w:val="23"/>
          <w:szCs w:val="23"/>
        </w:rPr>
      </w:pPr>
      <w:r w:rsidRPr="00D4590B">
        <w:rPr>
          <w:rStyle w:val="a4"/>
          <w:sz w:val="23"/>
          <w:szCs w:val="23"/>
        </w:rPr>
        <w:footnoteRef/>
      </w:r>
      <w:r w:rsidRPr="00D4590B">
        <w:rPr>
          <w:sz w:val="23"/>
          <w:szCs w:val="23"/>
        </w:rPr>
        <w:t xml:space="preserve"> As noted by Talmage, </w:t>
      </w:r>
      <w:r w:rsidRPr="00D4590B">
        <w:rPr>
          <w:i/>
          <w:iCs/>
          <w:sz w:val="23"/>
          <w:szCs w:val="23"/>
        </w:rPr>
        <w:t>Commentaries on Proverbs</w:t>
      </w:r>
      <w:r w:rsidRPr="00D4590B">
        <w:rPr>
          <w:sz w:val="23"/>
          <w:szCs w:val="23"/>
        </w:rPr>
        <w:t xml:space="preserve">, 40-41, Radak presents such metaphoric readings of Proverbs elsewhere in his writings, such as in the introduction to his commentary </w:t>
      </w:r>
      <w:r>
        <w:rPr>
          <w:sz w:val="23"/>
          <w:szCs w:val="23"/>
          <w:lang w:bidi="he-IL"/>
        </w:rPr>
        <w:t>on</w:t>
      </w:r>
      <w:r w:rsidRPr="00D4590B">
        <w:rPr>
          <w:sz w:val="23"/>
          <w:szCs w:val="23"/>
        </w:rPr>
        <w:t xml:space="preserve"> Genesis.</w:t>
      </w:r>
    </w:p>
  </w:footnote>
  <w:footnote w:id="47">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As above, n. </w:t>
      </w:r>
      <w:r>
        <w:rPr>
          <w:sz w:val="23"/>
          <w:szCs w:val="23"/>
        </w:rPr>
        <w:t>9</w:t>
      </w:r>
      <w:r w:rsidRPr="00D4590B">
        <w:rPr>
          <w:sz w:val="23"/>
          <w:szCs w:val="23"/>
        </w:rPr>
        <w:t xml:space="preserve">, </w:t>
      </w:r>
      <w:proofErr w:type="spellStart"/>
      <w:r w:rsidRPr="00D4590B">
        <w:rPr>
          <w:sz w:val="23"/>
          <w:szCs w:val="23"/>
        </w:rPr>
        <w:t>Rashi</w:t>
      </w:r>
      <w:proofErr w:type="spellEnd"/>
      <w:r w:rsidRPr="00D4590B">
        <w:rPr>
          <w:sz w:val="23"/>
          <w:szCs w:val="23"/>
        </w:rPr>
        <w:t xml:space="preserve"> already emphasizes literal and metaphoric layers of meaning; but he does not employ this terminology. See Cohen, </w:t>
      </w:r>
      <w:r w:rsidRPr="00D4590B">
        <w:rPr>
          <w:i/>
          <w:iCs/>
          <w:sz w:val="23"/>
          <w:szCs w:val="23"/>
        </w:rPr>
        <w:t>Three Approaches</w:t>
      </w:r>
      <w:r w:rsidRPr="00D4590B">
        <w:rPr>
          <w:sz w:val="23"/>
          <w:szCs w:val="23"/>
        </w:rPr>
        <w:t>, 149-154.</w:t>
      </w:r>
    </w:p>
  </w:footnote>
  <w:footnote w:id="48">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Talmage, </w:t>
      </w:r>
      <w:r w:rsidRPr="00D4590B">
        <w:rPr>
          <w:i/>
          <w:iCs/>
          <w:sz w:val="23"/>
          <w:szCs w:val="23"/>
        </w:rPr>
        <w:t>Commentaries on Proverbs</w:t>
      </w:r>
      <w:r w:rsidRPr="00D4590B">
        <w:rPr>
          <w:sz w:val="23"/>
          <w:szCs w:val="23"/>
        </w:rPr>
        <w:t>, 18.</w:t>
      </w:r>
    </w:p>
  </w:footnote>
  <w:footnote w:id="49">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Grunhaus, “Commentary on Proverbs,” 315.</w:t>
      </w:r>
    </w:p>
  </w:footnote>
  <w:footnote w:id="50">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David Ibn </w:t>
      </w:r>
      <w:proofErr w:type="spellStart"/>
      <w:r w:rsidRPr="00D4590B">
        <w:rPr>
          <w:sz w:val="23"/>
          <w:szCs w:val="23"/>
        </w:rPr>
        <w:t>Yah</w:t>
      </w:r>
      <w:r w:rsidRPr="00D4590B">
        <w:rPr>
          <w:sz w:val="23"/>
          <w:szCs w:val="23"/>
        </w:rPr>
        <w:t>ya</w:t>
      </w:r>
      <w:proofErr w:type="spellEnd"/>
      <w:r w:rsidRPr="00D4590B">
        <w:rPr>
          <w:sz w:val="23"/>
          <w:szCs w:val="23"/>
        </w:rPr>
        <w:t xml:space="preserve">, </w:t>
      </w:r>
      <w:proofErr w:type="spellStart"/>
      <w:r w:rsidRPr="00D4590B">
        <w:rPr>
          <w:i/>
          <w:iCs/>
          <w:sz w:val="23"/>
          <w:szCs w:val="23"/>
        </w:rPr>
        <w:t>Qav</w:t>
      </w:r>
      <w:proofErr w:type="spellEnd"/>
      <w:r w:rsidRPr="00D4590B">
        <w:rPr>
          <w:i/>
          <w:iCs/>
          <w:sz w:val="23"/>
          <w:szCs w:val="23"/>
        </w:rPr>
        <w:t xml:space="preserve"> </w:t>
      </w:r>
      <w:proofErr w:type="spellStart"/>
      <w:r w:rsidRPr="00D4590B">
        <w:rPr>
          <w:i/>
          <w:iCs/>
          <w:sz w:val="23"/>
          <w:szCs w:val="23"/>
        </w:rPr>
        <w:t>ve</w:t>
      </w:r>
      <w:proofErr w:type="spellEnd"/>
      <w:r w:rsidRPr="00D4590B">
        <w:rPr>
          <w:i/>
          <w:iCs/>
          <w:sz w:val="23"/>
          <w:szCs w:val="23"/>
        </w:rPr>
        <w:t>-Naqi</w:t>
      </w:r>
      <w:r w:rsidRPr="00D4590B">
        <w:rPr>
          <w:sz w:val="23"/>
          <w:szCs w:val="23"/>
        </w:rPr>
        <w:t xml:space="preserve">, </w:t>
      </w:r>
      <w:smartTag w:uri="urn:schemas-microsoft-com:office:smarttags" w:element="City">
        <w:smartTag w:uri="urn:schemas-microsoft-com:office:smarttags" w:element="place">
          <w:r w:rsidRPr="00D4590B">
            <w:rPr>
              <w:sz w:val="23"/>
              <w:szCs w:val="23"/>
            </w:rPr>
            <w:t>Lisbon</w:t>
          </w:r>
        </w:smartTag>
      </w:smartTag>
      <w:r w:rsidRPr="00D4590B">
        <w:rPr>
          <w:sz w:val="23"/>
          <w:szCs w:val="23"/>
        </w:rPr>
        <w:t xml:space="preserve">, 1492; and reproduced in the </w:t>
      </w:r>
      <w:proofErr w:type="spellStart"/>
      <w:r w:rsidRPr="00D4590B">
        <w:rPr>
          <w:i/>
          <w:iCs/>
          <w:sz w:val="23"/>
          <w:szCs w:val="23"/>
        </w:rPr>
        <w:t>Qehillot</w:t>
      </w:r>
      <w:proofErr w:type="spellEnd"/>
      <w:r w:rsidRPr="00D4590B">
        <w:rPr>
          <w:i/>
          <w:iCs/>
          <w:sz w:val="23"/>
          <w:szCs w:val="23"/>
        </w:rPr>
        <w:t xml:space="preserve"> </w:t>
      </w:r>
      <w:proofErr w:type="spellStart"/>
      <w:r w:rsidRPr="00D4590B">
        <w:rPr>
          <w:i/>
          <w:iCs/>
          <w:sz w:val="23"/>
          <w:szCs w:val="23"/>
        </w:rPr>
        <w:t>Mosheh</w:t>
      </w:r>
      <w:proofErr w:type="spellEnd"/>
      <w:r w:rsidRPr="00D4590B">
        <w:rPr>
          <w:sz w:val="23"/>
          <w:szCs w:val="23"/>
        </w:rPr>
        <w:t xml:space="preserve"> Rabbinic Bible, </w:t>
      </w:r>
      <w:smartTag w:uri="urn:schemas-microsoft-com:office:smarttags" w:element="City">
        <w:smartTag w:uri="urn:schemas-microsoft-com:office:smarttags" w:element="place">
          <w:r w:rsidRPr="00D4590B">
            <w:rPr>
              <w:sz w:val="23"/>
              <w:szCs w:val="23"/>
            </w:rPr>
            <w:t>Amsterdam</w:t>
          </w:r>
        </w:smartTag>
      </w:smartTag>
      <w:r w:rsidRPr="00D4590B">
        <w:rPr>
          <w:sz w:val="23"/>
          <w:szCs w:val="23"/>
        </w:rPr>
        <w:t>, 1724-1727.</w:t>
      </w:r>
    </w:p>
  </w:footnote>
  <w:footnote w:id="51">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Grunhaus, “Commentary on Proverbs,” 315; Abraham Geiger, “A Biography of Radak” (Hebrew), </w:t>
      </w:r>
      <w:proofErr w:type="spellStart"/>
      <w:r w:rsidRPr="00D4590B">
        <w:rPr>
          <w:i/>
          <w:iCs/>
          <w:sz w:val="23"/>
          <w:szCs w:val="23"/>
        </w:rPr>
        <w:t>Os</w:t>
      </w:r>
      <w:r w:rsidRPr="00D4590B">
        <w:rPr>
          <w:i/>
          <w:iCs/>
          <w:sz w:val="23"/>
          <w:szCs w:val="23"/>
        </w:rPr>
        <w:t>ar</w:t>
      </w:r>
      <w:proofErr w:type="spellEnd"/>
      <w:r w:rsidRPr="00D4590B">
        <w:rPr>
          <w:i/>
          <w:iCs/>
          <w:sz w:val="23"/>
          <w:szCs w:val="23"/>
        </w:rPr>
        <w:t xml:space="preserve"> </w:t>
      </w:r>
      <w:proofErr w:type="spellStart"/>
      <w:r w:rsidRPr="00D4590B">
        <w:rPr>
          <w:i/>
          <w:iCs/>
          <w:sz w:val="23"/>
          <w:szCs w:val="23"/>
        </w:rPr>
        <w:t>Neh</w:t>
      </w:r>
      <w:r w:rsidRPr="00D4590B">
        <w:rPr>
          <w:i/>
          <w:iCs/>
          <w:sz w:val="23"/>
          <w:szCs w:val="23"/>
        </w:rPr>
        <w:t>mad</w:t>
      </w:r>
      <w:proofErr w:type="spellEnd"/>
      <w:r w:rsidRPr="00D4590B">
        <w:rPr>
          <w:sz w:val="23"/>
          <w:szCs w:val="23"/>
        </w:rPr>
        <w:t xml:space="preserve"> 2 (1857), 164.</w:t>
      </w:r>
    </w:p>
  </w:footnote>
  <w:footnote w:id="52">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It must be emphasized that the language and substance of the comments of Radak’s father and brother on this verse are markedly different from that found in our Proverbs commentary, despite Talmage’s perception of a philosophical similarity (</w:t>
      </w:r>
      <w:r w:rsidRPr="00D4590B">
        <w:rPr>
          <w:i/>
          <w:iCs/>
          <w:sz w:val="23"/>
          <w:szCs w:val="23"/>
        </w:rPr>
        <w:t>Commentaries on Proverbs</w:t>
      </w:r>
      <w:r w:rsidRPr="00D4590B">
        <w:rPr>
          <w:sz w:val="23"/>
          <w:szCs w:val="23"/>
        </w:rPr>
        <w:t>, 39).</w:t>
      </w:r>
    </w:p>
  </w:footnote>
  <w:footnote w:id="53">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The only </w:t>
      </w:r>
      <w:r>
        <w:rPr>
          <w:sz w:val="23"/>
          <w:szCs w:val="23"/>
        </w:rPr>
        <w:t xml:space="preserve">genuinely </w:t>
      </w:r>
      <w:r w:rsidRPr="00D4590B">
        <w:rPr>
          <w:sz w:val="23"/>
          <w:szCs w:val="23"/>
        </w:rPr>
        <w:t xml:space="preserve">plausible way to deflect this proof, in my view, would be to suggest that Ibn </w:t>
      </w:r>
      <w:proofErr w:type="spellStart"/>
      <w:r w:rsidRPr="00D4590B">
        <w:rPr>
          <w:sz w:val="23"/>
          <w:szCs w:val="23"/>
        </w:rPr>
        <w:t>Yah</w:t>
      </w:r>
      <w:r w:rsidRPr="00D4590B">
        <w:rPr>
          <w:sz w:val="23"/>
          <w:szCs w:val="23"/>
        </w:rPr>
        <w:t>ya</w:t>
      </w:r>
      <w:proofErr w:type="spellEnd"/>
      <w:r w:rsidRPr="00D4590B">
        <w:rPr>
          <w:sz w:val="23"/>
          <w:szCs w:val="23"/>
        </w:rPr>
        <w:t xml:space="preserve"> already had a manuscript that </w:t>
      </w:r>
      <w:r w:rsidRPr="00D4590B">
        <w:rPr>
          <w:i/>
          <w:iCs/>
          <w:sz w:val="23"/>
          <w:szCs w:val="23"/>
        </w:rPr>
        <w:t>mis</w:t>
      </w:r>
      <w:r w:rsidRPr="00D4590B">
        <w:rPr>
          <w:sz w:val="23"/>
          <w:szCs w:val="23"/>
        </w:rPr>
        <w:t xml:space="preserve">attributed our commentary to </w:t>
      </w:r>
      <w:proofErr w:type="spellStart"/>
      <w:r w:rsidRPr="00D4590B">
        <w:rPr>
          <w:sz w:val="23"/>
          <w:szCs w:val="23"/>
        </w:rPr>
        <w:t>Radak</w:t>
      </w:r>
      <w:proofErr w:type="spellEnd"/>
      <w:r w:rsidRPr="00D4590B">
        <w:rPr>
          <w:sz w:val="23"/>
          <w:szCs w:val="23"/>
        </w:rPr>
        <w:t xml:space="preserve">. However, even if we bear in mind such a possibility, this remains a decidedly important addition to the accumulation of evidence </w:t>
      </w:r>
      <w:r w:rsidRPr="00DB47FA">
        <w:rPr>
          <w:i/>
          <w:iCs/>
          <w:sz w:val="23"/>
          <w:szCs w:val="23"/>
        </w:rPr>
        <w:t>suggestive</w:t>
      </w:r>
      <w:r w:rsidRPr="00D4590B">
        <w:rPr>
          <w:sz w:val="23"/>
          <w:szCs w:val="23"/>
        </w:rPr>
        <w:t xml:space="preserve"> of Radak’s authorship. </w:t>
      </w:r>
      <w:r w:rsidRPr="00D4590B">
        <w:rPr>
          <w:sz w:val="23"/>
          <w:szCs w:val="23"/>
          <w:lang w:bidi="he-IL"/>
        </w:rPr>
        <w:t>Two other possibilities, however remote, bear mentioning: (1)</w:t>
      </w:r>
      <w:r w:rsidRPr="00D4590B">
        <w:rPr>
          <w:sz w:val="23"/>
          <w:szCs w:val="23"/>
        </w:rPr>
        <w:t xml:space="preserve"> Radak wrote a different commentary </w:t>
      </w:r>
      <w:r>
        <w:rPr>
          <w:sz w:val="23"/>
          <w:szCs w:val="23"/>
        </w:rPr>
        <w:t>on</w:t>
      </w:r>
      <w:r w:rsidRPr="00D4590B">
        <w:rPr>
          <w:sz w:val="23"/>
          <w:szCs w:val="23"/>
        </w:rPr>
        <w:t xml:space="preserve"> Proverbs that served as a source for </w:t>
      </w:r>
      <w:r w:rsidRPr="00D4590B">
        <w:rPr>
          <w:sz w:val="23"/>
          <w:szCs w:val="23"/>
          <w:lang w:bidi="he-IL"/>
        </w:rPr>
        <w:t xml:space="preserve">Ibn </w:t>
      </w:r>
      <w:proofErr w:type="spellStart"/>
      <w:r w:rsidRPr="00D4590B">
        <w:rPr>
          <w:sz w:val="23"/>
          <w:szCs w:val="23"/>
        </w:rPr>
        <w:t>Yah</w:t>
      </w:r>
      <w:r w:rsidRPr="00D4590B">
        <w:rPr>
          <w:sz w:val="23"/>
          <w:szCs w:val="23"/>
        </w:rPr>
        <w:t>ya</w:t>
      </w:r>
      <w:proofErr w:type="spellEnd"/>
      <w:r w:rsidRPr="00D4590B">
        <w:rPr>
          <w:sz w:val="23"/>
          <w:szCs w:val="23"/>
        </w:rPr>
        <w:t xml:space="preserve">, </w:t>
      </w:r>
      <w:r w:rsidRPr="00D4590B">
        <w:rPr>
          <w:i/>
          <w:iCs/>
          <w:sz w:val="23"/>
          <w:szCs w:val="23"/>
        </w:rPr>
        <w:t>and</w:t>
      </w:r>
      <w:r w:rsidRPr="00D4590B">
        <w:rPr>
          <w:sz w:val="23"/>
          <w:szCs w:val="23"/>
        </w:rPr>
        <w:t xml:space="preserve"> for our Proverbs commentator—who reproduced the explanation in question as did Ibn </w:t>
      </w:r>
      <w:proofErr w:type="spellStart"/>
      <w:r w:rsidRPr="00D4590B">
        <w:rPr>
          <w:sz w:val="23"/>
          <w:szCs w:val="23"/>
        </w:rPr>
        <w:t>Yah</w:t>
      </w:r>
      <w:r w:rsidRPr="00D4590B">
        <w:rPr>
          <w:sz w:val="23"/>
          <w:szCs w:val="23"/>
        </w:rPr>
        <w:t>ya</w:t>
      </w:r>
      <w:proofErr w:type="spellEnd"/>
      <w:r w:rsidRPr="00D4590B">
        <w:rPr>
          <w:sz w:val="23"/>
          <w:szCs w:val="23"/>
        </w:rPr>
        <w:t xml:space="preserve">, but without any kind of acknowledgment; (2) there was another commentator that </w:t>
      </w:r>
      <w:r w:rsidRPr="00D4590B">
        <w:rPr>
          <w:sz w:val="23"/>
          <w:szCs w:val="23"/>
          <w:lang w:bidi="he-IL"/>
        </w:rPr>
        <w:t xml:space="preserve">Ibn </w:t>
      </w:r>
      <w:proofErr w:type="spellStart"/>
      <w:r w:rsidRPr="00D4590B">
        <w:rPr>
          <w:sz w:val="23"/>
          <w:szCs w:val="23"/>
        </w:rPr>
        <w:t>Yah</w:t>
      </w:r>
      <w:r w:rsidRPr="00D4590B">
        <w:rPr>
          <w:sz w:val="23"/>
          <w:szCs w:val="23"/>
        </w:rPr>
        <w:t>ya</w:t>
      </w:r>
      <w:proofErr w:type="spellEnd"/>
      <w:r w:rsidRPr="00D4590B">
        <w:rPr>
          <w:sz w:val="23"/>
          <w:szCs w:val="23"/>
        </w:rPr>
        <w:t xml:space="preserve"> utilized, whom he left out of his seemingly comprehensive list and who, again, reproduced the same interpretation found in the Proverbs commentary using similar terms. Even the cumulative likelihood of these two alternatives would appear to be exceedingly minimal.</w:t>
      </w:r>
    </w:p>
  </w:footnote>
  <w:footnote w:id="54">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It is telling that for all his mastery of Radak’s writings, Talmage overlooked this obscure parallel when annotating the Proverbs commentary.</w:t>
      </w:r>
    </w:p>
  </w:footnote>
  <w:footnote w:id="55">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Talmage, </w:t>
      </w:r>
      <w:r w:rsidRPr="00D4590B">
        <w:rPr>
          <w:i/>
          <w:iCs/>
          <w:sz w:val="23"/>
          <w:szCs w:val="23"/>
        </w:rPr>
        <w:t>Commentaries on Proverbs</w:t>
      </w:r>
      <w:r w:rsidRPr="00D4590B">
        <w:rPr>
          <w:sz w:val="23"/>
          <w:szCs w:val="23"/>
        </w:rPr>
        <w:t>, 19.</w:t>
      </w:r>
    </w:p>
  </w:footnote>
  <w:footnote w:id="56">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Grunhaus, “Commentary on Proverbs,” 320-322.</w:t>
      </w:r>
    </w:p>
  </w:footnote>
  <w:footnote w:id="57">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Citations of Rashi appear at </w:t>
      </w:r>
      <w:smartTag w:uri="urn:schemas-microsoft-com:office:smarttags" w:element="time">
        <w:smartTagPr>
          <w:attr w:name="Minute" w:val="23"/>
          <w:attr w:name="Hour" w:val="4"/>
        </w:smartTagPr>
        <w:r w:rsidRPr="00D4590B">
          <w:rPr>
            <w:sz w:val="23"/>
            <w:szCs w:val="23"/>
          </w:rPr>
          <w:t>4:23</w:t>
        </w:r>
      </w:smartTag>
      <w:r w:rsidRPr="00D4590B">
        <w:rPr>
          <w:sz w:val="23"/>
          <w:szCs w:val="23"/>
        </w:rPr>
        <w:t xml:space="preserve">, </w:t>
      </w:r>
      <w:smartTag w:uri="urn:schemas-microsoft-com:office:smarttags" w:element="time">
        <w:smartTagPr>
          <w:attr w:name="Minute" w:val="24"/>
          <w:attr w:name="Hour" w:val="4"/>
        </w:smartTagPr>
        <w:r w:rsidRPr="00D4590B">
          <w:rPr>
            <w:sz w:val="23"/>
            <w:szCs w:val="23"/>
          </w:rPr>
          <w:t>4:24</w:t>
        </w:r>
      </w:smartTag>
      <w:r w:rsidRPr="00D4590B">
        <w:rPr>
          <w:sz w:val="23"/>
          <w:szCs w:val="23"/>
        </w:rPr>
        <w:t xml:space="preserve">, 5:6, </w:t>
      </w:r>
      <w:smartTag w:uri="urn:schemas-microsoft-com:office:smarttags" w:element="time">
        <w:smartTagPr>
          <w:attr w:name="Minute" w:val="18"/>
          <w:attr w:name="Hour" w:val="11"/>
        </w:smartTagPr>
        <w:r w:rsidRPr="00D4590B">
          <w:rPr>
            <w:sz w:val="23"/>
            <w:szCs w:val="23"/>
          </w:rPr>
          <w:t>11:18</w:t>
        </w:r>
      </w:smartTag>
      <w:r w:rsidRPr="00D4590B">
        <w:rPr>
          <w:sz w:val="23"/>
          <w:szCs w:val="23"/>
        </w:rPr>
        <w:t xml:space="preserve">, </w:t>
      </w:r>
      <w:smartTag w:uri="urn:schemas-microsoft-com:office:smarttags" w:element="time">
        <w:smartTagPr>
          <w:attr w:name="Minute" w:val="21"/>
          <w:attr w:name="Hour" w:val="11"/>
        </w:smartTagPr>
        <w:r w:rsidRPr="00D4590B">
          <w:rPr>
            <w:sz w:val="23"/>
            <w:szCs w:val="23"/>
          </w:rPr>
          <w:t>11:21</w:t>
        </w:r>
      </w:smartTag>
      <w:r w:rsidRPr="00D4590B">
        <w:rPr>
          <w:sz w:val="23"/>
          <w:szCs w:val="23"/>
        </w:rPr>
        <w:t xml:space="preserve">, </w:t>
      </w:r>
      <w:smartTag w:uri="urn:schemas-microsoft-com:office:smarttags" w:element="time">
        <w:smartTagPr>
          <w:attr w:name="Minute" w:val="16"/>
          <w:attr w:name="Hour" w:val="12"/>
        </w:smartTagPr>
        <w:r w:rsidRPr="00D4590B">
          <w:rPr>
            <w:sz w:val="23"/>
            <w:szCs w:val="23"/>
          </w:rPr>
          <w:t>12:16</w:t>
        </w:r>
      </w:smartTag>
      <w:r w:rsidRPr="00D4590B">
        <w:rPr>
          <w:sz w:val="23"/>
          <w:szCs w:val="23"/>
        </w:rPr>
        <w:t xml:space="preserve">, 13:8, and 20:6. R. Moses the Preacher and Ibn </w:t>
      </w:r>
      <w:proofErr w:type="spellStart"/>
      <w:r w:rsidRPr="00D4590B">
        <w:rPr>
          <w:sz w:val="23"/>
          <w:szCs w:val="23"/>
        </w:rPr>
        <w:t>Janah</w:t>
      </w:r>
      <w:proofErr w:type="spellEnd"/>
      <w:r w:rsidRPr="00D4590B">
        <w:rPr>
          <w:sz w:val="23"/>
          <w:szCs w:val="23"/>
        </w:rPr>
        <w:t xml:space="preserve"> are mentioned within one context, at </w:t>
      </w:r>
      <w:smartTag w:uri="urn:schemas-microsoft-com:office:smarttags" w:element="time">
        <w:smartTagPr>
          <w:attr w:name="Minute" w:val="19"/>
          <w:attr w:name="Hour" w:val="5"/>
        </w:smartTagPr>
        <w:r w:rsidRPr="00D4590B">
          <w:rPr>
            <w:sz w:val="23"/>
            <w:szCs w:val="23"/>
          </w:rPr>
          <w:t>5:19</w:t>
        </w:r>
      </w:smartTag>
      <w:r w:rsidRPr="00D4590B">
        <w:rPr>
          <w:sz w:val="23"/>
          <w:szCs w:val="23"/>
        </w:rPr>
        <w:t>-20.</w:t>
      </w:r>
    </w:p>
  </w:footnote>
  <w:footnote w:id="58">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This, of course, does not refer to a commentary of Rashi </w:t>
      </w:r>
      <w:r>
        <w:rPr>
          <w:sz w:val="23"/>
          <w:szCs w:val="23"/>
        </w:rPr>
        <w:t>on</w:t>
      </w:r>
      <w:r w:rsidRPr="00D4590B">
        <w:rPr>
          <w:sz w:val="23"/>
          <w:szCs w:val="23"/>
        </w:rPr>
        <w:t xml:space="preserve"> Chronicles itself. The commentary attributed to Rashi on Chronicles was in fact authored by a later figure, and Radak makes clear in the introduction to his own Chronicles commentary that he did not possess any expositions of the book by standard exegetes. See recently Berger, “Exegetical </w:t>
      </w:r>
      <w:proofErr w:type="spellStart"/>
      <w:r w:rsidRPr="00D4590B">
        <w:rPr>
          <w:sz w:val="23"/>
          <w:szCs w:val="23"/>
        </w:rPr>
        <w:t>Programme</w:t>
      </w:r>
      <w:proofErr w:type="spellEnd"/>
      <w:r w:rsidRPr="00D4590B">
        <w:rPr>
          <w:sz w:val="23"/>
          <w:szCs w:val="23"/>
        </w:rPr>
        <w:t>,” 84, 92.</w:t>
      </w:r>
    </w:p>
  </w:footnote>
  <w:footnote w:id="59">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w:t>
      </w:r>
      <w:proofErr w:type="spellStart"/>
      <w:r w:rsidRPr="00D4590B">
        <w:rPr>
          <w:sz w:val="23"/>
          <w:szCs w:val="23"/>
        </w:rPr>
        <w:t>Radak</w:t>
      </w:r>
      <w:proofErr w:type="spellEnd"/>
      <w:r w:rsidRPr="00D4590B">
        <w:rPr>
          <w:sz w:val="23"/>
          <w:szCs w:val="23"/>
        </w:rPr>
        <w:t xml:space="preserve"> mentions Rashi at II Chronicles 2:1; Ibn </w:t>
      </w:r>
      <w:proofErr w:type="spellStart"/>
      <w:r w:rsidRPr="00D4590B">
        <w:rPr>
          <w:sz w:val="23"/>
          <w:szCs w:val="23"/>
        </w:rPr>
        <w:t>Janah</w:t>
      </w:r>
      <w:proofErr w:type="spellEnd"/>
      <w:r w:rsidRPr="00D4590B">
        <w:rPr>
          <w:sz w:val="23"/>
          <w:szCs w:val="23"/>
        </w:rPr>
        <w:t xml:space="preserve"> at I 2:13, I 12:33, II </w:t>
      </w:r>
      <w:smartTag w:uri="urn:schemas-microsoft-com:office:smarttags" w:element="time">
        <w:smartTagPr>
          <w:attr w:name="Minute" w:val="13"/>
          <w:attr w:name="Hour" w:val="1"/>
        </w:smartTagPr>
        <w:r w:rsidRPr="00D4590B">
          <w:rPr>
            <w:sz w:val="23"/>
            <w:szCs w:val="23"/>
          </w:rPr>
          <w:t>1:13</w:t>
        </w:r>
      </w:smartTag>
      <w:r w:rsidRPr="00D4590B">
        <w:rPr>
          <w:sz w:val="23"/>
          <w:szCs w:val="23"/>
        </w:rPr>
        <w:t xml:space="preserve">, and II 2:9; and Ibn Ezra at I </w:t>
      </w:r>
      <w:smartTag w:uri="urn:schemas-microsoft-com:office:smarttags" w:element="time">
        <w:smartTagPr>
          <w:attr w:name="Minute" w:val="15"/>
          <w:attr w:name="Hour" w:val="2"/>
        </w:smartTagPr>
        <w:r w:rsidRPr="00D4590B">
          <w:rPr>
            <w:sz w:val="23"/>
            <w:szCs w:val="23"/>
          </w:rPr>
          <w:t>2:15</w:t>
        </w:r>
      </w:smartTag>
      <w:r w:rsidRPr="00D4590B">
        <w:rPr>
          <w:sz w:val="23"/>
          <w:szCs w:val="23"/>
        </w:rPr>
        <w:t xml:space="preserve"> and II 30:18. He refers to R. Joseph </w:t>
      </w:r>
      <w:proofErr w:type="spellStart"/>
      <w:r w:rsidRPr="00D4590B">
        <w:rPr>
          <w:sz w:val="23"/>
          <w:szCs w:val="23"/>
        </w:rPr>
        <w:t>Kimh</w:t>
      </w:r>
      <w:r w:rsidRPr="00D4590B">
        <w:rPr>
          <w:sz w:val="23"/>
          <w:szCs w:val="23"/>
        </w:rPr>
        <w:t>i</w:t>
      </w:r>
      <w:proofErr w:type="spellEnd"/>
      <w:r w:rsidRPr="00D4590B">
        <w:rPr>
          <w:sz w:val="23"/>
          <w:szCs w:val="23"/>
        </w:rPr>
        <w:t xml:space="preserve"> as “my master, my father” at I 15:18 and I 20:6; but I have left this out of the tally, much as I have left out the reference to “my mentor, my brother” in the Proverbs commentary.</w:t>
      </w:r>
    </w:p>
  </w:footnote>
  <w:footnote w:id="60">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See Berger, “Exegetical </w:t>
      </w:r>
      <w:proofErr w:type="spellStart"/>
      <w:r w:rsidRPr="00D4590B">
        <w:rPr>
          <w:sz w:val="23"/>
          <w:szCs w:val="23"/>
        </w:rPr>
        <w:t>Programme</w:t>
      </w:r>
      <w:proofErr w:type="spellEnd"/>
      <w:r w:rsidRPr="00D4590B">
        <w:rPr>
          <w:sz w:val="23"/>
          <w:szCs w:val="23"/>
        </w:rPr>
        <w:t>,” 92.</w:t>
      </w:r>
    </w:p>
  </w:footnote>
  <w:footnote w:id="61">
    <w:p w:rsidR="00745007" w:rsidRPr="00D4590B" w:rsidRDefault="00745007" w:rsidP="002E12CE">
      <w:pPr>
        <w:pStyle w:val="a3"/>
        <w:spacing w:line="270" w:lineRule="exact"/>
        <w:jc w:val="both"/>
        <w:rPr>
          <w:sz w:val="23"/>
          <w:szCs w:val="23"/>
          <w:rtl/>
          <w:lang w:bidi="he-IL"/>
        </w:rPr>
      </w:pPr>
      <w:r w:rsidRPr="00D4590B">
        <w:rPr>
          <w:rStyle w:val="a4"/>
          <w:sz w:val="23"/>
          <w:szCs w:val="23"/>
        </w:rPr>
        <w:footnoteRef/>
      </w:r>
      <w:r w:rsidRPr="00D4590B">
        <w:rPr>
          <w:sz w:val="23"/>
          <w:szCs w:val="23"/>
        </w:rPr>
        <w:t xml:space="preserve"> The citation of R. Moses the Preacher</w:t>
      </w:r>
      <w:r>
        <w:rPr>
          <w:sz w:val="23"/>
          <w:szCs w:val="23"/>
        </w:rPr>
        <w:t xml:space="preserve">, </w:t>
      </w:r>
      <w:r w:rsidRPr="00D4590B">
        <w:rPr>
          <w:sz w:val="23"/>
          <w:szCs w:val="23"/>
        </w:rPr>
        <w:t xml:space="preserve">at </w:t>
      </w:r>
      <w:smartTag w:uri="urn:schemas-microsoft-com:office:smarttags" w:element="time">
        <w:smartTagPr>
          <w:attr w:name="Minute" w:val="19"/>
          <w:attr w:name="Hour" w:val="5"/>
        </w:smartTagPr>
        <w:r w:rsidRPr="00D4590B">
          <w:rPr>
            <w:sz w:val="23"/>
            <w:szCs w:val="23"/>
          </w:rPr>
          <w:t>5:19</w:t>
        </w:r>
      </w:smartTag>
      <w:r>
        <w:rPr>
          <w:sz w:val="23"/>
          <w:szCs w:val="23"/>
        </w:rPr>
        <w:t>,</w:t>
      </w:r>
      <w:r w:rsidRPr="00D4590B">
        <w:rPr>
          <w:sz w:val="23"/>
          <w:szCs w:val="23"/>
        </w:rPr>
        <w:t xml:space="preserve"> is </w:t>
      </w:r>
      <w:r>
        <w:rPr>
          <w:sz w:val="23"/>
          <w:szCs w:val="23"/>
        </w:rPr>
        <w:t xml:space="preserve">also </w:t>
      </w:r>
      <w:r w:rsidRPr="00D4590B">
        <w:rPr>
          <w:sz w:val="23"/>
          <w:szCs w:val="23"/>
        </w:rPr>
        <w:t>largely</w:t>
      </w:r>
      <w:r>
        <w:rPr>
          <w:sz w:val="23"/>
          <w:szCs w:val="23"/>
        </w:rPr>
        <w:t xml:space="preserve"> </w:t>
      </w:r>
      <w:r w:rsidRPr="00D4590B">
        <w:rPr>
          <w:sz w:val="23"/>
          <w:szCs w:val="23"/>
        </w:rPr>
        <w:t xml:space="preserve">a verbatim quotation of </w:t>
      </w:r>
      <w:proofErr w:type="spellStart"/>
      <w:r w:rsidRPr="00D4590B">
        <w:rPr>
          <w:sz w:val="23"/>
          <w:szCs w:val="23"/>
        </w:rPr>
        <w:t>Rashi’s</w:t>
      </w:r>
      <w:proofErr w:type="spellEnd"/>
      <w:r w:rsidRPr="00D4590B">
        <w:rPr>
          <w:sz w:val="23"/>
          <w:szCs w:val="23"/>
        </w:rPr>
        <w:t xml:space="preserve"> own citation of the renowned midrashist. Compare Grunhaus, “Commentary on Proverbs,” 320 n. 47. If verbatim citation was the motive for mentioning Rashi by name, this accounts for the unusually high number of explicit references to </w:t>
      </w:r>
      <w:proofErr w:type="spellStart"/>
      <w:r w:rsidRPr="00D4590B">
        <w:rPr>
          <w:sz w:val="23"/>
          <w:szCs w:val="23"/>
        </w:rPr>
        <w:t>Rashi</w:t>
      </w:r>
      <w:proofErr w:type="spellEnd"/>
      <w:r w:rsidRPr="00D4590B">
        <w:rPr>
          <w:sz w:val="23"/>
          <w:szCs w:val="23"/>
        </w:rPr>
        <w:t xml:space="preserve">. Elsewhere in Radak, too, there appear some clusters of named citations of Rashi; see Grunhaus, “Commentary on Proverbs,” 322 and n. 55. In that context, she raises some additional arguments against Radak’s authorship that concern citations of Rashi: the reference to him as </w:t>
      </w:r>
      <w:r w:rsidRPr="00D4590B">
        <w:rPr>
          <w:rFonts w:hint="cs"/>
          <w:sz w:val="23"/>
          <w:szCs w:val="23"/>
          <w:rtl/>
          <w:lang w:bidi="he-IL"/>
        </w:rPr>
        <w:t>ר"ש</w:t>
      </w:r>
      <w:r w:rsidRPr="00D4590B">
        <w:rPr>
          <w:sz w:val="23"/>
          <w:szCs w:val="23"/>
          <w:lang w:bidi="he-IL"/>
        </w:rPr>
        <w:t xml:space="preserve"> rather than </w:t>
      </w:r>
      <w:r w:rsidRPr="00D4590B">
        <w:rPr>
          <w:rFonts w:hint="cs"/>
          <w:sz w:val="23"/>
          <w:szCs w:val="23"/>
          <w:rtl/>
          <w:lang w:bidi="he-IL"/>
        </w:rPr>
        <w:t>רש"י</w:t>
      </w:r>
      <w:r w:rsidRPr="00D4590B">
        <w:rPr>
          <w:sz w:val="23"/>
          <w:szCs w:val="23"/>
          <w:lang w:bidi="he-IL"/>
        </w:rPr>
        <w:t xml:space="preserve">, the absence of </w:t>
      </w:r>
      <w:r w:rsidRPr="00D4590B">
        <w:rPr>
          <w:rFonts w:hint="cs"/>
          <w:sz w:val="23"/>
          <w:szCs w:val="23"/>
          <w:rtl/>
          <w:lang w:bidi="he-IL"/>
        </w:rPr>
        <w:t>ז"ל</w:t>
      </w:r>
      <w:r w:rsidRPr="00D4590B">
        <w:rPr>
          <w:sz w:val="23"/>
          <w:szCs w:val="23"/>
          <w:lang w:bidi="he-IL"/>
        </w:rPr>
        <w:t xml:space="preserve">, and a case at 12:16 where an interpretation cited from Rashi is—according to Grunhaus—oddly similar to the author’s own. In fact, a search of the </w:t>
      </w:r>
      <w:proofErr w:type="spellStart"/>
      <w:r w:rsidRPr="00D4590B">
        <w:rPr>
          <w:i/>
          <w:iCs/>
          <w:sz w:val="23"/>
          <w:szCs w:val="23"/>
          <w:lang w:bidi="he-IL"/>
        </w:rPr>
        <w:t>Haketer</w:t>
      </w:r>
      <w:proofErr w:type="spellEnd"/>
      <w:r w:rsidRPr="00D4590B">
        <w:rPr>
          <w:sz w:val="23"/>
          <w:szCs w:val="23"/>
          <w:lang w:bidi="he-IL"/>
        </w:rPr>
        <w:t xml:space="preserve"> database suggests that </w:t>
      </w:r>
      <w:r w:rsidRPr="00D4590B">
        <w:rPr>
          <w:rFonts w:hint="cs"/>
          <w:sz w:val="23"/>
          <w:szCs w:val="23"/>
          <w:rtl/>
          <w:lang w:bidi="he-IL"/>
        </w:rPr>
        <w:t>רבינו שלמה</w:t>
      </w:r>
      <w:r w:rsidRPr="00D4590B">
        <w:rPr>
          <w:sz w:val="23"/>
          <w:szCs w:val="23"/>
          <w:lang w:bidi="he-IL"/>
        </w:rPr>
        <w:t xml:space="preserve"> is Radak’s common way of referring to Rashi (contrast Grunhaus, ibid., n. 56); and </w:t>
      </w:r>
      <w:r w:rsidRPr="00D4590B">
        <w:rPr>
          <w:rFonts w:hint="cs"/>
          <w:sz w:val="23"/>
          <w:szCs w:val="23"/>
          <w:rtl/>
          <w:lang w:bidi="he-IL"/>
        </w:rPr>
        <w:t>ר"ש</w:t>
      </w:r>
      <w:r w:rsidRPr="00D4590B">
        <w:rPr>
          <w:sz w:val="23"/>
          <w:szCs w:val="23"/>
          <w:lang w:bidi="he-IL"/>
        </w:rPr>
        <w:t xml:space="preserve"> (also the term appearing in the one reference to Rashi in the Chronicles commentary—at II 2:1—according to more reliable text-witnesses), as well as the absence of </w:t>
      </w:r>
      <w:r w:rsidRPr="00D4590B">
        <w:rPr>
          <w:rFonts w:hint="cs"/>
          <w:sz w:val="23"/>
          <w:szCs w:val="23"/>
          <w:rtl/>
          <w:lang w:bidi="he-IL"/>
        </w:rPr>
        <w:t>ז"ל</w:t>
      </w:r>
      <w:r w:rsidRPr="00D4590B">
        <w:rPr>
          <w:sz w:val="23"/>
          <w:szCs w:val="23"/>
          <w:lang w:bidi="he-IL"/>
        </w:rPr>
        <w:t>, might well owe to scribal preferences. (The occasional appearance of the term</w:t>
      </w:r>
      <w:r w:rsidRPr="00D4590B">
        <w:rPr>
          <w:rStyle w:val="a6"/>
          <w:sz w:val="23"/>
          <w:szCs w:val="23"/>
        </w:rPr>
        <w:t xml:space="preserve"> </w:t>
      </w:r>
      <w:r w:rsidRPr="00D4590B">
        <w:rPr>
          <w:rStyle w:val="a6"/>
          <w:rFonts w:hint="cs"/>
          <w:sz w:val="23"/>
          <w:szCs w:val="23"/>
          <w:rtl/>
          <w:lang w:bidi="he-IL"/>
        </w:rPr>
        <w:t>פשטו</w:t>
      </w:r>
      <w:r w:rsidRPr="00D4590B">
        <w:rPr>
          <w:rStyle w:val="a6"/>
          <w:sz w:val="23"/>
          <w:szCs w:val="23"/>
          <w:lang w:bidi="he-IL"/>
        </w:rPr>
        <w:t xml:space="preserve"> instead of </w:t>
      </w:r>
      <w:r w:rsidRPr="00D4590B">
        <w:rPr>
          <w:rStyle w:val="a6"/>
          <w:rFonts w:hint="cs"/>
          <w:sz w:val="23"/>
          <w:szCs w:val="23"/>
          <w:rtl/>
          <w:lang w:bidi="he-IL"/>
        </w:rPr>
        <w:t>פשוטו</w:t>
      </w:r>
      <w:r w:rsidRPr="00D4590B">
        <w:rPr>
          <w:rStyle w:val="a6"/>
          <w:sz w:val="23"/>
          <w:szCs w:val="23"/>
          <w:lang w:bidi="he-IL"/>
        </w:rPr>
        <w:t xml:space="preserve"> is of similarly questionable significance; contrast Grunhaus, “Commentary of Proverbs,” 320 n. 45.</w:t>
      </w:r>
      <w:r w:rsidRPr="00D4590B">
        <w:rPr>
          <w:sz w:val="23"/>
          <w:szCs w:val="23"/>
          <w:lang w:bidi="he-IL"/>
        </w:rPr>
        <w:t xml:space="preserve">) The alleged similarity between </w:t>
      </w:r>
      <w:proofErr w:type="spellStart"/>
      <w:r w:rsidRPr="00D4590B">
        <w:rPr>
          <w:sz w:val="23"/>
          <w:szCs w:val="23"/>
          <w:lang w:bidi="he-IL"/>
        </w:rPr>
        <w:t>Rashi’s</w:t>
      </w:r>
      <w:proofErr w:type="spellEnd"/>
      <w:r w:rsidRPr="00D4590B">
        <w:rPr>
          <w:sz w:val="23"/>
          <w:szCs w:val="23"/>
          <w:lang w:bidi="he-IL"/>
        </w:rPr>
        <w:t xml:space="preserve"> interpretation and the author’s own at </w:t>
      </w:r>
      <w:smartTag w:uri="urn:schemas-microsoft-com:office:smarttags" w:element="time">
        <w:smartTagPr>
          <w:attr w:name="Minute" w:val="16"/>
          <w:attr w:name="Hour" w:val="12"/>
        </w:smartTagPr>
        <w:r w:rsidRPr="00D4590B">
          <w:rPr>
            <w:sz w:val="23"/>
            <w:szCs w:val="23"/>
            <w:lang w:bidi="he-IL"/>
          </w:rPr>
          <w:t>12:16</w:t>
        </w:r>
      </w:smartTag>
      <w:r w:rsidRPr="00D4590B">
        <w:rPr>
          <w:sz w:val="23"/>
          <w:szCs w:val="23"/>
          <w:lang w:bidi="he-IL"/>
        </w:rPr>
        <w:t xml:space="preserve"> is not apparent to me, and no further clarification is provided for this claim. There remains only </w:t>
      </w:r>
      <w:proofErr w:type="spellStart"/>
      <w:r w:rsidRPr="00D4590B">
        <w:rPr>
          <w:sz w:val="23"/>
          <w:szCs w:val="23"/>
          <w:lang w:bidi="he-IL"/>
        </w:rPr>
        <w:t>Grunhaus’s</w:t>
      </w:r>
      <w:proofErr w:type="spellEnd"/>
      <w:r w:rsidRPr="00D4590B">
        <w:rPr>
          <w:sz w:val="23"/>
          <w:szCs w:val="23"/>
          <w:lang w:bidi="he-IL"/>
        </w:rPr>
        <w:t xml:space="preserve"> general sense that this commentary relies </w:t>
      </w:r>
      <w:r>
        <w:rPr>
          <w:sz w:val="23"/>
          <w:szCs w:val="23"/>
          <w:lang w:bidi="he-IL"/>
        </w:rPr>
        <w:t xml:space="preserve">more </w:t>
      </w:r>
      <w:r w:rsidRPr="00D4590B">
        <w:rPr>
          <w:sz w:val="23"/>
          <w:szCs w:val="23"/>
          <w:lang w:bidi="he-IL"/>
        </w:rPr>
        <w:t xml:space="preserve">on </w:t>
      </w:r>
      <w:proofErr w:type="spellStart"/>
      <w:r w:rsidRPr="00D4590B">
        <w:rPr>
          <w:sz w:val="23"/>
          <w:szCs w:val="23"/>
          <w:lang w:bidi="he-IL"/>
        </w:rPr>
        <w:t>Rashi</w:t>
      </w:r>
      <w:proofErr w:type="spellEnd"/>
      <w:r w:rsidRPr="00D4590B">
        <w:rPr>
          <w:sz w:val="23"/>
          <w:szCs w:val="23"/>
          <w:lang w:bidi="he-IL"/>
        </w:rPr>
        <w:t xml:space="preserve"> than does </w:t>
      </w:r>
      <w:proofErr w:type="spellStart"/>
      <w:r w:rsidRPr="00D4590B">
        <w:rPr>
          <w:sz w:val="23"/>
          <w:szCs w:val="23"/>
          <w:lang w:bidi="he-IL"/>
        </w:rPr>
        <w:t>Radak</w:t>
      </w:r>
      <w:proofErr w:type="spellEnd"/>
      <w:r w:rsidRPr="00D4590B">
        <w:rPr>
          <w:sz w:val="23"/>
          <w:szCs w:val="23"/>
          <w:lang w:bidi="he-IL"/>
        </w:rPr>
        <w:t>—an argument that would require systematic consideration of all of Radak’s commentaries, and which might again be neutralized if the Proverbs commentary reflects Radak’s earlier tendencies. (Chronicles, on which there is no commentary of Rashi, provides no basis for comparison in this case.)</w:t>
      </w:r>
    </w:p>
  </w:footnote>
  <w:footnote w:id="62">
    <w:p w:rsidR="00745007" w:rsidRPr="00D4590B" w:rsidRDefault="00745007" w:rsidP="00EA4620">
      <w:pPr>
        <w:pStyle w:val="a3"/>
        <w:spacing w:line="270" w:lineRule="exact"/>
        <w:jc w:val="both"/>
        <w:rPr>
          <w:sz w:val="23"/>
          <w:szCs w:val="23"/>
          <w:lang w:bidi="he-IL"/>
        </w:rPr>
      </w:pPr>
      <w:r w:rsidRPr="00D4590B">
        <w:rPr>
          <w:sz w:val="23"/>
          <w:szCs w:val="23"/>
        </w:rPr>
        <w:t xml:space="preserve"> </w:t>
      </w:r>
      <w:r w:rsidRPr="00D4590B">
        <w:rPr>
          <w:rStyle w:val="a4"/>
          <w:sz w:val="23"/>
          <w:szCs w:val="23"/>
        </w:rPr>
        <w:footnoteRef/>
      </w:r>
      <w:r w:rsidRPr="00D4590B">
        <w:rPr>
          <w:sz w:val="23"/>
          <w:szCs w:val="23"/>
        </w:rPr>
        <w:t xml:space="preserve"> Ezra Z. Melamed, in volume 2 of </w:t>
      </w:r>
      <w:r w:rsidRPr="00D4590B">
        <w:rPr>
          <w:i/>
          <w:iCs/>
          <w:sz w:val="23"/>
          <w:szCs w:val="23"/>
        </w:rPr>
        <w:t>Bible Commentators</w:t>
      </w:r>
      <w:r w:rsidRPr="00D4590B">
        <w:rPr>
          <w:sz w:val="23"/>
          <w:szCs w:val="23"/>
        </w:rPr>
        <w:t xml:space="preserve"> (Hebrew), </w:t>
      </w:r>
      <w:smartTag w:uri="urn:schemas-microsoft-com:office:smarttags" w:element="City">
        <w:smartTag w:uri="urn:schemas-microsoft-com:office:smarttags" w:element="place">
          <w:r w:rsidRPr="00D4590B">
            <w:rPr>
              <w:sz w:val="23"/>
              <w:szCs w:val="23"/>
            </w:rPr>
            <w:t>Jerusalem</w:t>
          </w:r>
        </w:smartTag>
      </w:smartTag>
      <w:r w:rsidRPr="00D4590B">
        <w:rPr>
          <w:sz w:val="23"/>
          <w:szCs w:val="23"/>
        </w:rPr>
        <w:t xml:space="preserve">: </w:t>
      </w:r>
      <w:proofErr w:type="spellStart"/>
      <w:r w:rsidRPr="00D4590B">
        <w:rPr>
          <w:sz w:val="23"/>
          <w:szCs w:val="23"/>
        </w:rPr>
        <w:t>Magnes</w:t>
      </w:r>
      <w:proofErr w:type="spellEnd"/>
      <w:r w:rsidRPr="00D4590B">
        <w:rPr>
          <w:sz w:val="23"/>
          <w:szCs w:val="23"/>
        </w:rPr>
        <w:t xml:space="preserve"> Press, 1978, 740, observes that when offering a direct quote of another named commentator, Radak tends to provide careful verbatim citation. More important for us here, however, is the converse question: where Radak cites his sources verbatim, does he commonly see fit to name them—as I am claiming here in the case of the commentaries to Proverbs and Chronicles? Only one scholarly treatment seems to address this question in any way. In a separate study, “The Dependence of Rabbi David Kimhi (Radak) on Rashi in His Quotation of Midrashic Traditions,” </w:t>
      </w:r>
      <w:r w:rsidRPr="00D4590B">
        <w:rPr>
          <w:i/>
          <w:iCs/>
          <w:sz w:val="23"/>
          <w:szCs w:val="23"/>
        </w:rPr>
        <w:t>JQR</w:t>
      </w:r>
      <w:r w:rsidRPr="00D4590B">
        <w:rPr>
          <w:sz w:val="23"/>
          <w:szCs w:val="23"/>
        </w:rPr>
        <w:t xml:space="preserve"> 93/3-4 (20</w:t>
      </w:r>
      <w:r>
        <w:rPr>
          <w:sz w:val="23"/>
          <w:szCs w:val="23"/>
        </w:rPr>
        <w:t>03), 415-430, Grunhaus argues</w:t>
      </w:r>
      <w:r w:rsidRPr="00D4590B">
        <w:rPr>
          <w:sz w:val="23"/>
          <w:szCs w:val="23"/>
        </w:rPr>
        <w:t xml:space="preserve"> correctly that Rashi served as a source for many of Radak’s </w:t>
      </w:r>
      <w:proofErr w:type="spellStart"/>
      <w:r w:rsidRPr="00D4590B">
        <w:rPr>
          <w:sz w:val="23"/>
          <w:szCs w:val="23"/>
        </w:rPr>
        <w:t>midrashic</w:t>
      </w:r>
      <w:proofErr w:type="spellEnd"/>
      <w:r w:rsidRPr="00D4590B">
        <w:rPr>
          <w:sz w:val="23"/>
          <w:szCs w:val="23"/>
        </w:rPr>
        <w:t xml:space="preserve"> citation</w:t>
      </w:r>
      <w:r>
        <w:rPr>
          <w:sz w:val="23"/>
          <w:szCs w:val="23"/>
        </w:rPr>
        <w:t>s. Of relevance to us, she maintain</w:t>
      </w:r>
      <w:r w:rsidRPr="00D4590B">
        <w:rPr>
          <w:sz w:val="23"/>
          <w:szCs w:val="23"/>
        </w:rPr>
        <w:t xml:space="preserve">s that </w:t>
      </w:r>
      <w:proofErr w:type="spellStart"/>
      <w:r w:rsidRPr="00D4590B">
        <w:rPr>
          <w:sz w:val="23"/>
          <w:szCs w:val="23"/>
        </w:rPr>
        <w:t>Radak</w:t>
      </w:r>
      <w:proofErr w:type="spellEnd"/>
      <w:r w:rsidRPr="00D4590B">
        <w:rPr>
          <w:sz w:val="23"/>
          <w:szCs w:val="23"/>
        </w:rPr>
        <w:t xml:space="preserve"> </w:t>
      </w:r>
      <w:r>
        <w:rPr>
          <w:sz w:val="23"/>
          <w:szCs w:val="23"/>
        </w:rPr>
        <w:t xml:space="preserve">sometimes </w:t>
      </w:r>
      <w:r w:rsidRPr="00D4590B">
        <w:rPr>
          <w:sz w:val="23"/>
          <w:szCs w:val="23"/>
        </w:rPr>
        <w:t xml:space="preserve">copied </w:t>
      </w:r>
      <w:proofErr w:type="spellStart"/>
      <w:r w:rsidRPr="00D4590B">
        <w:rPr>
          <w:sz w:val="23"/>
          <w:szCs w:val="23"/>
        </w:rPr>
        <w:t>Rashi’s</w:t>
      </w:r>
      <w:proofErr w:type="spellEnd"/>
      <w:r w:rsidRPr="00D4590B">
        <w:rPr>
          <w:sz w:val="23"/>
          <w:szCs w:val="23"/>
        </w:rPr>
        <w:t xml:space="preserve"> liberal paraphrases of the Midrash without checking the original and </w:t>
      </w:r>
      <w:r w:rsidRPr="00D4590B">
        <w:rPr>
          <w:i/>
          <w:iCs/>
          <w:sz w:val="23"/>
          <w:szCs w:val="23"/>
        </w:rPr>
        <w:t xml:space="preserve">without </w:t>
      </w:r>
      <w:r w:rsidRPr="00D4590B">
        <w:rPr>
          <w:sz w:val="23"/>
          <w:szCs w:val="23"/>
        </w:rPr>
        <w:t xml:space="preserve">citing Rashi as his source. However, I dispute the one example offered as decisive evidence of this claim (423-424). At Isaiah 8:8, concerning Sennacherib’s invasion of Judah, Midrash </w:t>
      </w:r>
      <w:proofErr w:type="spellStart"/>
      <w:r w:rsidRPr="00D4590B">
        <w:rPr>
          <w:sz w:val="23"/>
          <w:szCs w:val="23"/>
        </w:rPr>
        <w:t>Tanh</w:t>
      </w:r>
      <w:r w:rsidRPr="00D4590B">
        <w:rPr>
          <w:sz w:val="23"/>
          <w:szCs w:val="23"/>
        </w:rPr>
        <w:t>uma</w:t>
      </w:r>
      <w:proofErr w:type="spellEnd"/>
      <w:r w:rsidRPr="00D4590B">
        <w:rPr>
          <w:sz w:val="23"/>
          <w:szCs w:val="23"/>
        </w:rPr>
        <w:t xml:space="preserve"> (</w:t>
      </w:r>
      <w:proofErr w:type="spellStart"/>
      <w:r w:rsidRPr="00D4590B">
        <w:rPr>
          <w:i/>
          <w:iCs/>
          <w:sz w:val="23"/>
          <w:szCs w:val="23"/>
        </w:rPr>
        <w:t>Tazria</w:t>
      </w:r>
      <w:proofErr w:type="spellEnd"/>
      <w:r w:rsidRPr="00D4590B">
        <w:rPr>
          <w:sz w:val="23"/>
          <w:szCs w:val="23"/>
        </w:rPr>
        <w:t xml:space="preserve">‘ 8) offers an explanation of the phrase </w:t>
      </w:r>
      <w:r w:rsidRPr="00D4590B">
        <w:rPr>
          <w:rFonts w:hint="cs"/>
          <w:sz w:val="23"/>
          <w:szCs w:val="23"/>
          <w:rtl/>
          <w:lang w:bidi="he-IL"/>
        </w:rPr>
        <w:t>והיה מטות כנפיו מלא רחב ארצך</w:t>
      </w:r>
      <w:r w:rsidRPr="00D4590B">
        <w:rPr>
          <w:sz w:val="23"/>
          <w:szCs w:val="23"/>
          <w:lang w:bidi="he-IL"/>
        </w:rPr>
        <w:t xml:space="preserve">—“the radial bones of his wings will span the entire breadth of your land”: the </w:t>
      </w:r>
      <w:r w:rsidRPr="00D4590B">
        <w:rPr>
          <w:sz w:val="23"/>
          <w:szCs w:val="23"/>
        </w:rPr>
        <w:t>M</w:t>
      </w:r>
      <w:r w:rsidRPr="00D4590B">
        <w:rPr>
          <w:sz w:val="23"/>
          <w:szCs w:val="23"/>
          <w:lang w:bidi="he-IL"/>
        </w:rPr>
        <w:t>idrash</w:t>
      </w:r>
      <w:r>
        <w:rPr>
          <w:sz w:val="23"/>
          <w:szCs w:val="23"/>
          <w:lang w:bidi="he-IL"/>
        </w:rPr>
        <w:t xml:space="preserve"> says that </w:t>
      </w:r>
      <w:r w:rsidRPr="00D4590B">
        <w:rPr>
          <w:sz w:val="23"/>
          <w:szCs w:val="23"/>
          <w:lang w:bidi="he-IL"/>
        </w:rPr>
        <w:t xml:space="preserve">just as the radial bones comprise one-sixtieth of a rooster’s wings, Judah will be subdued by just one-sixtieth of the Assyrian army. </w:t>
      </w:r>
      <w:proofErr w:type="spellStart"/>
      <w:r w:rsidRPr="00D4590B">
        <w:rPr>
          <w:sz w:val="23"/>
          <w:szCs w:val="23"/>
          <w:lang w:bidi="he-IL"/>
        </w:rPr>
        <w:t>Radak</w:t>
      </w:r>
      <w:proofErr w:type="spellEnd"/>
      <w:r w:rsidRPr="00D4590B">
        <w:rPr>
          <w:sz w:val="23"/>
          <w:szCs w:val="23"/>
          <w:lang w:bidi="he-IL"/>
        </w:rPr>
        <w:t xml:space="preserve"> presents this explanation in the following language, which is quite different from that found in our editions of the </w:t>
      </w:r>
      <w:proofErr w:type="spellStart"/>
      <w:r w:rsidRPr="00D4590B">
        <w:rPr>
          <w:sz w:val="23"/>
          <w:szCs w:val="23"/>
          <w:lang w:bidi="he-IL"/>
        </w:rPr>
        <w:t>Tanh</w:t>
      </w:r>
      <w:r w:rsidRPr="00D4590B">
        <w:rPr>
          <w:sz w:val="23"/>
          <w:szCs w:val="23"/>
          <w:lang w:bidi="he-IL"/>
        </w:rPr>
        <w:t>uma</w:t>
      </w:r>
      <w:proofErr w:type="spellEnd"/>
      <w:r w:rsidRPr="00D4590B">
        <w:rPr>
          <w:sz w:val="23"/>
          <w:szCs w:val="23"/>
          <w:lang w:bidi="he-IL"/>
        </w:rPr>
        <w:t xml:space="preserve">: </w:t>
      </w:r>
      <w:r w:rsidRPr="00D4590B">
        <w:rPr>
          <w:rFonts w:hint="cs"/>
          <w:sz w:val="23"/>
          <w:szCs w:val="23"/>
          <w:rtl/>
          <w:lang w:bidi="he-IL"/>
        </w:rPr>
        <w:t>ובדרש: כמה הם מוטות התרנגול? אחד מששים בכנפיו; אחד בששים באוכלוסי סנחריב מלא רחב ארץ יהודה</w:t>
      </w:r>
      <w:r w:rsidRPr="00D4590B">
        <w:rPr>
          <w:sz w:val="23"/>
          <w:szCs w:val="23"/>
          <w:lang w:bidi="he-IL"/>
        </w:rPr>
        <w:t xml:space="preserve">—“And in the Midrash: How many are the radial bones of the rooster? One-sixtieth of its wings. One-sixtieth of Sennacherib’s army will span the entire breadth of the </w:t>
      </w:r>
      <w:smartTag w:uri="urn:schemas-microsoft-com:office:smarttags" w:element="place">
        <w:smartTag w:uri="urn:schemas-microsoft-com:office:smarttags" w:element="PlaceType">
          <w:r w:rsidRPr="00D4590B">
            <w:rPr>
              <w:sz w:val="23"/>
              <w:szCs w:val="23"/>
              <w:lang w:bidi="he-IL"/>
            </w:rPr>
            <w:t>land</w:t>
          </w:r>
        </w:smartTag>
        <w:r w:rsidRPr="00D4590B">
          <w:rPr>
            <w:sz w:val="23"/>
            <w:szCs w:val="23"/>
            <w:lang w:bidi="he-IL"/>
          </w:rPr>
          <w:t xml:space="preserve"> of </w:t>
        </w:r>
        <w:smartTag w:uri="urn:schemas-microsoft-com:office:smarttags" w:element="PlaceName">
          <w:r w:rsidRPr="00D4590B">
            <w:rPr>
              <w:sz w:val="23"/>
              <w:szCs w:val="23"/>
              <w:lang w:bidi="he-IL"/>
            </w:rPr>
            <w:t>Judah</w:t>
          </w:r>
        </w:smartTag>
      </w:smartTag>
      <w:r w:rsidRPr="00D4590B">
        <w:rPr>
          <w:sz w:val="23"/>
          <w:szCs w:val="23"/>
          <w:lang w:bidi="he-IL"/>
        </w:rPr>
        <w:t xml:space="preserve">.” </w:t>
      </w:r>
      <w:r>
        <w:rPr>
          <w:sz w:val="23"/>
          <w:szCs w:val="23"/>
          <w:lang w:bidi="he-IL"/>
        </w:rPr>
        <w:t>T</w:t>
      </w:r>
      <w:r w:rsidRPr="00D4590B">
        <w:rPr>
          <w:sz w:val="23"/>
          <w:szCs w:val="23"/>
          <w:lang w:bidi="he-IL"/>
        </w:rPr>
        <w:t xml:space="preserve">his same language appears </w:t>
      </w:r>
      <w:r>
        <w:rPr>
          <w:sz w:val="23"/>
          <w:szCs w:val="23"/>
          <w:lang w:bidi="he-IL"/>
        </w:rPr>
        <w:t>i</w:t>
      </w:r>
      <w:r w:rsidRPr="00D4590B">
        <w:rPr>
          <w:sz w:val="23"/>
          <w:szCs w:val="23"/>
          <w:lang w:bidi="he-IL"/>
        </w:rPr>
        <w:t xml:space="preserve">n nearly all printed texts of </w:t>
      </w:r>
      <w:proofErr w:type="spellStart"/>
      <w:r w:rsidRPr="00D4590B">
        <w:rPr>
          <w:sz w:val="23"/>
          <w:szCs w:val="23"/>
          <w:lang w:bidi="he-IL"/>
        </w:rPr>
        <w:t>Rashi</w:t>
      </w:r>
      <w:proofErr w:type="spellEnd"/>
      <w:r w:rsidRPr="00D4590B">
        <w:rPr>
          <w:sz w:val="23"/>
          <w:szCs w:val="23"/>
          <w:lang w:bidi="he-IL"/>
        </w:rPr>
        <w:t xml:space="preserve">, but </w:t>
      </w:r>
      <w:r w:rsidRPr="00D4590B">
        <w:rPr>
          <w:rFonts w:hint="cs"/>
          <w:sz w:val="23"/>
          <w:szCs w:val="23"/>
          <w:rtl/>
          <w:lang w:bidi="he-IL"/>
        </w:rPr>
        <w:t>מלא רחב</w:t>
      </w:r>
      <w:r w:rsidRPr="00D4590B">
        <w:rPr>
          <w:sz w:val="23"/>
          <w:szCs w:val="23"/>
          <w:lang w:bidi="he-IL"/>
        </w:rPr>
        <w:t xml:space="preserve"> is presented as a separate lemma on which </w:t>
      </w:r>
      <w:r w:rsidRPr="00D4590B">
        <w:rPr>
          <w:rFonts w:hint="cs"/>
          <w:sz w:val="23"/>
          <w:szCs w:val="23"/>
          <w:rtl/>
          <w:lang w:bidi="he-IL"/>
        </w:rPr>
        <w:t>ארץ יהודה</w:t>
      </w:r>
      <w:r w:rsidRPr="00D4590B">
        <w:rPr>
          <w:sz w:val="23"/>
          <w:szCs w:val="23"/>
          <w:lang w:bidi="he-IL"/>
        </w:rPr>
        <w:t xml:space="preserve"> appears as an independent comment. According to Grunhaus, this demonstrates that Radak (without acknowledgment) copied </w:t>
      </w:r>
      <w:proofErr w:type="spellStart"/>
      <w:r w:rsidRPr="00D4590B">
        <w:rPr>
          <w:sz w:val="23"/>
          <w:szCs w:val="23"/>
          <w:lang w:bidi="he-IL"/>
        </w:rPr>
        <w:t>Rashi’s</w:t>
      </w:r>
      <w:proofErr w:type="spellEnd"/>
      <w:r w:rsidRPr="00D4590B">
        <w:rPr>
          <w:sz w:val="23"/>
          <w:szCs w:val="23"/>
          <w:lang w:bidi="he-IL"/>
        </w:rPr>
        <w:t xml:space="preserve"> paraphrase of the Midrash verbatim and—without the original Midrash at hand—mistakenly assumed that this next lemma was a part of the interpretation itself. In fact, however, it is abundantly clear that </w:t>
      </w:r>
      <w:r w:rsidRPr="00D4590B">
        <w:rPr>
          <w:rFonts w:hint="cs"/>
          <w:sz w:val="23"/>
          <w:szCs w:val="23"/>
          <w:rtl/>
          <w:lang w:bidi="he-IL"/>
        </w:rPr>
        <w:t>מלא רחב</w:t>
      </w:r>
      <w:r w:rsidRPr="00D4590B">
        <w:rPr>
          <w:sz w:val="23"/>
          <w:szCs w:val="23"/>
          <w:lang w:bidi="he-IL"/>
        </w:rPr>
        <w:t xml:space="preserve"> in Rashi should indeed not be a new lemma, and that Radak either copied from Rashi correctly—perhaps having checked the Midrash for verification of its intent—or reproduced the same line in the Midrash that </w:t>
      </w:r>
      <w:proofErr w:type="spellStart"/>
      <w:r w:rsidRPr="00D4590B">
        <w:rPr>
          <w:sz w:val="23"/>
          <w:szCs w:val="23"/>
          <w:lang w:bidi="he-IL"/>
        </w:rPr>
        <w:t>Rashi</w:t>
      </w:r>
      <w:proofErr w:type="spellEnd"/>
      <w:r w:rsidRPr="00D4590B">
        <w:rPr>
          <w:sz w:val="23"/>
          <w:szCs w:val="23"/>
          <w:lang w:bidi="he-IL"/>
        </w:rPr>
        <w:t xml:space="preserve"> did, a line that is not extant in our versions of the </w:t>
      </w:r>
      <w:proofErr w:type="spellStart"/>
      <w:r w:rsidRPr="00D4590B">
        <w:rPr>
          <w:sz w:val="23"/>
          <w:szCs w:val="23"/>
          <w:lang w:bidi="he-IL"/>
        </w:rPr>
        <w:t>Tanh</w:t>
      </w:r>
      <w:r w:rsidRPr="00D4590B">
        <w:rPr>
          <w:sz w:val="23"/>
          <w:szCs w:val="23"/>
          <w:lang w:bidi="he-IL"/>
        </w:rPr>
        <w:t>uma</w:t>
      </w:r>
      <w:proofErr w:type="spellEnd"/>
      <w:r w:rsidRPr="00D4590B">
        <w:rPr>
          <w:sz w:val="23"/>
          <w:szCs w:val="23"/>
          <w:lang w:bidi="he-IL"/>
        </w:rPr>
        <w:t xml:space="preserve">. For according to the printed texts of Rashi, his </w:t>
      </w:r>
      <w:proofErr w:type="spellStart"/>
      <w:r w:rsidRPr="00D4590B">
        <w:rPr>
          <w:sz w:val="23"/>
          <w:szCs w:val="23"/>
          <w:lang w:bidi="he-IL"/>
        </w:rPr>
        <w:t>midrashic</w:t>
      </w:r>
      <w:proofErr w:type="spellEnd"/>
      <w:r w:rsidRPr="00D4590B">
        <w:rPr>
          <w:sz w:val="23"/>
          <w:szCs w:val="23"/>
          <w:lang w:bidi="he-IL"/>
        </w:rPr>
        <w:t xml:space="preserve"> citation is not syntactically or substantively coherent, and his comment on </w:t>
      </w:r>
      <w:r w:rsidRPr="00D4590B">
        <w:rPr>
          <w:rFonts w:hint="cs"/>
          <w:sz w:val="23"/>
          <w:szCs w:val="23"/>
          <w:rtl/>
          <w:lang w:bidi="he-IL"/>
        </w:rPr>
        <w:t>מלא רחב</w:t>
      </w:r>
      <w:r w:rsidRPr="00D4590B">
        <w:rPr>
          <w:sz w:val="23"/>
          <w:szCs w:val="23"/>
          <w:lang w:bidi="he-IL"/>
        </w:rPr>
        <w:t xml:space="preserve"> is decidedly superfluous. Indeed, all manuscripts of Rashi on Isaiah that I have checked, including the four generally preferred by the editors of the recent </w:t>
      </w:r>
      <w:proofErr w:type="spellStart"/>
      <w:r w:rsidRPr="00D4590B">
        <w:rPr>
          <w:i/>
          <w:iCs/>
          <w:sz w:val="23"/>
          <w:szCs w:val="23"/>
          <w:lang w:bidi="he-IL"/>
        </w:rPr>
        <w:t>Haketer</w:t>
      </w:r>
      <w:proofErr w:type="spellEnd"/>
      <w:r w:rsidRPr="00D4590B">
        <w:rPr>
          <w:sz w:val="23"/>
          <w:szCs w:val="23"/>
          <w:lang w:bidi="he-IL"/>
        </w:rPr>
        <w:t xml:space="preserve"> edition (Ramat Gan: Bar-</w:t>
      </w:r>
      <w:proofErr w:type="spellStart"/>
      <w:r w:rsidRPr="00D4590B">
        <w:rPr>
          <w:sz w:val="23"/>
          <w:szCs w:val="23"/>
          <w:lang w:bidi="he-IL"/>
        </w:rPr>
        <w:t>Ilan</w:t>
      </w:r>
      <w:proofErr w:type="spellEnd"/>
      <w:r w:rsidRPr="00D4590B">
        <w:rPr>
          <w:sz w:val="23"/>
          <w:szCs w:val="23"/>
          <w:lang w:bidi="he-IL"/>
        </w:rPr>
        <w:t xml:space="preserve"> University, 1996), confirm that </w:t>
      </w:r>
      <w:proofErr w:type="spellStart"/>
      <w:r w:rsidRPr="00D4590B">
        <w:rPr>
          <w:sz w:val="23"/>
          <w:szCs w:val="23"/>
          <w:lang w:bidi="he-IL"/>
        </w:rPr>
        <w:t>Rashi’s</w:t>
      </w:r>
      <w:proofErr w:type="spellEnd"/>
      <w:r w:rsidRPr="00D4590B">
        <w:rPr>
          <w:sz w:val="23"/>
          <w:szCs w:val="23"/>
          <w:lang w:bidi="he-IL"/>
        </w:rPr>
        <w:t xml:space="preserve"> remarks comprise a single comment, and this is almost certainly the text of Rashi that Radak had before him. The presentation of </w:t>
      </w:r>
      <w:r w:rsidRPr="00D4590B">
        <w:rPr>
          <w:rFonts w:hint="cs"/>
          <w:sz w:val="23"/>
          <w:szCs w:val="23"/>
          <w:rtl/>
          <w:lang w:bidi="he-IL"/>
        </w:rPr>
        <w:t>מלא רחב</w:t>
      </w:r>
      <w:r w:rsidRPr="00D4590B">
        <w:rPr>
          <w:sz w:val="23"/>
          <w:szCs w:val="23"/>
          <w:lang w:bidi="he-IL"/>
        </w:rPr>
        <w:t xml:space="preserve"> as a separate lemma in the </w:t>
      </w:r>
      <w:proofErr w:type="spellStart"/>
      <w:r w:rsidRPr="00D4590B">
        <w:rPr>
          <w:i/>
          <w:iCs/>
          <w:sz w:val="23"/>
          <w:szCs w:val="23"/>
          <w:lang w:bidi="he-IL"/>
        </w:rPr>
        <w:t>Haketer</w:t>
      </w:r>
      <w:proofErr w:type="spellEnd"/>
      <w:r w:rsidRPr="00D4590B">
        <w:rPr>
          <w:sz w:val="23"/>
          <w:szCs w:val="23"/>
          <w:lang w:bidi="he-IL"/>
        </w:rPr>
        <w:t xml:space="preserve"> edition itself is undoubtedly an oversight. The need to combine the two comments in Rashi was noticed, without the benefit of manuscript evidence, by the editors of the </w:t>
      </w:r>
      <w:proofErr w:type="spellStart"/>
      <w:r w:rsidRPr="00D4590B">
        <w:rPr>
          <w:i/>
          <w:iCs/>
          <w:sz w:val="23"/>
          <w:szCs w:val="23"/>
          <w:lang w:bidi="he-IL"/>
        </w:rPr>
        <w:t>Ne</w:t>
      </w:r>
      <w:r w:rsidRPr="00D4590B">
        <w:rPr>
          <w:i/>
          <w:sz w:val="23"/>
          <w:szCs w:val="23"/>
          <w:lang w:bidi="he-IL"/>
        </w:rPr>
        <w:t>h</w:t>
      </w:r>
      <w:r w:rsidRPr="00D4590B">
        <w:rPr>
          <w:i/>
          <w:sz w:val="23"/>
          <w:szCs w:val="23"/>
          <w:lang w:bidi="he-IL"/>
        </w:rPr>
        <w:t>mad</w:t>
      </w:r>
      <w:proofErr w:type="spellEnd"/>
      <w:r w:rsidRPr="00D4590B">
        <w:rPr>
          <w:i/>
          <w:sz w:val="23"/>
          <w:szCs w:val="23"/>
          <w:lang w:bidi="he-IL"/>
        </w:rPr>
        <w:t xml:space="preserve"> le-</w:t>
      </w:r>
      <w:proofErr w:type="spellStart"/>
      <w:r w:rsidRPr="00D4590B">
        <w:rPr>
          <w:i/>
          <w:sz w:val="23"/>
          <w:szCs w:val="23"/>
          <w:lang w:bidi="he-IL"/>
        </w:rPr>
        <w:t>Mar’eh</w:t>
      </w:r>
      <w:proofErr w:type="spellEnd"/>
      <w:r w:rsidRPr="00D4590B">
        <w:rPr>
          <w:sz w:val="23"/>
          <w:szCs w:val="23"/>
          <w:lang w:bidi="he-IL"/>
        </w:rPr>
        <w:t xml:space="preserve"> Rabbinic Bible, </w:t>
      </w:r>
      <w:smartTag w:uri="urn:schemas-microsoft-com:office:smarttags" w:element="City">
        <w:smartTag w:uri="urn:schemas-microsoft-com:office:smarttags" w:element="place">
          <w:r w:rsidRPr="00D4590B">
            <w:rPr>
              <w:sz w:val="23"/>
              <w:szCs w:val="23"/>
              <w:lang w:bidi="he-IL"/>
            </w:rPr>
            <w:t>Jerusalem</w:t>
          </w:r>
        </w:smartTag>
      </w:smartTag>
      <w:r w:rsidRPr="00D4590B">
        <w:rPr>
          <w:sz w:val="23"/>
          <w:szCs w:val="23"/>
          <w:lang w:bidi="he-IL"/>
        </w:rPr>
        <w:t>, 1993.</w:t>
      </w:r>
    </w:p>
  </w:footnote>
  <w:footnote w:id="63">
    <w:p w:rsidR="00745007" w:rsidRPr="00D4590B" w:rsidRDefault="00745007" w:rsidP="005A6719">
      <w:pPr>
        <w:pStyle w:val="a3"/>
        <w:spacing w:line="270" w:lineRule="exact"/>
        <w:jc w:val="both"/>
        <w:rPr>
          <w:sz w:val="23"/>
          <w:szCs w:val="23"/>
          <w:lang w:bidi="he-IL"/>
        </w:rPr>
      </w:pPr>
      <w:r w:rsidRPr="00D4590B">
        <w:rPr>
          <w:rStyle w:val="a4"/>
          <w:sz w:val="23"/>
          <w:szCs w:val="23"/>
        </w:rPr>
        <w:footnoteRef/>
      </w:r>
      <w:r w:rsidRPr="00D4590B">
        <w:rPr>
          <w:sz w:val="23"/>
          <w:szCs w:val="23"/>
        </w:rPr>
        <w:t xml:space="preserve"> See Grunhaus, “Commentary on Proverbs,” 321 n. 53. In addition to the examples cited there, </w:t>
      </w:r>
      <w:r w:rsidRPr="00D4590B">
        <w:rPr>
          <w:sz w:val="23"/>
          <w:szCs w:val="23"/>
          <w:lang w:bidi="he-IL"/>
        </w:rPr>
        <w:t xml:space="preserve">in </w:t>
      </w:r>
      <w:proofErr w:type="spellStart"/>
      <w:r>
        <w:rPr>
          <w:sz w:val="23"/>
          <w:szCs w:val="23"/>
          <w:lang w:bidi="he-IL"/>
        </w:rPr>
        <w:t>Radak’s</w:t>
      </w:r>
      <w:proofErr w:type="spellEnd"/>
      <w:r w:rsidRPr="00D4590B">
        <w:rPr>
          <w:sz w:val="23"/>
          <w:szCs w:val="23"/>
          <w:lang w:bidi="he-IL"/>
        </w:rPr>
        <w:t xml:space="preserve"> introduction to his allegorical commentary on Genesis 2:7-5</w:t>
      </w:r>
      <w:r>
        <w:rPr>
          <w:sz w:val="23"/>
          <w:szCs w:val="23"/>
          <w:lang w:bidi="he-IL"/>
        </w:rPr>
        <w:t>:</w:t>
      </w:r>
      <w:r w:rsidRPr="00D4590B">
        <w:rPr>
          <w:sz w:val="23"/>
          <w:szCs w:val="23"/>
          <w:lang w:bidi="he-IL"/>
        </w:rPr>
        <w:t>1</w:t>
      </w:r>
      <w:r>
        <w:rPr>
          <w:sz w:val="23"/>
          <w:szCs w:val="23"/>
          <w:lang w:bidi="he-IL"/>
        </w:rPr>
        <w:t xml:space="preserve">, </w:t>
      </w:r>
      <w:r>
        <w:rPr>
          <w:sz w:val="23"/>
          <w:szCs w:val="23"/>
        </w:rPr>
        <w:t>when</w:t>
      </w:r>
      <w:r w:rsidRPr="00D4590B">
        <w:rPr>
          <w:sz w:val="23"/>
          <w:szCs w:val="23"/>
        </w:rPr>
        <w:t xml:space="preserve"> alluding to scientists, </w:t>
      </w:r>
      <w:r>
        <w:rPr>
          <w:sz w:val="23"/>
          <w:szCs w:val="23"/>
        </w:rPr>
        <w:t xml:space="preserve">he </w:t>
      </w:r>
      <w:r w:rsidRPr="00D4590B">
        <w:rPr>
          <w:sz w:val="23"/>
          <w:szCs w:val="23"/>
        </w:rPr>
        <w:t xml:space="preserve">makes several references to </w:t>
      </w:r>
      <w:r w:rsidRPr="00D4590B">
        <w:rPr>
          <w:rFonts w:hint="cs"/>
          <w:sz w:val="23"/>
          <w:szCs w:val="23"/>
          <w:rtl/>
          <w:lang w:bidi="he-IL"/>
        </w:rPr>
        <w:t>חכמים</w:t>
      </w:r>
      <w:r w:rsidRPr="00D4590B">
        <w:rPr>
          <w:sz w:val="23"/>
          <w:szCs w:val="23"/>
          <w:lang w:bidi="he-IL"/>
        </w:rPr>
        <w:t xml:space="preserve">, one to </w:t>
      </w:r>
      <w:r w:rsidRPr="00D4590B">
        <w:rPr>
          <w:rFonts w:hint="cs"/>
          <w:sz w:val="23"/>
          <w:szCs w:val="23"/>
          <w:rtl/>
          <w:lang w:bidi="he-IL"/>
        </w:rPr>
        <w:t>החכם</w:t>
      </w:r>
      <w:r w:rsidRPr="00D4590B">
        <w:rPr>
          <w:sz w:val="23"/>
          <w:szCs w:val="23"/>
          <w:lang w:bidi="he-IL"/>
        </w:rPr>
        <w:t xml:space="preserve">, and one to </w:t>
      </w:r>
      <w:r w:rsidRPr="00D4590B">
        <w:rPr>
          <w:rFonts w:hint="cs"/>
          <w:sz w:val="23"/>
          <w:szCs w:val="23"/>
          <w:rtl/>
          <w:lang w:bidi="he-IL"/>
        </w:rPr>
        <w:t>חכם אחד</w:t>
      </w:r>
      <w:r w:rsidRPr="00D4590B">
        <w:rPr>
          <w:sz w:val="23"/>
          <w:szCs w:val="23"/>
          <w:lang w:bidi="he-IL"/>
        </w:rPr>
        <w:t>, all without further specification</w:t>
      </w:r>
      <w:r>
        <w:rPr>
          <w:sz w:val="23"/>
          <w:szCs w:val="23"/>
          <w:lang w:bidi="he-IL"/>
        </w:rPr>
        <w:t>.</w:t>
      </w:r>
      <w:r w:rsidRPr="00D4590B">
        <w:rPr>
          <w:sz w:val="23"/>
          <w:szCs w:val="23"/>
          <w:lang w:bidi="he-IL"/>
        </w:rPr>
        <w:t xml:space="preserve"> See Hannah Kasher, “The Introduction Found in Manuscripts to R</w:t>
      </w:r>
      <w:r>
        <w:rPr>
          <w:sz w:val="23"/>
          <w:szCs w:val="23"/>
          <w:lang w:bidi="he-IL"/>
        </w:rPr>
        <w:t>adak’s Allegorical Commentary on</w:t>
      </w:r>
      <w:r w:rsidRPr="00D4590B">
        <w:rPr>
          <w:sz w:val="23"/>
          <w:szCs w:val="23"/>
          <w:lang w:bidi="he-IL"/>
        </w:rPr>
        <w:t xml:space="preserve"> the Creation Story” (Hebrew), </w:t>
      </w:r>
      <w:proofErr w:type="spellStart"/>
      <w:r w:rsidRPr="00D4590B">
        <w:rPr>
          <w:i/>
          <w:iCs/>
          <w:sz w:val="23"/>
          <w:szCs w:val="23"/>
          <w:lang w:bidi="he-IL"/>
        </w:rPr>
        <w:t>Kiryat</w:t>
      </w:r>
      <w:proofErr w:type="spellEnd"/>
      <w:r w:rsidRPr="00D4590B">
        <w:rPr>
          <w:i/>
          <w:iCs/>
          <w:sz w:val="23"/>
          <w:szCs w:val="23"/>
          <w:lang w:bidi="he-IL"/>
        </w:rPr>
        <w:t xml:space="preserve"> </w:t>
      </w:r>
      <w:proofErr w:type="spellStart"/>
      <w:r w:rsidRPr="00D4590B">
        <w:rPr>
          <w:i/>
          <w:iCs/>
          <w:sz w:val="23"/>
          <w:szCs w:val="23"/>
          <w:lang w:bidi="he-IL"/>
        </w:rPr>
        <w:t>Sefer</w:t>
      </w:r>
      <w:proofErr w:type="spellEnd"/>
      <w:r w:rsidRPr="00D4590B">
        <w:rPr>
          <w:sz w:val="23"/>
          <w:szCs w:val="23"/>
          <w:lang w:bidi="he-IL"/>
        </w:rPr>
        <w:t xml:space="preserve"> 62/3-4 (1998-99), 873-885. (Kasher demonstrates that the reference to </w:t>
      </w:r>
      <w:r w:rsidRPr="00D4590B">
        <w:rPr>
          <w:rFonts w:hint="cs"/>
          <w:sz w:val="23"/>
          <w:szCs w:val="23"/>
          <w:rtl/>
          <w:lang w:bidi="he-IL"/>
        </w:rPr>
        <w:t>החכם הגדול</w:t>
      </w:r>
      <w:r w:rsidRPr="00D4590B">
        <w:rPr>
          <w:sz w:val="23"/>
          <w:szCs w:val="23"/>
          <w:lang w:bidi="he-IL"/>
        </w:rPr>
        <w:t xml:space="preserve"> at the beginning of this introduction might well be of the pen of a student of Radak.)</w:t>
      </w:r>
    </w:p>
  </w:footnote>
  <w:footnote w:id="64">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Grunhaus, “Commentary on Proverbs,” 323-324.</w:t>
      </w:r>
    </w:p>
  </w:footnote>
  <w:footnote w:id="65">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Ibid., 316.</w:t>
      </w:r>
    </w:p>
  </w:footnote>
  <w:footnote w:id="66">
    <w:p w:rsidR="00745007" w:rsidRPr="00D4590B" w:rsidRDefault="00745007" w:rsidP="00D4590B">
      <w:pPr>
        <w:pStyle w:val="a3"/>
        <w:spacing w:line="270" w:lineRule="exact"/>
        <w:jc w:val="both"/>
        <w:rPr>
          <w:sz w:val="23"/>
          <w:szCs w:val="23"/>
          <w:lang w:bidi="he-IL"/>
        </w:rPr>
      </w:pPr>
      <w:r w:rsidRPr="00D4590B">
        <w:rPr>
          <w:rStyle w:val="a4"/>
          <w:sz w:val="23"/>
          <w:szCs w:val="23"/>
        </w:rPr>
        <w:footnoteRef/>
      </w:r>
      <w:r w:rsidRPr="00D4590B">
        <w:rPr>
          <w:sz w:val="23"/>
          <w:szCs w:val="23"/>
        </w:rPr>
        <w:t xml:space="preserve"> The phrase </w:t>
      </w:r>
      <w:r w:rsidRPr="00D4590B">
        <w:rPr>
          <w:rFonts w:hint="cs"/>
          <w:sz w:val="23"/>
          <w:szCs w:val="23"/>
          <w:rtl/>
          <w:lang w:bidi="he-IL"/>
        </w:rPr>
        <w:t>עומד במקום שנים</w:t>
      </w:r>
      <w:r w:rsidRPr="00D4590B">
        <w:rPr>
          <w:sz w:val="23"/>
          <w:szCs w:val="23"/>
          <w:lang w:bidi="he-IL"/>
        </w:rPr>
        <w:t xml:space="preserve"> appears over sixty times in Radak’s commentaries. </w:t>
      </w:r>
      <w:r w:rsidRPr="00D4590B">
        <w:rPr>
          <w:sz w:val="23"/>
          <w:szCs w:val="23"/>
        </w:rPr>
        <w:t xml:space="preserve">The phrase </w:t>
      </w:r>
      <w:r w:rsidRPr="00D4590B">
        <w:rPr>
          <w:rFonts w:hint="cs"/>
          <w:sz w:val="23"/>
          <w:szCs w:val="23"/>
          <w:rtl/>
          <w:lang w:bidi="he-IL"/>
        </w:rPr>
        <w:t>מושך עצמו ואחר עמו</w:t>
      </w:r>
      <w:r w:rsidRPr="00D4590B">
        <w:rPr>
          <w:sz w:val="23"/>
          <w:szCs w:val="23"/>
          <w:lang w:bidi="he-IL"/>
        </w:rPr>
        <w:t xml:space="preserve"> </w:t>
      </w:r>
      <w:r w:rsidRPr="00D4590B">
        <w:rPr>
          <w:sz w:val="23"/>
          <w:szCs w:val="23"/>
        </w:rPr>
        <w:t xml:space="preserve">appears in the glossary of Radak’s terminology in the standard edition of </w:t>
      </w:r>
      <w:r w:rsidRPr="00D4590B">
        <w:rPr>
          <w:i/>
          <w:iCs/>
          <w:sz w:val="23"/>
          <w:szCs w:val="23"/>
        </w:rPr>
        <w:t>Shorashim</w:t>
      </w:r>
      <w:r w:rsidRPr="00D4590B">
        <w:rPr>
          <w:sz w:val="23"/>
          <w:szCs w:val="23"/>
        </w:rPr>
        <w:t xml:space="preserve">, but I have not located it within the work itself. Melamed, in volume 2 of </w:t>
      </w:r>
      <w:r w:rsidRPr="00D4590B">
        <w:rPr>
          <w:i/>
          <w:iCs/>
          <w:sz w:val="23"/>
          <w:szCs w:val="23"/>
        </w:rPr>
        <w:t>Bible Commentators</w:t>
      </w:r>
      <w:r w:rsidRPr="00D4590B">
        <w:rPr>
          <w:sz w:val="23"/>
          <w:szCs w:val="23"/>
        </w:rPr>
        <w:t xml:space="preserve">, 846, mentions the appearance of this phrase in Radak at Genesis 1:10 and expresses skepticism of its authenticity. Melamed, however, was unwittingly referring to a line from </w:t>
      </w:r>
      <w:proofErr w:type="spellStart"/>
      <w:r w:rsidRPr="00D4590B">
        <w:rPr>
          <w:i/>
          <w:iCs/>
          <w:sz w:val="23"/>
          <w:szCs w:val="23"/>
        </w:rPr>
        <w:t>Mikhlal</w:t>
      </w:r>
      <w:proofErr w:type="spellEnd"/>
      <w:r w:rsidRPr="00D4590B">
        <w:rPr>
          <w:i/>
          <w:iCs/>
          <w:sz w:val="23"/>
          <w:szCs w:val="23"/>
        </w:rPr>
        <w:t xml:space="preserve"> </w:t>
      </w:r>
      <w:proofErr w:type="spellStart"/>
      <w:r w:rsidRPr="00D4590B">
        <w:rPr>
          <w:i/>
          <w:iCs/>
          <w:sz w:val="23"/>
          <w:szCs w:val="23"/>
        </w:rPr>
        <w:t>Yofi</w:t>
      </w:r>
      <w:proofErr w:type="spellEnd"/>
      <w:r w:rsidRPr="00D4590B">
        <w:rPr>
          <w:sz w:val="23"/>
          <w:szCs w:val="23"/>
        </w:rPr>
        <w:t xml:space="preserve"> that was incorporated into Abraham Ginzburg’s 1842 edition of Radak on Genesis (</w:t>
      </w:r>
      <w:proofErr w:type="spellStart"/>
      <w:r w:rsidRPr="00D4590B">
        <w:rPr>
          <w:sz w:val="23"/>
          <w:szCs w:val="23"/>
        </w:rPr>
        <w:t>repr</w:t>
      </w:r>
      <w:proofErr w:type="spellEnd"/>
      <w:r w:rsidRPr="00D4590B">
        <w:rPr>
          <w:sz w:val="23"/>
          <w:szCs w:val="23"/>
        </w:rPr>
        <w:t xml:space="preserve">. </w:t>
      </w:r>
      <w:smartTag w:uri="urn:schemas-microsoft-com:office:smarttags" w:element="City">
        <w:smartTag w:uri="urn:schemas-microsoft-com:office:smarttags" w:element="place">
          <w:r w:rsidRPr="00D4590B">
            <w:rPr>
              <w:sz w:val="23"/>
              <w:szCs w:val="23"/>
            </w:rPr>
            <w:t>Jerusalem</w:t>
          </w:r>
        </w:smartTag>
      </w:smartTag>
      <w:r w:rsidRPr="00D4590B">
        <w:rPr>
          <w:sz w:val="23"/>
          <w:szCs w:val="23"/>
        </w:rPr>
        <w:t>, 1967).</w:t>
      </w:r>
    </w:p>
  </w:footnote>
  <w:footnote w:id="67">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See, for example, at 7:8.</w:t>
      </w:r>
    </w:p>
  </w:footnote>
  <w:footnote w:id="68">
    <w:p w:rsidR="00745007" w:rsidRPr="00D4590B" w:rsidRDefault="00745007" w:rsidP="00D4590B">
      <w:pPr>
        <w:pStyle w:val="a3"/>
        <w:spacing w:line="270" w:lineRule="exact"/>
        <w:jc w:val="both"/>
        <w:rPr>
          <w:rFonts w:hint="cs"/>
          <w:sz w:val="23"/>
          <w:szCs w:val="23"/>
          <w:rtl/>
          <w:lang w:bidi="he-IL"/>
        </w:rPr>
      </w:pPr>
      <w:r w:rsidRPr="00D4590B">
        <w:rPr>
          <w:rStyle w:val="a4"/>
          <w:sz w:val="23"/>
          <w:szCs w:val="23"/>
        </w:rPr>
        <w:footnoteRef/>
      </w:r>
      <w:r w:rsidRPr="00D4590B">
        <w:rPr>
          <w:sz w:val="23"/>
          <w:szCs w:val="23"/>
        </w:rPr>
        <w:t xml:space="preserve"> In a footnote, Grunhaus mentions the phrase </w:t>
      </w:r>
      <w:r w:rsidRPr="00D4590B">
        <w:rPr>
          <w:rFonts w:hint="cs"/>
          <w:sz w:val="23"/>
          <w:szCs w:val="23"/>
          <w:rtl/>
          <w:lang w:bidi="he-IL"/>
        </w:rPr>
        <w:t>כבר פירשתי אותו</w:t>
      </w:r>
      <w:r w:rsidRPr="00D4590B">
        <w:rPr>
          <w:sz w:val="23"/>
          <w:szCs w:val="23"/>
          <w:lang w:bidi="he-IL"/>
        </w:rPr>
        <w:t xml:space="preserve"> at </w:t>
      </w:r>
      <w:smartTag w:uri="urn:schemas-microsoft-com:office:smarttags" w:element="time">
        <w:smartTagPr>
          <w:attr w:name="Minute" w:val="25"/>
          <w:attr w:name="Hour" w:val="16"/>
        </w:smartTagPr>
        <w:r w:rsidRPr="00D4590B">
          <w:rPr>
            <w:sz w:val="23"/>
            <w:szCs w:val="23"/>
            <w:lang w:bidi="he-IL"/>
          </w:rPr>
          <w:t>16:25</w:t>
        </w:r>
      </w:smartTag>
      <w:r w:rsidRPr="00D4590B">
        <w:rPr>
          <w:sz w:val="23"/>
          <w:szCs w:val="23"/>
          <w:lang w:bidi="he-IL"/>
        </w:rPr>
        <w:t xml:space="preserve">, noting that Radak “regularly uses the smoother </w:t>
      </w:r>
      <w:r w:rsidRPr="00D4590B">
        <w:rPr>
          <w:rFonts w:hint="cs"/>
          <w:sz w:val="23"/>
          <w:szCs w:val="23"/>
          <w:rtl/>
          <w:lang w:bidi="he-IL"/>
        </w:rPr>
        <w:t>כבר פירשתיו</w:t>
      </w:r>
      <w:r w:rsidRPr="00D4590B">
        <w:rPr>
          <w:sz w:val="23"/>
          <w:szCs w:val="23"/>
          <w:lang w:bidi="he-IL"/>
        </w:rPr>
        <w:t xml:space="preserve">.” A search produces just two instances of </w:t>
      </w:r>
      <w:r w:rsidRPr="00D4590B">
        <w:rPr>
          <w:rFonts w:hint="cs"/>
          <w:sz w:val="23"/>
          <w:szCs w:val="23"/>
          <w:rtl/>
          <w:lang w:bidi="he-IL"/>
        </w:rPr>
        <w:t>כבר פירשתיו</w:t>
      </w:r>
      <w:r w:rsidRPr="00D4590B">
        <w:rPr>
          <w:sz w:val="23"/>
          <w:szCs w:val="23"/>
          <w:lang w:bidi="he-IL"/>
        </w:rPr>
        <w:t xml:space="preserve"> in Radak.</w:t>
      </w:r>
    </w:p>
  </w:footnote>
  <w:footnote w:id="69">
    <w:p w:rsidR="00745007" w:rsidRPr="00D4590B" w:rsidRDefault="00745007" w:rsidP="00D4590B">
      <w:pPr>
        <w:pStyle w:val="a3"/>
        <w:spacing w:line="270" w:lineRule="exact"/>
        <w:jc w:val="both"/>
        <w:rPr>
          <w:sz w:val="23"/>
          <w:szCs w:val="23"/>
          <w:lang w:bidi="he-IL"/>
        </w:rPr>
      </w:pPr>
      <w:r w:rsidRPr="00D4590B">
        <w:rPr>
          <w:rStyle w:val="a4"/>
          <w:sz w:val="23"/>
          <w:szCs w:val="23"/>
        </w:rPr>
        <w:footnoteRef/>
      </w:r>
      <w:r w:rsidRPr="00D4590B">
        <w:rPr>
          <w:sz w:val="23"/>
          <w:szCs w:val="23"/>
        </w:rPr>
        <w:t xml:space="preserve"> Grunhaus, in a footnote in her conclusion (“Commentary on Proverbs,” 327 n. 74), adds that the additional phrase </w:t>
      </w:r>
      <w:r w:rsidRPr="00D4590B">
        <w:rPr>
          <w:rFonts w:hint="cs"/>
          <w:sz w:val="23"/>
          <w:szCs w:val="23"/>
          <w:rtl/>
          <w:lang w:bidi="he-IL"/>
        </w:rPr>
        <w:t>דרך דוגמא</w:t>
      </w:r>
      <w:r w:rsidRPr="00D4590B">
        <w:rPr>
          <w:sz w:val="23"/>
          <w:szCs w:val="23"/>
          <w:lang w:bidi="he-IL"/>
        </w:rPr>
        <w:t>, which also appears just one time (at 8:30-31), is not found in Radak, and speculates that this occurrence owes to the influence of Rashi on the commentary’s author.</w:t>
      </w:r>
    </w:p>
  </w:footnote>
  <w:footnote w:id="70">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That introduction too is written largely in straight prose, but with an occasional poetic flair. For example, concerning the need to put one’s contribution into writing, Radak poetically avers that had the Sages not recorded their words, </w:t>
      </w:r>
      <w:r w:rsidRPr="00D4590B">
        <w:rPr>
          <w:rFonts w:hint="cs"/>
          <w:sz w:val="23"/>
          <w:szCs w:val="23"/>
          <w:rtl/>
          <w:lang w:bidi="he-IL"/>
        </w:rPr>
        <w:t>כבר אבדו החכמות, וספו המזמות, ובטלו התורות והמצות</w:t>
      </w:r>
      <w:r w:rsidRPr="00D4590B">
        <w:rPr>
          <w:sz w:val="23"/>
          <w:szCs w:val="23"/>
          <w:lang w:bidi="he-IL"/>
        </w:rPr>
        <w:t>.</w:t>
      </w:r>
    </w:p>
  </w:footnote>
  <w:footnote w:id="71">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See, for example, at </w:t>
      </w:r>
      <w:smartTag w:uri="urn:schemas-microsoft-com:office:smarttags" w:element="time">
        <w:smartTagPr>
          <w:attr w:name="Minute" w:val="21"/>
          <w:attr w:name="Hour" w:val="3"/>
        </w:smartTagPr>
        <w:r w:rsidRPr="00D4590B">
          <w:rPr>
            <w:sz w:val="23"/>
            <w:szCs w:val="23"/>
          </w:rPr>
          <w:t>3:21</w:t>
        </w:r>
      </w:smartTag>
      <w:r w:rsidRPr="00D4590B">
        <w:rPr>
          <w:sz w:val="23"/>
          <w:szCs w:val="23"/>
        </w:rPr>
        <w:t xml:space="preserve">. Grunhaus only acknowledges Radak’s other term for this, </w:t>
      </w:r>
      <w:r w:rsidRPr="00D4590B">
        <w:rPr>
          <w:rFonts w:hint="cs"/>
          <w:sz w:val="23"/>
          <w:szCs w:val="23"/>
          <w:rtl/>
          <w:lang w:bidi="he-IL"/>
        </w:rPr>
        <w:t>דרך קצרה</w:t>
      </w:r>
      <w:r w:rsidRPr="00D4590B">
        <w:rPr>
          <w:sz w:val="23"/>
          <w:szCs w:val="23"/>
          <w:lang w:bidi="he-IL"/>
        </w:rPr>
        <w:t>, which indeed does not appear in the Proverbs commentary.</w:t>
      </w:r>
    </w:p>
  </w:footnote>
  <w:footnote w:id="72">
    <w:p w:rsidR="00745007" w:rsidRPr="00D4590B" w:rsidRDefault="00745007" w:rsidP="00705F1F">
      <w:pPr>
        <w:pStyle w:val="a3"/>
        <w:spacing w:line="270" w:lineRule="exact"/>
        <w:jc w:val="both"/>
        <w:rPr>
          <w:sz w:val="23"/>
          <w:szCs w:val="23"/>
        </w:rPr>
      </w:pPr>
      <w:r w:rsidRPr="00D4590B">
        <w:rPr>
          <w:rStyle w:val="a4"/>
          <w:sz w:val="23"/>
          <w:szCs w:val="23"/>
        </w:rPr>
        <w:footnoteRef/>
      </w:r>
      <w:r w:rsidRPr="00D4590B">
        <w:rPr>
          <w:sz w:val="23"/>
          <w:szCs w:val="23"/>
        </w:rPr>
        <w:t xml:space="preserve"> See </w:t>
      </w:r>
      <w:proofErr w:type="spellStart"/>
      <w:r w:rsidRPr="00D4590B">
        <w:rPr>
          <w:sz w:val="23"/>
          <w:szCs w:val="23"/>
        </w:rPr>
        <w:t>Radak</w:t>
      </w:r>
      <w:proofErr w:type="spellEnd"/>
      <w:r w:rsidRPr="00D4590B">
        <w:rPr>
          <w:sz w:val="23"/>
          <w:szCs w:val="23"/>
        </w:rPr>
        <w:t xml:space="preserve"> at Ezekiel 32:21, where he employs </w:t>
      </w:r>
      <w:r w:rsidRPr="00D4590B">
        <w:rPr>
          <w:rFonts w:hint="cs"/>
          <w:sz w:val="23"/>
          <w:szCs w:val="23"/>
          <w:rtl/>
          <w:lang w:bidi="he-IL"/>
        </w:rPr>
        <w:t>סמך על המבין</w:t>
      </w:r>
      <w:r w:rsidRPr="00D4590B">
        <w:rPr>
          <w:sz w:val="23"/>
          <w:szCs w:val="23"/>
          <w:lang w:bidi="he-IL"/>
        </w:rPr>
        <w:t xml:space="preserve"> </w:t>
      </w:r>
      <w:r>
        <w:rPr>
          <w:sz w:val="23"/>
          <w:szCs w:val="23"/>
        </w:rPr>
        <w:t>when</w:t>
      </w:r>
      <w:r w:rsidRPr="00D4590B">
        <w:rPr>
          <w:sz w:val="23"/>
          <w:szCs w:val="23"/>
        </w:rPr>
        <w:t xml:space="preserve"> refer</w:t>
      </w:r>
      <w:r>
        <w:rPr>
          <w:sz w:val="23"/>
          <w:szCs w:val="23"/>
        </w:rPr>
        <w:t xml:space="preserve">ring </w:t>
      </w:r>
      <w:r w:rsidRPr="00D4590B">
        <w:rPr>
          <w:sz w:val="23"/>
          <w:szCs w:val="23"/>
        </w:rPr>
        <w:t xml:space="preserve">to the prophet’s rather oblique reference to a stinging greeting bestowed upon a newcomer to </w:t>
      </w:r>
      <w:proofErr w:type="spellStart"/>
      <w:r w:rsidRPr="00D4590B">
        <w:rPr>
          <w:sz w:val="23"/>
          <w:szCs w:val="23"/>
        </w:rPr>
        <w:t>Sheol</w:t>
      </w:r>
      <w:proofErr w:type="spellEnd"/>
      <w:r w:rsidRPr="00D4590B">
        <w:rPr>
          <w:sz w:val="23"/>
          <w:szCs w:val="23"/>
        </w:rPr>
        <w:t xml:space="preserve">. There </w:t>
      </w:r>
      <w:proofErr w:type="spellStart"/>
      <w:r w:rsidRPr="00D4590B">
        <w:rPr>
          <w:sz w:val="23"/>
          <w:szCs w:val="23"/>
        </w:rPr>
        <w:t>Radak</w:t>
      </w:r>
      <w:proofErr w:type="spellEnd"/>
      <w:r w:rsidRPr="00D4590B">
        <w:rPr>
          <w:sz w:val="23"/>
          <w:szCs w:val="23"/>
        </w:rPr>
        <w:t xml:space="preserve"> cites a parallel prophetic image in Isaiah, but it is far from clear that this is intended to address how the enigmatic formulation in Ezekiel is justified.</w:t>
      </w:r>
    </w:p>
  </w:footnote>
  <w:footnote w:id="73">
    <w:p w:rsidR="00745007" w:rsidRPr="00D4590B" w:rsidRDefault="00745007" w:rsidP="00D4590B">
      <w:pPr>
        <w:pStyle w:val="a3"/>
        <w:spacing w:line="270" w:lineRule="exact"/>
        <w:jc w:val="both"/>
        <w:rPr>
          <w:sz w:val="23"/>
          <w:szCs w:val="23"/>
          <w:lang w:bidi="he-IL"/>
        </w:rPr>
      </w:pPr>
      <w:r w:rsidRPr="00D4590B">
        <w:rPr>
          <w:rStyle w:val="a4"/>
          <w:sz w:val="23"/>
          <w:szCs w:val="23"/>
        </w:rPr>
        <w:footnoteRef/>
      </w:r>
      <w:r w:rsidRPr="00D4590B">
        <w:rPr>
          <w:sz w:val="23"/>
          <w:szCs w:val="23"/>
        </w:rPr>
        <w:t xml:space="preserve"> The same restrained style accounts for the common appearance of the phrase </w:t>
      </w:r>
      <w:r w:rsidRPr="00D4590B">
        <w:rPr>
          <w:rFonts w:hint="cs"/>
          <w:sz w:val="23"/>
          <w:szCs w:val="23"/>
          <w:rtl/>
          <w:lang w:bidi="he-IL"/>
        </w:rPr>
        <w:t>כפל לשון</w:t>
      </w:r>
      <w:r w:rsidRPr="00D4590B">
        <w:rPr>
          <w:sz w:val="23"/>
          <w:szCs w:val="23"/>
          <w:lang w:bidi="he-IL"/>
        </w:rPr>
        <w:t xml:space="preserve"> (“double language”) without further elaboration, which, as Grunhaus points out (“Commentary on Proverbs,” 313 n. 16), appears less frequently in Radak’s works generally. On the other hand, see below concerning several phrases in the commentary relating to doubled language that are especially consistent with Radak’s terminology. Compare also below, n. 7</w:t>
      </w:r>
      <w:r>
        <w:rPr>
          <w:sz w:val="23"/>
          <w:szCs w:val="23"/>
          <w:lang w:bidi="he-IL"/>
        </w:rPr>
        <w:t>8</w:t>
      </w:r>
      <w:r w:rsidRPr="00D4590B">
        <w:rPr>
          <w:sz w:val="23"/>
          <w:szCs w:val="23"/>
          <w:lang w:bidi="he-IL"/>
        </w:rPr>
        <w:t xml:space="preserve">, concerning the terse phrase </w:t>
      </w:r>
      <w:r w:rsidRPr="00D4590B">
        <w:rPr>
          <w:rFonts w:hint="cs"/>
          <w:sz w:val="23"/>
          <w:szCs w:val="23"/>
          <w:rtl/>
          <w:lang w:bidi="he-IL"/>
        </w:rPr>
        <w:t>כפל ואמר</w:t>
      </w:r>
      <w:r w:rsidRPr="00D4590B">
        <w:rPr>
          <w:sz w:val="23"/>
          <w:szCs w:val="23"/>
          <w:lang w:bidi="he-IL"/>
        </w:rPr>
        <w:t xml:space="preserve">: this phrase appears in the Proverbs commentary with far greater frequency than elsewhere in Radak, where he prefers more expansive formulations like </w:t>
      </w:r>
      <w:r w:rsidRPr="00D4590B">
        <w:rPr>
          <w:rFonts w:hint="cs"/>
          <w:sz w:val="23"/>
          <w:szCs w:val="23"/>
          <w:rtl/>
          <w:lang w:bidi="he-IL"/>
        </w:rPr>
        <w:t>כפל הענין במלים שונות ואמר</w:t>
      </w:r>
      <w:r w:rsidRPr="00D4590B">
        <w:rPr>
          <w:sz w:val="23"/>
          <w:szCs w:val="23"/>
          <w:lang w:bidi="he-IL"/>
        </w:rPr>
        <w:t>.</w:t>
      </w:r>
    </w:p>
  </w:footnote>
  <w:footnote w:id="74">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For all such tallies, I utilized the invaluable database of the </w:t>
      </w:r>
      <w:proofErr w:type="spellStart"/>
      <w:r w:rsidRPr="00D4590B">
        <w:rPr>
          <w:i/>
          <w:iCs/>
          <w:sz w:val="23"/>
          <w:szCs w:val="23"/>
        </w:rPr>
        <w:t>Haketer</w:t>
      </w:r>
      <w:proofErr w:type="spellEnd"/>
      <w:r w:rsidRPr="00D4590B">
        <w:rPr>
          <w:sz w:val="23"/>
          <w:szCs w:val="23"/>
        </w:rPr>
        <w:t xml:space="preserve"> Rabbinic Bible. I thank Prof. Menachem Cohen for making this available to me. Other databases do not include Radak on Genesis or Proverbs. Note that I was careful to check for alternative spellings, and for appearances of words both with and without prefixes. It will be necessary to do the same in order to duplicate our results. </w:t>
      </w:r>
    </w:p>
  </w:footnote>
  <w:footnote w:id="75">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Grunhaus, “Commentary on Proverbs,” 316.</w:t>
      </w:r>
    </w:p>
  </w:footnote>
  <w:footnote w:id="76">
    <w:p w:rsidR="00745007" w:rsidRPr="00D4590B" w:rsidRDefault="00745007" w:rsidP="00D4590B">
      <w:pPr>
        <w:pStyle w:val="a3"/>
        <w:spacing w:line="270" w:lineRule="exact"/>
        <w:jc w:val="both"/>
        <w:rPr>
          <w:sz w:val="23"/>
          <w:szCs w:val="23"/>
          <w:lang w:bidi="he-IL"/>
        </w:rPr>
      </w:pPr>
      <w:r w:rsidRPr="00D4590B">
        <w:rPr>
          <w:rStyle w:val="a4"/>
          <w:sz w:val="23"/>
          <w:szCs w:val="23"/>
        </w:rPr>
        <w:footnoteRef/>
      </w:r>
      <w:r w:rsidRPr="00D4590B">
        <w:rPr>
          <w:sz w:val="23"/>
          <w:szCs w:val="23"/>
        </w:rPr>
        <w:t xml:space="preserve"> </w:t>
      </w:r>
      <w:r w:rsidRPr="00D4590B">
        <w:rPr>
          <w:rFonts w:hint="cs"/>
          <w:sz w:val="23"/>
          <w:szCs w:val="23"/>
          <w:rtl/>
          <w:lang w:bidi="he-IL"/>
        </w:rPr>
        <w:t>דרך משל</w:t>
      </w:r>
      <w:r w:rsidRPr="00D4590B">
        <w:rPr>
          <w:sz w:val="23"/>
          <w:szCs w:val="23"/>
          <w:lang w:bidi="he-IL"/>
        </w:rPr>
        <w:t xml:space="preserve"> appears 386 times in Radak, including 19 in the Proverbs commentary. See, for example, at 1:9.</w:t>
      </w:r>
    </w:p>
  </w:footnote>
  <w:footnote w:id="77">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See, for example, at Proverbs 1:8. On </w:t>
      </w:r>
      <w:proofErr w:type="spellStart"/>
      <w:r w:rsidRPr="00D4590B">
        <w:rPr>
          <w:sz w:val="23"/>
          <w:szCs w:val="23"/>
        </w:rPr>
        <w:t>Radak’s</w:t>
      </w:r>
      <w:proofErr w:type="spellEnd"/>
      <w:r w:rsidRPr="00D4590B">
        <w:rPr>
          <w:sz w:val="23"/>
          <w:szCs w:val="23"/>
        </w:rPr>
        <w:t xml:space="preserve"> use of this formula elsewhere, see Cohen, </w:t>
      </w:r>
      <w:r w:rsidRPr="00D4590B">
        <w:rPr>
          <w:i/>
          <w:iCs/>
          <w:sz w:val="23"/>
          <w:szCs w:val="23"/>
        </w:rPr>
        <w:t>Three Approaches</w:t>
      </w:r>
      <w:r w:rsidRPr="00D4590B">
        <w:rPr>
          <w:sz w:val="23"/>
          <w:szCs w:val="23"/>
        </w:rPr>
        <w:t>, 146-147 and n. 37, and 165 n. 104.</w:t>
      </w:r>
    </w:p>
  </w:footnote>
  <w:footnote w:id="78">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See Rashi and our commentary at 1:6. </w:t>
      </w:r>
      <w:r w:rsidRPr="00D4590B">
        <w:rPr>
          <w:sz w:val="23"/>
          <w:szCs w:val="23"/>
          <w:lang w:bidi="he-IL"/>
        </w:rPr>
        <w:t xml:space="preserve">Indeed, Cohen, </w:t>
      </w:r>
      <w:r w:rsidRPr="00D4590B">
        <w:rPr>
          <w:i/>
          <w:iCs/>
          <w:sz w:val="23"/>
          <w:szCs w:val="23"/>
        </w:rPr>
        <w:t>Three Approaches</w:t>
      </w:r>
      <w:r w:rsidRPr="00D4590B">
        <w:rPr>
          <w:sz w:val="23"/>
          <w:szCs w:val="23"/>
        </w:rPr>
        <w:t>, 147 n. 41,</w:t>
      </w:r>
      <w:r w:rsidRPr="00D4590B">
        <w:rPr>
          <w:sz w:val="23"/>
          <w:szCs w:val="23"/>
          <w:lang w:bidi="he-IL"/>
        </w:rPr>
        <w:t xml:space="preserve"> in the context of his analysis of Radak’s use of these terms, expresses his disinclination to reject Radak’s authorship of the Proverbs commentary, citing the discussion that </w:t>
      </w:r>
      <w:r w:rsidRPr="00D4590B">
        <w:rPr>
          <w:sz w:val="23"/>
          <w:szCs w:val="23"/>
        </w:rPr>
        <w:t>appeared in my dissertation.</w:t>
      </w:r>
    </w:p>
  </w:footnote>
  <w:footnote w:id="79">
    <w:p w:rsidR="00745007" w:rsidRPr="00D4590B" w:rsidRDefault="00745007" w:rsidP="00CA10C2">
      <w:pPr>
        <w:pStyle w:val="a3"/>
        <w:spacing w:line="270" w:lineRule="exact"/>
        <w:jc w:val="both"/>
        <w:rPr>
          <w:sz w:val="23"/>
          <w:szCs w:val="23"/>
        </w:rPr>
      </w:pPr>
      <w:r w:rsidRPr="00D4590B">
        <w:rPr>
          <w:rStyle w:val="a4"/>
          <w:sz w:val="23"/>
          <w:szCs w:val="23"/>
        </w:rPr>
        <w:footnoteRef/>
      </w:r>
      <w:r w:rsidRPr="00D4590B">
        <w:rPr>
          <w:sz w:val="23"/>
          <w:szCs w:val="23"/>
        </w:rPr>
        <w:t xml:space="preserve"> In the case of some of the grammatical terminology, I occasionally have found similar expressions in medieval philological works, but this softens the force of the total picture only mildly.</w:t>
      </w:r>
    </w:p>
  </w:footnote>
  <w:footnote w:id="80">
    <w:p w:rsidR="00745007" w:rsidRPr="00D4590B" w:rsidRDefault="00745007" w:rsidP="00CA10C2">
      <w:pPr>
        <w:pStyle w:val="a3"/>
        <w:spacing w:line="270" w:lineRule="exact"/>
        <w:jc w:val="both"/>
        <w:rPr>
          <w:sz w:val="23"/>
          <w:szCs w:val="23"/>
          <w:lang w:bidi="he-IL"/>
        </w:rPr>
      </w:pPr>
      <w:r w:rsidRPr="00D4590B">
        <w:rPr>
          <w:rStyle w:val="a4"/>
          <w:sz w:val="23"/>
          <w:szCs w:val="23"/>
        </w:rPr>
        <w:footnoteRef/>
      </w:r>
      <w:r w:rsidRPr="00D4590B">
        <w:rPr>
          <w:sz w:val="23"/>
          <w:szCs w:val="23"/>
        </w:rPr>
        <w:t xml:space="preserve"> </w:t>
      </w:r>
      <w:r w:rsidRPr="00D4590B">
        <w:rPr>
          <w:rFonts w:hint="cs"/>
          <w:sz w:val="23"/>
          <w:szCs w:val="23"/>
          <w:rtl/>
          <w:lang w:bidi="he-IL"/>
        </w:rPr>
        <w:t>חסר בי"ת השמוש</w:t>
      </w:r>
      <w:r w:rsidRPr="00D4590B">
        <w:rPr>
          <w:sz w:val="23"/>
          <w:szCs w:val="23"/>
        </w:rPr>
        <w:t xml:space="preserve"> appears twenty-one times in Radak, twice in the Proverbs commentary (at 3:10 and 3:23), and among no other commentators. </w:t>
      </w:r>
      <w:r w:rsidRPr="00D4590B">
        <w:rPr>
          <w:rFonts w:hint="cs"/>
          <w:sz w:val="23"/>
          <w:szCs w:val="23"/>
          <w:rtl/>
          <w:lang w:bidi="he-IL"/>
        </w:rPr>
        <w:t>חסר כ"ף הדמיון</w:t>
      </w:r>
      <w:r w:rsidRPr="00D4590B">
        <w:rPr>
          <w:sz w:val="23"/>
          <w:szCs w:val="23"/>
          <w:lang w:bidi="he-IL"/>
        </w:rPr>
        <w:t xml:space="preserve"> appears eleven times in Radak, including twice in our commentary (at 3:18 and 20:5), and appears a total of just five other times among three other commentators. </w:t>
      </w:r>
      <w:r w:rsidRPr="00D4590B">
        <w:rPr>
          <w:rFonts w:hint="cs"/>
          <w:sz w:val="23"/>
          <w:szCs w:val="23"/>
          <w:rtl/>
          <w:lang w:bidi="he-IL"/>
        </w:rPr>
        <w:t>כמו הפוך</w:t>
      </w:r>
      <w:r w:rsidRPr="00D4590B">
        <w:rPr>
          <w:sz w:val="23"/>
          <w:szCs w:val="23"/>
          <w:lang w:bidi="he-IL"/>
        </w:rPr>
        <w:t xml:space="preserve"> appears forty-three times in Radak, including three times in our commentary (at 3:26, 7:22, and 19:6), and appears just four other times among two other exegetes. (With the word </w:t>
      </w:r>
      <w:r w:rsidRPr="00D4590B">
        <w:rPr>
          <w:rFonts w:hint="cs"/>
          <w:sz w:val="23"/>
          <w:szCs w:val="23"/>
          <w:rtl/>
          <w:lang w:bidi="he-IL"/>
        </w:rPr>
        <w:t>פירושו</w:t>
      </w:r>
      <w:r w:rsidRPr="00D4590B">
        <w:rPr>
          <w:sz w:val="23"/>
          <w:szCs w:val="23"/>
          <w:lang w:bidi="he-IL"/>
        </w:rPr>
        <w:t xml:space="preserve">, the phrase appears six times in Radak, including once in our work [at 19:6], and among no other commentators.) </w:t>
      </w:r>
      <w:r w:rsidRPr="00D4590B">
        <w:rPr>
          <w:rFonts w:hint="cs"/>
          <w:sz w:val="23"/>
          <w:szCs w:val="23"/>
          <w:rtl/>
          <w:lang w:bidi="he-IL"/>
        </w:rPr>
        <w:t>כפל ואמר</w:t>
      </w:r>
      <w:r w:rsidRPr="00D4590B">
        <w:rPr>
          <w:sz w:val="23"/>
          <w:szCs w:val="23"/>
          <w:lang w:bidi="he-IL"/>
        </w:rPr>
        <w:t xml:space="preserve"> appears fifteen times in Radak, eleven of them in this work (for example, at 1:18), and just </w:t>
      </w:r>
      <w:r>
        <w:rPr>
          <w:sz w:val="23"/>
          <w:szCs w:val="23"/>
          <w:lang w:bidi="he-IL"/>
        </w:rPr>
        <w:t>once</w:t>
      </w:r>
      <w:r w:rsidRPr="00D4590B">
        <w:rPr>
          <w:sz w:val="23"/>
          <w:szCs w:val="23"/>
          <w:lang w:bidi="he-IL"/>
        </w:rPr>
        <w:t xml:space="preserve"> in one other commentary. </w:t>
      </w:r>
      <w:r w:rsidRPr="00D4590B">
        <w:rPr>
          <w:rFonts w:hint="cs"/>
          <w:sz w:val="23"/>
          <w:szCs w:val="23"/>
          <w:rtl/>
          <w:lang w:bidi="he-IL"/>
        </w:rPr>
        <w:t>וכפל עוד ואמר</w:t>
      </w:r>
      <w:r w:rsidRPr="00D4590B">
        <w:rPr>
          <w:sz w:val="23"/>
          <w:szCs w:val="23"/>
          <w:lang w:bidi="he-IL"/>
        </w:rPr>
        <w:t xml:space="preserve"> appears six times in Radak, including twice in the Proverbs commentary (at 4:12 and 9:5), and among no other commentators. </w:t>
      </w:r>
      <w:r w:rsidRPr="00D4590B">
        <w:rPr>
          <w:rFonts w:hint="cs"/>
          <w:sz w:val="23"/>
          <w:szCs w:val="23"/>
          <w:rtl/>
          <w:lang w:bidi="he-IL"/>
        </w:rPr>
        <w:t>כפל הענין במלים\במלות שונות ואמר</w:t>
      </w:r>
      <w:r w:rsidRPr="00D4590B">
        <w:rPr>
          <w:sz w:val="23"/>
          <w:szCs w:val="23"/>
          <w:lang w:bidi="he-IL"/>
        </w:rPr>
        <w:t xml:space="preserve"> appears nineteen times in Radak, twice in this work (at </w:t>
      </w:r>
      <w:r>
        <w:rPr>
          <w:sz w:val="23"/>
          <w:szCs w:val="23"/>
          <w:lang w:bidi="he-IL"/>
        </w:rPr>
        <w:t>5:3</w:t>
      </w:r>
      <w:r w:rsidRPr="00D4590B">
        <w:rPr>
          <w:sz w:val="23"/>
          <w:szCs w:val="23"/>
          <w:lang w:bidi="he-IL"/>
        </w:rPr>
        <w:t xml:space="preserve"> and </w:t>
      </w:r>
      <w:r>
        <w:rPr>
          <w:sz w:val="23"/>
          <w:szCs w:val="23"/>
          <w:lang w:bidi="he-IL"/>
        </w:rPr>
        <w:t>5</w:t>
      </w:r>
      <w:r w:rsidRPr="00D4590B">
        <w:rPr>
          <w:sz w:val="23"/>
          <w:szCs w:val="23"/>
          <w:lang w:bidi="he-IL"/>
        </w:rPr>
        <w:t xml:space="preserve">:5), and among no other commentators. </w:t>
      </w:r>
      <w:r w:rsidRPr="00D4590B">
        <w:rPr>
          <w:rFonts w:hint="cs"/>
          <w:sz w:val="23"/>
          <w:szCs w:val="23"/>
          <w:rtl/>
          <w:lang w:bidi="he-IL"/>
        </w:rPr>
        <w:t>לחזק הענין\הדבר</w:t>
      </w:r>
      <w:r w:rsidRPr="00D4590B">
        <w:rPr>
          <w:sz w:val="23"/>
          <w:szCs w:val="23"/>
          <w:lang w:bidi="he-IL"/>
        </w:rPr>
        <w:t xml:space="preserve"> appears forty-five times in Radak, two of them in this work (at 4:16 and 5:15), and once in the works of each of three other exegetes. </w:t>
      </w:r>
      <w:r w:rsidRPr="00D4590B">
        <w:rPr>
          <w:rFonts w:hint="cs"/>
          <w:sz w:val="23"/>
          <w:szCs w:val="23"/>
          <w:rtl/>
          <w:lang w:bidi="he-IL"/>
        </w:rPr>
        <w:t>כמו בה"א\באל"ף</w:t>
      </w:r>
      <w:r w:rsidRPr="00D4590B">
        <w:rPr>
          <w:sz w:val="23"/>
          <w:szCs w:val="23"/>
          <w:lang w:bidi="he-IL"/>
        </w:rPr>
        <w:t xml:space="preserve"> appears twelve times in Radak, one of them in the Proverbs commentary (at 1:10), and once in the work of another commentator. </w:t>
      </w:r>
      <w:r w:rsidRPr="00D4590B">
        <w:rPr>
          <w:rFonts w:hint="cs"/>
          <w:sz w:val="23"/>
          <w:szCs w:val="23"/>
          <w:rtl/>
          <w:lang w:bidi="he-IL"/>
        </w:rPr>
        <w:t>במפיק הה"א</w:t>
      </w:r>
      <w:r w:rsidRPr="00D4590B">
        <w:rPr>
          <w:sz w:val="23"/>
          <w:szCs w:val="23"/>
          <w:lang w:bidi="he-IL"/>
        </w:rPr>
        <w:t xml:space="preserve"> appears three times in Radak, one of them in this work (at 7:8), and among no other commentators. </w:t>
      </w:r>
      <w:r w:rsidRPr="00D4590B">
        <w:rPr>
          <w:rFonts w:hint="cs"/>
          <w:sz w:val="23"/>
          <w:szCs w:val="23"/>
          <w:rtl/>
          <w:lang w:bidi="he-IL"/>
        </w:rPr>
        <w:t>מקום\במקום אות הכפל</w:t>
      </w:r>
      <w:r w:rsidRPr="00D4590B">
        <w:rPr>
          <w:sz w:val="23"/>
          <w:szCs w:val="23"/>
          <w:lang w:bidi="he-IL"/>
        </w:rPr>
        <w:t xml:space="preserve"> appears six times in Radak, including once in this work (at 8:3), and once in the works of each of two other exegetes. </w:t>
      </w:r>
      <w:r w:rsidRPr="00D4590B">
        <w:rPr>
          <w:rFonts w:hint="cs"/>
          <w:sz w:val="23"/>
          <w:szCs w:val="23"/>
          <w:rtl/>
          <w:lang w:bidi="he-IL"/>
        </w:rPr>
        <w:t>תוספת ביאור</w:t>
      </w:r>
      <w:r w:rsidRPr="00D4590B">
        <w:rPr>
          <w:sz w:val="23"/>
          <w:szCs w:val="23"/>
          <w:lang w:bidi="he-IL"/>
        </w:rPr>
        <w:t xml:space="preserve"> appears twenty-one times in Radak, one of them in this work (at 5:20), and a total of six times among three other commentators. Finally, </w:t>
      </w:r>
      <w:r w:rsidRPr="00D4590B">
        <w:rPr>
          <w:rFonts w:hint="cs"/>
          <w:sz w:val="23"/>
          <w:szCs w:val="23"/>
          <w:rtl/>
          <w:lang w:bidi="he-IL"/>
        </w:rPr>
        <w:t>כלל ואמר</w:t>
      </w:r>
      <w:r w:rsidRPr="00D4590B">
        <w:rPr>
          <w:sz w:val="23"/>
          <w:szCs w:val="23"/>
          <w:lang w:bidi="he-IL"/>
        </w:rPr>
        <w:t xml:space="preserve"> appears four times in Radak, one of them in this work (at </w:t>
      </w:r>
      <w:smartTag w:uri="urn:schemas-microsoft-com:office:smarttags" w:element="time">
        <w:smartTagPr>
          <w:attr w:name="Minute" w:val="11"/>
          <w:attr w:name="Hour" w:val="8"/>
        </w:smartTagPr>
        <w:r w:rsidRPr="00D4590B">
          <w:rPr>
            <w:sz w:val="23"/>
            <w:szCs w:val="23"/>
            <w:lang w:bidi="he-IL"/>
          </w:rPr>
          <w:t>8:11</w:t>
        </w:r>
      </w:smartTag>
      <w:r w:rsidRPr="00D4590B">
        <w:rPr>
          <w:sz w:val="23"/>
          <w:szCs w:val="23"/>
          <w:lang w:bidi="he-IL"/>
        </w:rPr>
        <w:t>), and among no other commentators.</w:t>
      </w:r>
    </w:p>
  </w:footnote>
  <w:footnote w:id="81">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I include in this category phrases from the Proverbs commentary that appear especially frequently in Radak, as well as others that appear with more moderate frequency but are </w:t>
      </w:r>
      <w:r w:rsidRPr="009F2136">
        <w:rPr>
          <w:i/>
          <w:iCs/>
          <w:sz w:val="23"/>
          <w:szCs w:val="23"/>
        </w:rPr>
        <w:t>comparatively</w:t>
      </w:r>
      <w:r w:rsidRPr="00D4590B">
        <w:rPr>
          <w:sz w:val="23"/>
          <w:szCs w:val="23"/>
        </w:rPr>
        <w:t xml:space="preserve"> uncommon among all or nearly all other commentators. Once again, I am referring to the wide range of medieval commentaries available on the </w:t>
      </w:r>
      <w:proofErr w:type="spellStart"/>
      <w:r w:rsidRPr="00D4590B">
        <w:rPr>
          <w:i/>
          <w:iCs/>
          <w:sz w:val="23"/>
          <w:szCs w:val="23"/>
        </w:rPr>
        <w:t>Haketer</w:t>
      </w:r>
      <w:proofErr w:type="spellEnd"/>
      <w:r w:rsidRPr="00D4590B">
        <w:rPr>
          <w:sz w:val="23"/>
          <w:szCs w:val="23"/>
        </w:rPr>
        <w:t xml:space="preserve"> database. </w:t>
      </w:r>
    </w:p>
  </w:footnote>
  <w:footnote w:id="82">
    <w:p w:rsidR="00745007" w:rsidRPr="00D4590B" w:rsidRDefault="00745007" w:rsidP="00773169">
      <w:pPr>
        <w:pStyle w:val="a3"/>
        <w:spacing w:line="270" w:lineRule="exact"/>
        <w:jc w:val="both"/>
        <w:rPr>
          <w:sz w:val="23"/>
          <w:szCs w:val="23"/>
          <w:lang w:bidi="he-IL"/>
        </w:rPr>
      </w:pPr>
      <w:r w:rsidRPr="00D4590B">
        <w:rPr>
          <w:rStyle w:val="a4"/>
          <w:sz w:val="23"/>
          <w:szCs w:val="23"/>
        </w:rPr>
        <w:footnoteRef/>
      </w:r>
      <w:r w:rsidRPr="00D4590B">
        <w:rPr>
          <w:sz w:val="23"/>
          <w:szCs w:val="23"/>
        </w:rPr>
        <w:t xml:space="preserve"> Talmage, </w:t>
      </w:r>
      <w:r w:rsidRPr="00D4590B">
        <w:rPr>
          <w:i/>
          <w:iCs/>
          <w:sz w:val="23"/>
          <w:szCs w:val="23"/>
        </w:rPr>
        <w:t>Commentaries on Proverbs</w:t>
      </w:r>
      <w:r w:rsidRPr="00D4590B">
        <w:rPr>
          <w:sz w:val="23"/>
          <w:szCs w:val="23"/>
        </w:rPr>
        <w:t xml:space="preserve">, 38, and Grunhaus, “Commentary on Proverbs,” 316, acknowledge the significance of the seemingly innocent term </w:t>
      </w:r>
      <w:r w:rsidRPr="00D4590B">
        <w:rPr>
          <w:rFonts w:hint="cs"/>
          <w:sz w:val="23"/>
          <w:szCs w:val="23"/>
          <w:rtl/>
          <w:lang w:bidi="he-IL"/>
        </w:rPr>
        <w:t>כלומר</w:t>
      </w:r>
      <w:r w:rsidRPr="00D4590B">
        <w:rPr>
          <w:sz w:val="23"/>
          <w:szCs w:val="23"/>
          <w:lang w:bidi="he-IL"/>
        </w:rPr>
        <w:t xml:space="preserve">, an especially common one in </w:t>
      </w:r>
      <w:proofErr w:type="spellStart"/>
      <w:r w:rsidRPr="00D4590B">
        <w:rPr>
          <w:sz w:val="23"/>
          <w:szCs w:val="23"/>
          <w:lang w:bidi="he-IL"/>
        </w:rPr>
        <w:t>Radak</w:t>
      </w:r>
      <w:proofErr w:type="spellEnd"/>
      <w:r w:rsidRPr="00D4590B">
        <w:rPr>
          <w:sz w:val="23"/>
          <w:szCs w:val="23"/>
          <w:lang w:bidi="he-IL"/>
        </w:rPr>
        <w:t>. A search produces 2,975 appearances of the term in Radak’s commentaries, 194 of them in the Proverbs commentary (of which only the first twenty</w:t>
      </w:r>
      <w:r>
        <w:rPr>
          <w:sz w:val="23"/>
          <w:szCs w:val="23"/>
          <w:lang w:bidi="he-IL"/>
        </w:rPr>
        <w:t xml:space="preserve"> </w:t>
      </w:r>
      <w:r w:rsidRPr="00D4590B">
        <w:rPr>
          <w:sz w:val="23"/>
          <w:szCs w:val="23"/>
          <w:lang w:bidi="he-IL"/>
        </w:rPr>
        <w:t>and</w:t>
      </w:r>
      <w:r>
        <w:rPr>
          <w:sz w:val="23"/>
          <w:szCs w:val="23"/>
          <w:lang w:bidi="he-IL"/>
        </w:rPr>
        <w:t xml:space="preserve"> </w:t>
      </w:r>
      <w:r w:rsidRPr="00D4590B">
        <w:rPr>
          <w:sz w:val="23"/>
          <w:szCs w:val="23"/>
          <w:lang w:bidi="he-IL"/>
        </w:rPr>
        <w:t>a</w:t>
      </w:r>
      <w:r>
        <w:rPr>
          <w:sz w:val="23"/>
          <w:szCs w:val="23"/>
          <w:lang w:bidi="he-IL"/>
        </w:rPr>
        <w:t xml:space="preserve"> </w:t>
      </w:r>
      <w:r w:rsidRPr="00D4590B">
        <w:rPr>
          <w:sz w:val="23"/>
          <w:szCs w:val="23"/>
          <w:lang w:bidi="he-IL"/>
        </w:rPr>
        <w:t xml:space="preserve">half chapters are preserved). Contrast, for example, just 513 appearances of </w:t>
      </w:r>
      <w:r w:rsidRPr="00D4590B">
        <w:rPr>
          <w:rFonts w:hint="cs"/>
          <w:sz w:val="23"/>
          <w:szCs w:val="23"/>
          <w:rtl/>
          <w:lang w:bidi="he-IL"/>
        </w:rPr>
        <w:t>כלומר</w:t>
      </w:r>
      <w:r w:rsidRPr="00D4590B">
        <w:rPr>
          <w:sz w:val="23"/>
          <w:szCs w:val="23"/>
          <w:lang w:bidi="he-IL"/>
        </w:rPr>
        <w:t xml:space="preserve"> in all of </w:t>
      </w:r>
      <w:proofErr w:type="spellStart"/>
      <w:r w:rsidRPr="00D4590B">
        <w:rPr>
          <w:sz w:val="23"/>
          <w:szCs w:val="23"/>
          <w:lang w:bidi="he-IL"/>
        </w:rPr>
        <w:t>Rashi’s</w:t>
      </w:r>
      <w:proofErr w:type="spellEnd"/>
      <w:r w:rsidRPr="00D4590B">
        <w:rPr>
          <w:sz w:val="23"/>
          <w:szCs w:val="23"/>
          <w:lang w:bidi="he-IL"/>
        </w:rPr>
        <w:t xml:space="preserve"> biblical commentaries, thirty-seven of them in his commentary on the thirty-one chapters of Proverbs.</w:t>
      </w:r>
    </w:p>
  </w:footnote>
  <w:footnote w:id="83">
    <w:p w:rsidR="00745007" w:rsidRPr="00D4590B" w:rsidRDefault="00745007" w:rsidP="00D4590B">
      <w:pPr>
        <w:pStyle w:val="a3"/>
        <w:spacing w:line="270" w:lineRule="exact"/>
        <w:jc w:val="both"/>
        <w:rPr>
          <w:sz w:val="23"/>
          <w:szCs w:val="23"/>
          <w:lang w:bidi="he-IL"/>
        </w:rPr>
      </w:pPr>
      <w:r w:rsidRPr="00D4590B">
        <w:rPr>
          <w:rStyle w:val="a4"/>
          <w:sz w:val="23"/>
          <w:szCs w:val="23"/>
        </w:rPr>
        <w:footnoteRef/>
      </w:r>
      <w:r w:rsidRPr="00D4590B">
        <w:rPr>
          <w:sz w:val="23"/>
          <w:szCs w:val="23"/>
        </w:rPr>
        <w:t xml:space="preserve"> </w:t>
      </w:r>
      <w:r w:rsidRPr="00D4590B">
        <w:rPr>
          <w:sz w:val="23"/>
          <w:szCs w:val="23"/>
          <w:lang w:bidi="he-IL"/>
        </w:rPr>
        <w:t xml:space="preserve">Of 2,600 appearances of </w:t>
      </w:r>
      <w:r w:rsidRPr="00D4590B">
        <w:rPr>
          <w:rFonts w:hint="cs"/>
          <w:sz w:val="23"/>
          <w:szCs w:val="23"/>
          <w:rtl/>
          <w:lang w:bidi="he-IL"/>
        </w:rPr>
        <w:t>כמו שאמר</w:t>
      </w:r>
      <w:r w:rsidRPr="00D4590B">
        <w:rPr>
          <w:sz w:val="23"/>
          <w:szCs w:val="23"/>
          <w:lang w:bidi="he-IL"/>
        </w:rPr>
        <w:t xml:space="preserve"> on the </w:t>
      </w:r>
      <w:proofErr w:type="spellStart"/>
      <w:r w:rsidRPr="00D4590B">
        <w:rPr>
          <w:i/>
          <w:iCs/>
          <w:sz w:val="23"/>
          <w:szCs w:val="23"/>
          <w:lang w:bidi="he-IL"/>
        </w:rPr>
        <w:t>Haketer</w:t>
      </w:r>
      <w:proofErr w:type="spellEnd"/>
      <w:r w:rsidRPr="00D4590B">
        <w:rPr>
          <w:sz w:val="23"/>
          <w:szCs w:val="23"/>
          <w:lang w:bidi="he-IL"/>
        </w:rPr>
        <w:t xml:space="preserve"> database, 1,771 are in Radak, thirteen of them in the Proverbs commentary (for example, at 1:4). Of forty-five appearances of </w:t>
      </w:r>
      <w:r w:rsidRPr="00D4590B">
        <w:rPr>
          <w:rFonts w:hint="cs"/>
          <w:sz w:val="23"/>
          <w:szCs w:val="23"/>
          <w:rtl/>
          <w:lang w:bidi="he-IL"/>
        </w:rPr>
        <w:t>לא די...אלא\אבל</w:t>
      </w:r>
      <w:r w:rsidRPr="00D4590B">
        <w:rPr>
          <w:sz w:val="23"/>
          <w:szCs w:val="23"/>
          <w:lang w:bidi="he-IL"/>
        </w:rPr>
        <w:t xml:space="preserve">, fourteen are in Radak, three on Proverbs (at </w:t>
      </w:r>
      <w:smartTag w:uri="urn:schemas-microsoft-com:office:smarttags" w:element="time">
        <w:smartTagPr>
          <w:attr w:name="Minute" w:val="25"/>
          <w:attr w:name="Hour" w:val="1"/>
        </w:smartTagPr>
        <w:r w:rsidRPr="00D4590B">
          <w:rPr>
            <w:sz w:val="23"/>
            <w:szCs w:val="23"/>
            <w:lang w:bidi="he-IL"/>
          </w:rPr>
          <w:t>1:25</w:t>
        </w:r>
      </w:smartTag>
      <w:r w:rsidRPr="00D4590B">
        <w:rPr>
          <w:sz w:val="23"/>
          <w:szCs w:val="23"/>
          <w:lang w:bidi="he-IL"/>
        </w:rPr>
        <w:t xml:space="preserve">, </w:t>
      </w:r>
      <w:smartTag w:uri="urn:schemas-microsoft-com:office:smarttags" w:element="time">
        <w:smartTagPr>
          <w:attr w:name="Minute" w:val="24"/>
          <w:attr w:name="Hour" w:val="3"/>
        </w:smartTagPr>
        <w:r w:rsidRPr="00D4590B">
          <w:rPr>
            <w:sz w:val="23"/>
            <w:szCs w:val="23"/>
            <w:lang w:bidi="he-IL"/>
          </w:rPr>
          <w:t>3:24</w:t>
        </w:r>
      </w:smartTag>
      <w:r w:rsidRPr="00D4590B">
        <w:rPr>
          <w:sz w:val="23"/>
          <w:szCs w:val="23"/>
          <w:lang w:bidi="he-IL"/>
        </w:rPr>
        <w:t xml:space="preserve"> and </w:t>
      </w:r>
      <w:smartTag w:uri="urn:schemas-microsoft-com:office:smarttags" w:element="time">
        <w:smartTagPr>
          <w:attr w:name="Minute" w:val="24"/>
          <w:attr w:name="Hour" w:val="10"/>
        </w:smartTagPr>
        <w:r w:rsidRPr="00D4590B">
          <w:rPr>
            <w:sz w:val="23"/>
            <w:szCs w:val="23"/>
            <w:lang w:bidi="he-IL"/>
          </w:rPr>
          <w:t>10:24</w:t>
        </w:r>
      </w:smartTag>
      <w:r w:rsidRPr="00D4590B">
        <w:rPr>
          <w:sz w:val="23"/>
          <w:szCs w:val="23"/>
          <w:lang w:bidi="he-IL"/>
        </w:rPr>
        <w:t xml:space="preserve">). </w:t>
      </w:r>
      <w:r w:rsidRPr="00D4590B">
        <w:rPr>
          <w:rFonts w:hint="cs"/>
          <w:sz w:val="23"/>
          <w:szCs w:val="23"/>
          <w:rtl/>
          <w:lang w:bidi="he-IL"/>
        </w:rPr>
        <w:t>דבק למעלה</w:t>
      </w:r>
      <w:r w:rsidRPr="00D4590B">
        <w:rPr>
          <w:sz w:val="23"/>
          <w:szCs w:val="23"/>
          <w:lang w:bidi="he-IL"/>
        </w:rPr>
        <w:t xml:space="preserve"> appears twenty-four times, eight of them in Radak, one of which is on Proverbs (at 3:3). </w:t>
      </w:r>
      <w:r w:rsidRPr="00D4590B">
        <w:rPr>
          <w:rFonts w:hint="cs"/>
          <w:sz w:val="23"/>
          <w:szCs w:val="23"/>
          <w:rtl/>
          <w:lang w:bidi="he-IL"/>
        </w:rPr>
        <w:t>כמו שמספר והולך</w:t>
      </w:r>
      <w:r w:rsidRPr="00D4590B">
        <w:rPr>
          <w:sz w:val="23"/>
          <w:szCs w:val="23"/>
          <w:lang w:bidi="he-IL"/>
        </w:rPr>
        <w:t xml:space="preserve"> appears six times: twice in R. Joseph Kara, and four times in Radak—one of them on Proverbs (at 1:2). Of 352 appearances of </w:t>
      </w:r>
      <w:r w:rsidRPr="00D4590B">
        <w:rPr>
          <w:rFonts w:hint="cs"/>
          <w:sz w:val="23"/>
          <w:szCs w:val="23"/>
          <w:rtl/>
          <w:lang w:bidi="he-IL"/>
        </w:rPr>
        <w:t>או פירושו</w:t>
      </w:r>
      <w:r w:rsidRPr="00D4590B">
        <w:rPr>
          <w:sz w:val="23"/>
          <w:szCs w:val="23"/>
          <w:lang w:bidi="he-IL"/>
        </w:rPr>
        <w:t xml:space="preserve">, 243 are in Radak, twenty-one of them on Proverbs (for example, at 3:6). </w:t>
      </w:r>
      <w:r w:rsidRPr="00D4590B">
        <w:rPr>
          <w:rFonts w:hint="cs"/>
          <w:sz w:val="23"/>
          <w:szCs w:val="23"/>
          <w:rtl/>
          <w:lang w:bidi="he-IL"/>
        </w:rPr>
        <w:t>חסר הנסמך</w:t>
      </w:r>
      <w:r w:rsidRPr="00D4590B">
        <w:rPr>
          <w:sz w:val="23"/>
          <w:szCs w:val="23"/>
          <w:lang w:bidi="he-IL"/>
        </w:rPr>
        <w:t xml:space="preserve"> appears fifty times, twenty-nine of them in Radak—three on Proverbs (at 1:19, 6:5 and 11:2). </w:t>
      </w:r>
      <w:r w:rsidRPr="00D4590B">
        <w:rPr>
          <w:rFonts w:hint="cs"/>
          <w:sz w:val="23"/>
          <w:szCs w:val="23"/>
          <w:rtl/>
          <w:lang w:bidi="he-IL"/>
        </w:rPr>
        <w:t>משפטו</w:t>
      </w:r>
      <w:r w:rsidRPr="00D4590B">
        <w:rPr>
          <w:sz w:val="23"/>
          <w:szCs w:val="23"/>
          <w:lang w:bidi="he-IL"/>
        </w:rPr>
        <w:t xml:space="preserve"> appears 301 times, 108 of them in Radak, including two on Proverbs (at 8:3 and 8:17). </w:t>
      </w:r>
      <w:r w:rsidRPr="00D4590B">
        <w:rPr>
          <w:rFonts w:hint="cs"/>
          <w:sz w:val="23"/>
          <w:szCs w:val="23"/>
          <w:rtl/>
          <w:lang w:bidi="he-IL"/>
        </w:rPr>
        <w:t>פירושו כמשמעו</w:t>
      </w:r>
      <w:r w:rsidRPr="00D4590B">
        <w:rPr>
          <w:sz w:val="23"/>
          <w:szCs w:val="23"/>
          <w:lang w:bidi="he-IL"/>
        </w:rPr>
        <w:t xml:space="preserve"> appears fourteen times, nine in Radak, one of which is on Proverbs (at 11:25). </w:t>
      </w:r>
      <w:r w:rsidRPr="00D4590B">
        <w:rPr>
          <w:rFonts w:hint="cs"/>
          <w:sz w:val="23"/>
          <w:szCs w:val="23"/>
          <w:rtl/>
          <w:lang w:bidi="he-IL"/>
        </w:rPr>
        <w:t>על שני פנים</w:t>
      </w:r>
      <w:r w:rsidRPr="00D4590B">
        <w:rPr>
          <w:sz w:val="23"/>
          <w:szCs w:val="23"/>
          <w:lang w:bidi="he-IL"/>
        </w:rPr>
        <w:t xml:space="preserve"> appears eleven times: three in </w:t>
      </w:r>
      <w:proofErr w:type="spellStart"/>
      <w:r w:rsidRPr="00D4590B">
        <w:rPr>
          <w:sz w:val="23"/>
          <w:szCs w:val="23"/>
          <w:lang w:bidi="he-IL"/>
        </w:rPr>
        <w:t>Ralbag</w:t>
      </w:r>
      <w:proofErr w:type="spellEnd"/>
      <w:r w:rsidRPr="00D4590B">
        <w:rPr>
          <w:sz w:val="23"/>
          <w:szCs w:val="23"/>
          <w:lang w:bidi="he-IL"/>
        </w:rPr>
        <w:t xml:space="preserve">, and eight in Radak—including one on Proverbs (at 13:7). </w:t>
      </w:r>
      <w:r w:rsidRPr="00D4590B">
        <w:rPr>
          <w:rFonts w:hint="cs"/>
          <w:sz w:val="23"/>
          <w:szCs w:val="23"/>
          <w:rtl/>
          <w:lang w:bidi="he-IL"/>
        </w:rPr>
        <w:t>המפרשים פירשו</w:t>
      </w:r>
      <w:r w:rsidRPr="00D4590B">
        <w:rPr>
          <w:sz w:val="23"/>
          <w:szCs w:val="23"/>
          <w:lang w:bidi="he-IL"/>
        </w:rPr>
        <w:t xml:space="preserve"> appears twenty-seven times, eighteen in Radak, one of them on Proverbs (this too at 13:7). Of thirteen appearances of </w:t>
      </w:r>
      <w:r w:rsidRPr="00D4590B">
        <w:rPr>
          <w:rFonts w:hint="cs"/>
          <w:sz w:val="23"/>
          <w:szCs w:val="23"/>
          <w:rtl/>
          <w:lang w:bidi="he-IL"/>
        </w:rPr>
        <w:t>פירשתיו למעלה</w:t>
      </w:r>
      <w:r w:rsidRPr="00D4590B">
        <w:rPr>
          <w:sz w:val="23"/>
          <w:szCs w:val="23"/>
          <w:lang w:bidi="he-IL"/>
        </w:rPr>
        <w:t xml:space="preserve">, five are in </w:t>
      </w:r>
      <w:proofErr w:type="spellStart"/>
      <w:r w:rsidRPr="00D4590B">
        <w:rPr>
          <w:sz w:val="23"/>
          <w:szCs w:val="23"/>
          <w:lang w:bidi="he-IL"/>
        </w:rPr>
        <w:t>Radak</w:t>
      </w:r>
      <w:proofErr w:type="spellEnd"/>
      <w:r>
        <w:rPr>
          <w:sz w:val="23"/>
          <w:szCs w:val="23"/>
          <w:lang w:bidi="he-IL"/>
        </w:rPr>
        <w:t>,</w:t>
      </w:r>
      <w:r w:rsidRPr="00D4590B">
        <w:rPr>
          <w:sz w:val="23"/>
          <w:szCs w:val="23"/>
          <w:lang w:bidi="he-IL"/>
        </w:rPr>
        <w:t xml:space="preserve"> including two on Proverbs (at 16:8 and 19:9), and there are no more than two appearances in the works of any other exegete. Of 169 appearances of </w:t>
      </w:r>
      <w:r w:rsidRPr="00D4590B">
        <w:rPr>
          <w:rFonts w:hint="cs"/>
          <w:sz w:val="23"/>
          <w:szCs w:val="23"/>
          <w:rtl/>
          <w:lang w:bidi="he-IL"/>
        </w:rPr>
        <w:t>היה לו לומר</w:t>
      </w:r>
      <w:r w:rsidRPr="00D4590B">
        <w:rPr>
          <w:sz w:val="23"/>
          <w:szCs w:val="23"/>
          <w:lang w:bidi="he-IL"/>
        </w:rPr>
        <w:t xml:space="preserve">, fourteen are in Radak, one of them on Proverbs (at </w:t>
      </w:r>
      <w:smartTag w:uri="urn:schemas-microsoft-com:office:smarttags" w:element="time">
        <w:smartTagPr>
          <w:attr w:name="Minute" w:val="14"/>
          <w:attr w:name="Hour" w:val="4"/>
        </w:smartTagPr>
        <w:r w:rsidRPr="00D4590B">
          <w:rPr>
            <w:sz w:val="23"/>
            <w:szCs w:val="23"/>
            <w:lang w:bidi="he-IL"/>
          </w:rPr>
          <w:t>4:14</w:t>
        </w:r>
      </w:smartTag>
      <w:r w:rsidRPr="00D4590B">
        <w:rPr>
          <w:sz w:val="23"/>
          <w:szCs w:val="23"/>
          <w:lang w:bidi="he-IL"/>
        </w:rPr>
        <w:t xml:space="preserve">). Finally, </w:t>
      </w:r>
      <w:r w:rsidRPr="00D4590B">
        <w:rPr>
          <w:rFonts w:hint="cs"/>
          <w:sz w:val="23"/>
          <w:szCs w:val="23"/>
          <w:rtl/>
          <w:lang w:bidi="he-IL"/>
        </w:rPr>
        <w:t>לפי מקומו</w:t>
      </w:r>
      <w:r w:rsidRPr="00D4590B">
        <w:rPr>
          <w:sz w:val="23"/>
          <w:szCs w:val="23"/>
          <w:lang w:bidi="he-IL"/>
        </w:rPr>
        <w:t xml:space="preserve"> appears thirty-two times, fifteen of them in Radak—one on Proverbs (at </w:t>
      </w:r>
      <w:smartTag w:uri="urn:schemas-microsoft-com:office:smarttags" w:element="time">
        <w:smartTagPr>
          <w:attr w:name="Minute" w:val="14"/>
          <w:attr w:name="Hour" w:val="17"/>
        </w:smartTagPr>
        <w:r w:rsidRPr="00D4590B">
          <w:rPr>
            <w:sz w:val="23"/>
            <w:szCs w:val="23"/>
            <w:lang w:bidi="he-IL"/>
          </w:rPr>
          <w:t>17:14</w:t>
        </w:r>
      </w:smartTag>
      <w:r w:rsidRPr="00D4590B">
        <w:rPr>
          <w:sz w:val="23"/>
          <w:szCs w:val="23"/>
          <w:lang w:bidi="he-IL"/>
        </w:rPr>
        <w:t xml:space="preserve">). </w:t>
      </w:r>
    </w:p>
  </w:footnote>
  <w:footnote w:id="84">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See Radak at I Chronicles </w:t>
      </w:r>
      <w:smartTag w:uri="urn:schemas-microsoft-com:office:smarttags" w:element="time">
        <w:smartTagPr>
          <w:attr w:name="Minute" w:val="11"/>
          <w:attr w:name="Hour" w:val="4"/>
        </w:smartTagPr>
        <w:r w:rsidRPr="00D4590B">
          <w:rPr>
            <w:sz w:val="23"/>
            <w:szCs w:val="23"/>
          </w:rPr>
          <w:t>4:11</w:t>
        </w:r>
      </w:smartTag>
      <w:r w:rsidRPr="00D4590B">
        <w:rPr>
          <w:sz w:val="23"/>
          <w:szCs w:val="23"/>
        </w:rPr>
        <w:t xml:space="preserve">, </w:t>
      </w:r>
      <w:smartTag w:uri="urn:schemas-microsoft-com:office:smarttags" w:element="time">
        <w:smartTagPr>
          <w:attr w:name="Minute" w:val="13"/>
          <w:attr w:name="Hour" w:val="6"/>
        </w:smartTagPr>
        <w:r w:rsidRPr="00D4590B">
          <w:rPr>
            <w:sz w:val="23"/>
            <w:szCs w:val="23"/>
          </w:rPr>
          <w:t>6:13</w:t>
        </w:r>
      </w:smartTag>
      <w:r w:rsidRPr="00D4590B">
        <w:rPr>
          <w:sz w:val="23"/>
          <w:szCs w:val="23"/>
        </w:rPr>
        <w:t xml:space="preserve">, </w:t>
      </w:r>
      <w:smartTag w:uri="urn:schemas-microsoft-com:office:smarttags" w:element="time">
        <w:smartTagPr>
          <w:attr w:name="Minute" w:val="14"/>
          <w:attr w:name="Hour" w:val="7"/>
        </w:smartTagPr>
        <w:r w:rsidRPr="00D4590B">
          <w:rPr>
            <w:sz w:val="23"/>
            <w:szCs w:val="23"/>
          </w:rPr>
          <w:t>7:14</w:t>
        </w:r>
      </w:smartTag>
      <w:r w:rsidRPr="00D4590B">
        <w:rPr>
          <w:sz w:val="23"/>
          <w:szCs w:val="23"/>
        </w:rPr>
        <w:t>, 8:1, 8:8, and 23:8.</w:t>
      </w:r>
    </w:p>
  </w:footnote>
  <w:footnote w:id="85">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It would again appear that a follower of Radak would need to have derived such terminology from the Chronicles commentary alone, a most unlikely proposition. </w:t>
      </w:r>
    </w:p>
  </w:footnote>
  <w:footnote w:id="86">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Grunhaus, “Commentary on Proverbs,” 318. See note 38 there for a full list of rabbinic citations in the commentary. I address the general matter of citation of the rabbis below.</w:t>
      </w:r>
    </w:p>
  </w:footnote>
  <w:footnote w:id="87">
    <w:p w:rsidR="00745007" w:rsidRPr="00D4590B" w:rsidRDefault="00745007" w:rsidP="00CC22B2">
      <w:pPr>
        <w:pStyle w:val="a3"/>
        <w:spacing w:line="270" w:lineRule="exact"/>
        <w:jc w:val="both"/>
        <w:rPr>
          <w:sz w:val="23"/>
          <w:szCs w:val="23"/>
          <w:lang w:bidi="he-IL"/>
        </w:rPr>
      </w:pPr>
      <w:r w:rsidRPr="00D4590B">
        <w:rPr>
          <w:rStyle w:val="a4"/>
          <w:sz w:val="23"/>
          <w:szCs w:val="23"/>
        </w:rPr>
        <w:footnoteRef/>
      </w:r>
      <w:r w:rsidRPr="00D4590B">
        <w:rPr>
          <w:sz w:val="23"/>
          <w:szCs w:val="23"/>
        </w:rPr>
        <w:t xml:space="preserve"> </w:t>
      </w:r>
      <w:r w:rsidRPr="00D4590B">
        <w:rPr>
          <w:rFonts w:hint="cs"/>
          <w:sz w:val="23"/>
          <w:szCs w:val="23"/>
          <w:rtl/>
          <w:lang w:bidi="he-IL"/>
        </w:rPr>
        <w:t>יש בו דרש</w:t>
      </w:r>
      <w:r w:rsidRPr="00D4590B">
        <w:rPr>
          <w:sz w:val="23"/>
          <w:szCs w:val="23"/>
          <w:lang w:bidi="he-IL"/>
        </w:rPr>
        <w:t xml:space="preserve"> appears fifty-one times in Radak, including twice on Proverbs (at 12:13 and 12:16), and—as mentioned—does not appear in the works of other exegetes. </w:t>
      </w:r>
      <w:r w:rsidRPr="00D4590B">
        <w:rPr>
          <w:rFonts w:hint="cs"/>
          <w:sz w:val="23"/>
          <w:szCs w:val="23"/>
          <w:rtl/>
          <w:lang w:bidi="he-IL"/>
        </w:rPr>
        <w:t>ובדרש</w:t>
      </w:r>
      <w:r w:rsidRPr="00D4590B">
        <w:rPr>
          <w:sz w:val="23"/>
          <w:szCs w:val="23"/>
          <w:lang w:bidi="he-IL"/>
        </w:rPr>
        <w:t xml:space="preserve"> appears 349 times in Radak, including four on Proverbs (at 14:10, 15:6, 15:30-31 and 20:21). </w:t>
      </w:r>
      <w:r w:rsidRPr="00D4590B">
        <w:rPr>
          <w:rFonts w:hint="cs"/>
          <w:sz w:val="23"/>
          <w:szCs w:val="23"/>
          <w:rtl/>
          <w:lang w:bidi="he-IL"/>
        </w:rPr>
        <w:t>רבותינו ז"ל \ רז"ל דרשו</w:t>
      </w:r>
      <w:r w:rsidRPr="00D4590B">
        <w:rPr>
          <w:sz w:val="23"/>
          <w:szCs w:val="23"/>
          <w:lang w:bidi="he-IL"/>
        </w:rPr>
        <w:t xml:space="preserve"> appears seventy times in Radak, one of them on Proverbs (at 3:16), and no more than twice in the works of any other commentator. (It must be acknowledged that the unique phrase </w:t>
      </w:r>
      <w:r w:rsidRPr="00D4590B">
        <w:rPr>
          <w:rFonts w:hint="cs"/>
          <w:sz w:val="23"/>
          <w:szCs w:val="23"/>
          <w:rtl/>
          <w:lang w:bidi="he-IL"/>
        </w:rPr>
        <w:t>חז"ל דרשו</w:t>
      </w:r>
      <w:r w:rsidRPr="00D4590B">
        <w:rPr>
          <w:sz w:val="23"/>
          <w:szCs w:val="23"/>
          <w:lang w:bidi="he-IL"/>
        </w:rPr>
        <w:t xml:space="preserve"> appears at </w:t>
      </w:r>
      <w:smartTag w:uri="urn:schemas-microsoft-com:office:smarttags" w:element="time">
        <w:smartTagPr>
          <w:attr w:name="Minute" w:val="18"/>
          <w:attr w:name="Hour" w:val="5"/>
        </w:smartTagPr>
        <w:r w:rsidRPr="00D4590B">
          <w:rPr>
            <w:sz w:val="23"/>
            <w:szCs w:val="23"/>
            <w:lang w:bidi="he-IL"/>
          </w:rPr>
          <w:t>5:18</w:t>
        </w:r>
      </w:smartTag>
      <w:r w:rsidRPr="00D4590B">
        <w:rPr>
          <w:sz w:val="23"/>
          <w:szCs w:val="23"/>
          <w:lang w:bidi="he-IL"/>
        </w:rPr>
        <w:t xml:space="preserve">, at least in the manuscript that has preserved our commentary.) </w:t>
      </w:r>
      <w:r w:rsidRPr="00D4590B">
        <w:rPr>
          <w:rFonts w:hint="cs"/>
          <w:sz w:val="23"/>
          <w:szCs w:val="23"/>
          <w:rtl/>
          <w:lang w:bidi="he-IL"/>
        </w:rPr>
        <w:t>וכן אמרו רבותינו ז"ל</w:t>
      </w:r>
      <w:r w:rsidRPr="00D4590B">
        <w:rPr>
          <w:sz w:val="23"/>
          <w:szCs w:val="23"/>
          <w:lang w:bidi="he-IL"/>
        </w:rPr>
        <w:t xml:space="preserve"> appears forty-three times in Radak, one of them on Proverbs (at 15:30-31). </w:t>
      </w:r>
      <w:r w:rsidRPr="00D4590B">
        <w:rPr>
          <w:rFonts w:hint="cs"/>
          <w:sz w:val="23"/>
          <w:szCs w:val="23"/>
          <w:rtl/>
          <w:lang w:bidi="he-IL"/>
        </w:rPr>
        <w:t>ומדרשו</w:t>
      </w:r>
      <w:r w:rsidRPr="00D4590B">
        <w:rPr>
          <w:sz w:val="23"/>
          <w:szCs w:val="23"/>
          <w:lang w:bidi="he-IL"/>
        </w:rPr>
        <w:t xml:space="preserve"> appears four times in Radak, including two on Proverbs (at 5:9 and 8:30-31). </w:t>
      </w:r>
      <w:r w:rsidRPr="00D4590B">
        <w:rPr>
          <w:rFonts w:hint="cs"/>
          <w:sz w:val="23"/>
          <w:szCs w:val="23"/>
          <w:rtl/>
          <w:lang w:bidi="he-IL"/>
        </w:rPr>
        <w:t>אמרו ז"ל</w:t>
      </w:r>
      <w:r w:rsidRPr="00D4590B">
        <w:rPr>
          <w:sz w:val="23"/>
          <w:szCs w:val="23"/>
          <w:lang w:bidi="he-IL"/>
        </w:rPr>
        <w:t xml:space="preserve"> appears four times in Radak, one of them on Proverbs (at 14:9). Finally, </w:t>
      </w:r>
      <w:r w:rsidRPr="00D4590B">
        <w:rPr>
          <w:rFonts w:hint="cs"/>
          <w:sz w:val="23"/>
          <w:szCs w:val="23"/>
          <w:rtl/>
          <w:lang w:bidi="he-IL"/>
        </w:rPr>
        <w:t>דרשו ז"ל</w:t>
      </w:r>
      <w:r w:rsidRPr="00D4590B">
        <w:rPr>
          <w:sz w:val="23"/>
          <w:szCs w:val="23"/>
          <w:lang w:bidi="he-IL"/>
        </w:rPr>
        <w:t xml:space="preserve"> appears in the Proverbs commentary at 9:1, while</w:t>
      </w:r>
      <w:r>
        <w:rPr>
          <w:sz w:val="23"/>
          <w:szCs w:val="23"/>
          <w:lang w:bidi="he-IL"/>
        </w:rPr>
        <w:t xml:space="preserve"> </w:t>
      </w:r>
      <w:r w:rsidRPr="00D4590B">
        <w:rPr>
          <w:rFonts w:hint="cs"/>
          <w:sz w:val="23"/>
          <w:szCs w:val="23"/>
          <w:rtl/>
          <w:lang w:bidi="he-IL"/>
        </w:rPr>
        <w:t>דרשו רבותינו ז"ל</w:t>
      </w:r>
      <w:r w:rsidRPr="00D4590B">
        <w:rPr>
          <w:sz w:val="23"/>
          <w:szCs w:val="23"/>
          <w:lang w:bidi="he-IL"/>
        </w:rPr>
        <w:t xml:space="preserve"> appears fifteen times in Radak.</w:t>
      </w:r>
    </w:p>
  </w:footnote>
  <w:footnote w:id="88">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Cassuto, </w:t>
      </w:r>
      <w:r w:rsidRPr="00D4590B">
        <w:rPr>
          <w:i/>
          <w:iCs/>
          <w:sz w:val="23"/>
          <w:szCs w:val="23"/>
        </w:rPr>
        <w:t>Codices</w:t>
      </w:r>
      <w:r w:rsidRPr="00D4590B">
        <w:rPr>
          <w:sz w:val="23"/>
          <w:szCs w:val="23"/>
        </w:rPr>
        <w:t xml:space="preserve">, 129; Talmage, </w:t>
      </w:r>
      <w:r w:rsidRPr="00D4590B">
        <w:rPr>
          <w:i/>
          <w:iCs/>
          <w:sz w:val="23"/>
          <w:szCs w:val="23"/>
        </w:rPr>
        <w:t>Commentaries on Proverbs</w:t>
      </w:r>
      <w:r w:rsidRPr="00D4590B">
        <w:rPr>
          <w:sz w:val="23"/>
          <w:szCs w:val="23"/>
        </w:rPr>
        <w:t>, 19.</w:t>
      </w:r>
    </w:p>
  </w:footnote>
  <w:footnote w:id="89">
    <w:p w:rsidR="00745007" w:rsidRPr="00D4590B" w:rsidRDefault="00745007" w:rsidP="009F2136">
      <w:pPr>
        <w:pStyle w:val="a3"/>
        <w:spacing w:line="270" w:lineRule="exact"/>
        <w:jc w:val="both"/>
        <w:rPr>
          <w:sz w:val="23"/>
          <w:szCs w:val="23"/>
        </w:rPr>
      </w:pPr>
      <w:r w:rsidRPr="00D4590B">
        <w:rPr>
          <w:rStyle w:val="a4"/>
          <w:sz w:val="23"/>
          <w:szCs w:val="23"/>
        </w:rPr>
        <w:footnoteRef/>
      </w:r>
      <w:r w:rsidRPr="00D4590B">
        <w:rPr>
          <w:sz w:val="23"/>
          <w:szCs w:val="23"/>
        </w:rPr>
        <w:t xml:space="preserve"> Under the category “Discrepancies in Style,” Grunhaus adds that the Proverbs commentator explains terms that Radak would not, but does not explain others that Radak would. The examples offered, however, are problematic. At 11:26, the word </w:t>
      </w:r>
      <w:r w:rsidRPr="00D4590B">
        <w:rPr>
          <w:rFonts w:hint="cs"/>
          <w:sz w:val="23"/>
          <w:szCs w:val="23"/>
          <w:rtl/>
          <w:lang w:bidi="he-IL"/>
        </w:rPr>
        <w:t>בר</w:t>
      </w:r>
      <w:r w:rsidRPr="00D4590B">
        <w:rPr>
          <w:sz w:val="23"/>
          <w:szCs w:val="23"/>
          <w:lang w:bidi="he-IL"/>
        </w:rPr>
        <w:t xml:space="preserve"> is explained to mean produce, while according to Grunhaus, Radak leaves it unexplained at Jeremiah 11:28 and uses the term himself without clarification at II Samuel 24:14. In reality, the comment on Proverbs merely clarifies the term’s use according to the second explanation provided for the verse; for according to the first explanation—adapted from Rashi—the term </w:t>
      </w:r>
      <w:r w:rsidRPr="00D4590B">
        <w:rPr>
          <w:rFonts w:hint="cs"/>
          <w:sz w:val="23"/>
          <w:szCs w:val="23"/>
          <w:rtl/>
          <w:lang w:bidi="he-IL"/>
        </w:rPr>
        <w:t>בר</w:t>
      </w:r>
      <w:r w:rsidRPr="00D4590B">
        <w:rPr>
          <w:sz w:val="23"/>
          <w:szCs w:val="23"/>
          <w:lang w:bidi="he-IL"/>
        </w:rPr>
        <w:t xml:space="preserve"> appears to refer to a </w:t>
      </w:r>
      <w:r w:rsidRPr="00D4590B">
        <w:rPr>
          <w:rFonts w:hint="cs"/>
          <w:sz w:val="23"/>
          <w:szCs w:val="23"/>
          <w:rtl/>
          <w:lang w:bidi="he-IL"/>
        </w:rPr>
        <w:t>בן</w:t>
      </w:r>
      <w:r w:rsidRPr="00D4590B">
        <w:rPr>
          <w:sz w:val="23"/>
          <w:szCs w:val="23"/>
          <w:lang w:bidi="he-IL"/>
        </w:rPr>
        <w:t xml:space="preserve"> (“son”) to whom one fails to teach Torah. Moreover, in the comment on Jeremiah, Radak does indicate that </w:t>
      </w:r>
      <w:r w:rsidRPr="00D4590B">
        <w:rPr>
          <w:rFonts w:hint="cs"/>
          <w:sz w:val="23"/>
          <w:szCs w:val="23"/>
          <w:rtl/>
          <w:lang w:bidi="he-IL"/>
        </w:rPr>
        <w:t>בר</w:t>
      </w:r>
      <w:r w:rsidRPr="00D4590B">
        <w:rPr>
          <w:sz w:val="23"/>
          <w:szCs w:val="23"/>
          <w:lang w:bidi="he-IL"/>
        </w:rPr>
        <w:t xml:space="preserve"> refers to food fit for human consumption. Finally, the occurrence in Radak’s comment on Samuel does not appear in the </w:t>
      </w:r>
      <w:proofErr w:type="spellStart"/>
      <w:r w:rsidRPr="00D4590B">
        <w:rPr>
          <w:i/>
          <w:iCs/>
          <w:sz w:val="23"/>
          <w:szCs w:val="23"/>
          <w:lang w:bidi="he-IL"/>
        </w:rPr>
        <w:t>Haketer</w:t>
      </w:r>
      <w:proofErr w:type="spellEnd"/>
      <w:r w:rsidRPr="00D4590B">
        <w:rPr>
          <w:sz w:val="23"/>
          <w:szCs w:val="23"/>
          <w:lang w:bidi="he-IL"/>
        </w:rPr>
        <w:t xml:space="preserve"> edition, the most reliable one to date. Grunhaus also claims that the “difficult, irregular word” </w:t>
      </w:r>
      <w:r w:rsidRPr="00D4590B">
        <w:rPr>
          <w:rFonts w:hint="cs"/>
          <w:sz w:val="23"/>
          <w:szCs w:val="23"/>
          <w:rtl/>
          <w:lang w:bidi="he-IL"/>
        </w:rPr>
        <w:t>בוטה</w:t>
      </w:r>
      <w:r w:rsidRPr="00D4590B">
        <w:rPr>
          <w:sz w:val="23"/>
          <w:szCs w:val="23"/>
          <w:lang w:bidi="he-IL"/>
        </w:rPr>
        <w:t xml:space="preserve"> at Proverbs </w:t>
      </w:r>
      <w:smartTag w:uri="urn:schemas-microsoft-com:office:smarttags" w:element="time">
        <w:smartTagPr>
          <w:attr w:name="Minute" w:val="18"/>
          <w:attr w:name="Hour" w:val="12"/>
        </w:smartTagPr>
        <w:r w:rsidRPr="00D4590B">
          <w:rPr>
            <w:sz w:val="23"/>
            <w:szCs w:val="23"/>
            <w:lang w:bidi="he-IL"/>
          </w:rPr>
          <w:t>12:18</w:t>
        </w:r>
      </w:smartTag>
      <w:r w:rsidRPr="00D4590B">
        <w:rPr>
          <w:sz w:val="23"/>
          <w:szCs w:val="23"/>
          <w:lang w:bidi="he-IL"/>
        </w:rPr>
        <w:t xml:space="preserve"> is left unexplained. In fact, our commentator does indicate that it means to speak (in keeping with the wide consensus)—even if he does not explicitly clarify its relationship to the root </w:t>
      </w:r>
      <w:r w:rsidRPr="00D4590B">
        <w:rPr>
          <w:rFonts w:hint="cs"/>
          <w:sz w:val="23"/>
          <w:szCs w:val="23"/>
          <w:rtl/>
          <w:lang w:bidi="he-IL"/>
        </w:rPr>
        <w:t>בטא</w:t>
      </w:r>
      <w:r w:rsidRPr="00D4590B">
        <w:rPr>
          <w:sz w:val="23"/>
          <w:szCs w:val="23"/>
          <w:lang w:bidi="he-IL"/>
        </w:rPr>
        <w:t xml:space="preserve"> (as in </w:t>
      </w:r>
      <w:r w:rsidRPr="00D4590B">
        <w:rPr>
          <w:i/>
          <w:iCs/>
          <w:sz w:val="23"/>
          <w:szCs w:val="23"/>
          <w:lang w:bidi="he-IL"/>
        </w:rPr>
        <w:t>Shorashim</w:t>
      </w:r>
      <w:r w:rsidRPr="00D4590B">
        <w:rPr>
          <w:sz w:val="23"/>
          <w:szCs w:val="23"/>
          <w:lang w:bidi="he-IL"/>
        </w:rPr>
        <w:t xml:space="preserve"> entry </w:t>
      </w:r>
      <w:r w:rsidRPr="00D4590B">
        <w:rPr>
          <w:rFonts w:hint="cs"/>
          <w:sz w:val="23"/>
          <w:szCs w:val="23"/>
          <w:rtl/>
          <w:lang w:bidi="he-IL"/>
        </w:rPr>
        <w:t>בטא</w:t>
      </w:r>
      <w:r w:rsidRPr="00D4590B">
        <w:rPr>
          <w:sz w:val="23"/>
          <w:szCs w:val="23"/>
          <w:lang w:bidi="he-IL"/>
        </w:rPr>
        <w:t xml:space="preserve">). </w:t>
      </w:r>
    </w:p>
  </w:footnote>
  <w:footnote w:id="90">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Grunhaus, “Commentary on Proverbs,” 324.</w:t>
      </w:r>
    </w:p>
  </w:footnote>
  <w:footnote w:id="91">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Ibid., 317-318.</w:t>
      </w:r>
    </w:p>
  </w:footnote>
  <w:footnote w:id="92">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Verse 1 is addressed in the introduction.</w:t>
      </w:r>
    </w:p>
  </w:footnote>
  <w:footnote w:id="93">
    <w:p w:rsidR="00745007" w:rsidRPr="00D4590B" w:rsidRDefault="00745007" w:rsidP="00491DB5">
      <w:pPr>
        <w:pStyle w:val="a7"/>
        <w:spacing w:line="270" w:lineRule="exact"/>
        <w:ind w:left="0" w:firstLine="0"/>
        <w:jc w:val="both"/>
        <w:rPr>
          <w:sz w:val="23"/>
          <w:szCs w:val="23"/>
        </w:rPr>
      </w:pPr>
      <w:r w:rsidRPr="00D4590B">
        <w:rPr>
          <w:rStyle w:val="a4"/>
          <w:sz w:val="23"/>
          <w:szCs w:val="23"/>
        </w:rPr>
        <w:footnoteRef/>
      </w:r>
      <w:r w:rsidRPr="00D4590B">
        <w:rPr>
          <w:sz w:val="23"/>
          <w:szCs w:val="23"/>
        </w:rPr>
        <w:t xml:space="preserve"> </w:t>
      </w:r>
      <w:r>
        <w:rPr>
          <w:rFonts w:hint="cs"/>
          <w:sz w:val="23"/>
          <w:szCs w:val="23"/>
          <w:rtl/>
        </w:rPr>
        <w:t>המחבר הספר</w:t>
      </w:r>
      <w:r>
        <w:rPr>
          <w:sz w:val="23"/>
          <w:szCs w:val="23"/>
        </w:rPr>
        <w:t xml:space="preserve"> is what appears in the manuscript. </w:t>
      </w:r>
      <w:r w:rsidRPr="00D4590B">
        <w:rPr>
          <w:sz w:val="23"/>
          <w:szCs w:val="23"/>
        </w:rPr>
        <w:t xml:space="preserve">For a list of these and other similar phrases in Radak alluding to biblical authors and redactors, see Richard C. Steiner, “A Jewish Theory of Biblical Redaction from Byzantium: Its Rabbinic Roots, Its Diffusion and Its Encounter with the Muslim Doctrine of Falsification,” </w:t>
      </w:r>
      <w:r w:rsidRPr="00D4590B">
        <w:rPr>
          <w:i/>
          <w:iCs/>
          <w:sz w:val="23"/>
          <w:szCs w:val="23"/>
        </w:rPr>
        <w:t>JSIJ</w:t>
      </w:r>
      <w:r w:rsidRPr="00D4590B">
        <w:rPr>
          <w:sz w:val="23"/>
          <w:szCs w:val="23"/>
        </w:rPr>
        <w:t xml:space="preserve"> 2 (2003): 148 (http://www.biu.ac.il/JS/JSIJ/2-2003/Steiner.pdf). Note also that Radak at Jeremiah 51:64 acknowledges the possibility of a redactor (</w:t>
      </w:r>
      <w:r w:rsidRPr="00D4590B">
        <w:rPr>
          <w:rFonts w:hint="cs"/>
          <w:sz w:val="23"/>
          <w:szCs w:val="23"/>
          <w:rtl/>
        </w:rPr>
        <w:t>מי שכתב הספר</w:t>
      </w:r>
      <w:r w:rsidRPr="00D4590B">
        <w:rPr>
          <w:sz w:val="23"/>
          <w:szCs w:val="23"/>
        </w:rPr>
        <w:t>) who composed the book’s final (historical) chapter.</w:t>
      </w:r>
    </w:p>
  </w:footnote>
  <w:footnote w:id="94">
    <w:p w:rsidR="00745007" w:rsidRPr="00D4590B" w:rsidRDefault="00745007" w:rsidP="00D4590B">
      <w:pPr>
        <w:pStyle w:val="a3"/>
        <w:spacing w:line="270" w:lineRule="exact"/>
        <w:jc w:val="both"/>
        <w:rPr>
          <w:sz w:val="23"/>
          <w:szCs w:val="23"/>
          <w:lang w:bidi="he-IL"/>
        </w:rPr>
      </w:pPr>
      <w:r w:rsidRPr="00D4590B">
        <w:rPr>
          <w:rStyle w:val="a4"/>
          <w:sz w:val="23"/>
          <w:szCs w:val="23"/>
        </w:rPr>
        <w:footnoteRef/>
      </w:r>
      <w:r w:rsidRPr="00D4590B">
        <w:rPr>
          <w:sz w:val="23"/>
          <w:szCs w:val="23"/>
        </w:rPr>
        <w:t xml:space="preserve"> Ibid., 324-335 and n. 66. The same is true of all the examples cited in the footnote, with the lone exception of the second-person verb </w:t>
      </w:r>
      <w:r w:rsidRPr="00D4590B">
        <w:rPr>
          <w:rFonts w:hint="cs"/>
          <w:sz w:val="23"/>
          <w:szCs w:val="23"/>
          <w:rtl/>
          <w:lang w:bidi="he-IL"/>
        </w:rPr>
        <w:t>השמר</w:t>
      </w:r>
      <w:r w:rsidRPr="00D4590B">
        <w:rPr>
          <w:sz w:val="23"/>
          <w:szCs w:val="23"/>
          <w:lang w:bidi="he-IL"/>
        </w:rPr>
        <w:t xml:space="preserve"> at 15:3.</w:t>
      </w:r>
    </w:p>
  </w:footnote>
  <w:footnote w:id="95">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See especially Melamed, volume 2 of </w:t>
      </w:r>
      <w:r w:rsidRPr="00D4590B">
        <w:rPr>
          <w:i/>
          <w:iCs/>
          <w:sz w:val="23"/>
          <w:szCs w:val="23"/>
        </w:rPr>
        <w:t>Bible Commentators</w:t>
      </w:r>
      <w:r w:rsidRPr="00D4590B">
        <w:rPr>
          <w:sz w:val="23"/>
          <w:szCs w:val="23"/>
        </w:rPr>
        <w:t xml:space="preserve">, 789-792; and Mordechai Cohen, “The </w:t>
      </w:r>
      <w:proofErr w:type="spellStart"/>
      <w:r w:rsidRPr="00D4590B">
        <w:rPr>
          <w:sz w:val="23"/>
          <w:szCs w:val="23"/>
        </w:rPr>
        <w:t>Qimhi</w:t>
      </w:r>
      <w:proofErr w:type="spellEnd"/>
      <w:r w:rsidRPr="00D4590B">
        <w:rPr>
          <w:sz w:val="23"/>
          <w:szCs w:val="23"/>
        </w:rPr>
        <w:t xml:space="preserve"> Family,” volume 1 part 2 of </w:t>
      </w:r>
      <w:proofErr w:type="spellStart"/>
      <w:r w:rsidRPr="00D4590B">
        <w:rPr>
          <w:i/>
          <w:iCs/>
          <w:sz w:val="23"/>
          <w:szCs w:val="23"/>
        </w:rPr>
        <w:t>HebrewBible</w:t>
      </w:r>
      <w:proofErr w:type="spellEnd"/>
      <w:r w:rsidRPr="00D4590B">
        <w:rPr>
          <w:i/>
          <w:iCs/>
          <w:sz w:val="23"/>
          <w:szCs w:val="23"/>
        </w:rPr>
        <w:t>/Old Testament: The History of Its Interpretation</w:t>
      </w:r>
      <w:r w:rsidRPr="00D4590B">
        <w:rPr>
          <w:sz w:val="23"/>
          <w:szCs w:val="23"/>
        </w:rPr>
        <w:t xml:space="preserve">, ed. M. </w:t>
      </w:r>
      <w:proofErr w:type="spellStart"/>
      <w:r w:rsidRPr="00D4590B">
        <w:rPr>
          <w:sz w:val="23"/>
          <w:szCs w:val="23"/>
        </w:rPr>
        <w:t>Sæbø</w:t>
      </w:r>
      <w:proofErr w:type="spellEnd"/>
      <w:r w:rsidRPr="00D4590B">
        <w:rPr>
          <w:sz w:val="23"/>
          <w:szCs w:val="23"/>
        </w:rPr>
        <w:t xml:space="preserve">, </w:t>
      </w:r>
      <w:proofErr w:type="spellStart"/>
      <w:r w:rsidRPr="00D4590B">
        <w:rPr>
          <w:sz w:val="23"/>
          <w:szCs w:val="23"/>
        </w:rPr>
        <w:t>Göttingen</w:t>
      </w:r>
      <w:proofErr w:type="spellEnd"/>
      <w:r w:rsidRPr="00D4590B">
        <w:rPr>
          <w:sz w:val="23"/>
          <w:szCs w:val="23"/>
        </w:rPr>
        <w:t xml:space="preserve">: </w:t>
      </w:r>
      <w:proofErr w:type="spellStart"/>
      <w:r w:rsidRPr="00D4590B">
        <w:rPr>
          <w:sz w:val="23"/>
          <w:szCs w:val="23"/>
        </w:rPr>
        <w:t>Vandenhoeck</w:t>
      </w:r>
      <w:proofErr w:type="spellEnd"/>
      <w:r w:rsidRPr="00D4590B">
        <w:rPr>
          <w:sz w:val="23"/>
          <w:szCs w:val="23"/>
        </w:rPr>
        <w:t xml:space="preserve"> und </w:t>
      </w:r>
      <w:proofErr w:type="spellStart"/>
      <w:r w:rsidRPr="00D4590B">
        <w:rPr>
          <w:sz w:val="23"/>
          <w:szCs w:val="23"/>
        </w:rPr>
        <w:t>Ruprecht</w:t>
      </w:r>
      <w:proofErr w:type="spellEnd"/>
      <w:r w:rsidRPr="00D4590B">
        <w:rPr>
          <w:sz w:val="23"/>
          <w:szCs w:val="23"/>
        </w:rPr>
        <w:t xml:space="preserve">, 2000, 410-412. The rather emphatic examples cited by these scholars are from Radak on the Genesis narratives; but note the example from Psalms below, which is more like those found in the Proverbs commentary. Note also Cohen’s observation (“The </w:t>
      </w:r>
      <w:proofErr w:type="spellStart"/>
      <w:r w:rsidRPr="00D4590B">
        <w:rPr>
          <w:sz w:val="23"/>
          <w:szCs w:val="23"/>
        </w:rPr>
        <w:t>Qimhi</w:t>
      </w:r>
      <w:proofErr w:type="spellEnd"/>
      <w:r w:rsidRPr="00D4590B">
        <w:rPr>
          <w:sz w:val="23"/>
          <w:szCs w:val="23"/>
        </w:rPr>
        <w:t xml:space="preserve"> Family,” 412) that even Radak’s father, “in his Proverbs commentary, regularly digresses from his linguistic analysis to provide moral guidance…,” and that this might have influenced Radak’s inclination to go beyond the quest for strict </w:t>
      </w:r>
      <w:proofErr w:type="spellStart"/>
      <w:r w:rsidRPr="00D4590B">
        <w:rPr>
          <w:i/>
          <w:iCs/>
          <w:sz w:val="23"/>
          <w:szCs w:val="23"/>
        </w:rPr>
        <w:t>peshat</w:t>
      </w:r>
      <w:proofErr w:type="spellEnd"/>
      <w:r w:rsidRPr="00D4590B">
        <w:rPr>
          <w:sz w:val="23"/>
          <w:szCs w:val="23"/>
        </w:rPr>
        <w:t xml:space="preserve"> interpretation.</w:t>
      </w:r>
    </w:p>
  </w:footnote>
  <w:footnote w:id="96">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In most places, the subject matter of Psalms is not similar to the hortatory content of Proverbs, so that it not surprising that in the Psalms commentary such examples are only sporadic. Contrast the remarks of Grunhaus, “Commentary on Proverbs,” 318 n. 36.</w:t>
      </w:r>
    </w:p>
  </w:footnote>
  <w:footnote w:id="97">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In the commentary itself, the term appears at 5:3, </w:t>
      </w:r>
      <w:smartTag w:uri="urn:schemas-microsoft-com:office:smarttags" w:element="time">
        <w:smartTagPr>
          <w:attr w:name="Minute" w:val="22"/>
          <w:attr w:name="Hour" w:val="11"/>
        </w:smartTagPr>
        <w:r w:rsidRPr="00D4590B">
          <w:rPr>
            <w:sz w:val="23"/>
            <w:szCs w:val="23"/>
          </w:rPr>
          <w:t>11:22</w:t>
        </w:r>
      </w:smartTag>
      <w:r w:rsidRPr="00D4590B">
        <w:rPr>
          <w:sz w:val="23"/>
          <w:szCs w:val="23"/>
        </w:rPr>
        <w:t xml:space="preserve">, </w:t>
      </w:r>
      <w:smartTag w:uri="urn:schemas-microsoft-com:office:smarttags" w:element="time">
        <w:smartTagPr>
          <w:attr w:name="Minute" w:val="11"/>
          <w:attr w:name="Hour" w:val="12"/>
        </w:smartTagPr>
        <w:r w:rsidRPr="00D4590B">
          <w:rPr>
            <w:sz w:val="23"/>
            <w:szCs w:val="23"/>
          </w:rPr>
          <w:t>12:11</w:t>
        </w:r>
      </w:smartTag>
      <w:r w:rsidRPr="00D4590B">
        <w:rPr>
          <w:sz w:val="23"/>
          <w:szCs w:val="23"/>
        </w:rPr>
        <w:t xml:space="preserve">, </w:t>
      </w:r>
      <w:smartTag w:uri="urn:schemas-microsoft-com:office:smarttags" w:element="time">
        <w:smartTagPr>
          <w:attr w:name="Minute" w:val="30"/>
          <w:attr w:name="Hour" w:val="15"/>
        </w:smartTagPr>
        <w:r w:rsidRPr="00D4590B">
          <w:rPr>
            <w:sz w:val="23"/>
            <w:szCs w:val="23"/>
          </w:rPr>
          <w:t>15:30</w:t>
        </w:r>
      </w:smartTag>
      <w:r w:rsidRPr="00D4590B">
        <w:rPr>
          <w:sz w:val="23"/>
          <w:szCs w:val="23"/>
        </w:rPr>
        <w:t xml:space="preserve"> and </w:t>
      </w:r>
      <w:smartTag w:uri="urn:schemas-microsoft-com:office:smarttags" w:element="time">
        <w:smartTagPr>
          <w:attr w:name="Minute" w:val="21"/>
          <w:attr w:name="Hour" w:val="18"/>
        </w:smartTagPr>
        <w:r w:rsidRPr="00D4590B">
          <w:rPr>
            <w:sz w:val="23"/>
            <w:szCs w:val="23"/>
          </w:rPr>
          <w:t>18:21</w:t>
        </w:r>
      </w:smartTag>
      <w:r w:rsidRPr="00D4590B">
        <w:rPr>
          <w:sz w:val="23"/>
          <w:szCs w:val="23"/>
        </w:rPr>
        <w:t xml:space="preserve">. At </w:t>
      </w:r>
      <w:smartTag w:uri="urn:schemas-microsoft-com:office:smarttags" w:element="time">
        <w:smartTagPr>
          <w:attr w:name="Minute" w:val="21"/>
          <w:attr w:name="Hour" w:val="18"/>
        </w:smartTagPr>
        <w:r w:rsidRPr="00D4590B">
          <w:rPr>
            <w:sz w:val="23"/>
            <w:szCs w:val="23"/>
          </w:rPr>
          <w:t>18:21</w:t>
        </w:r>
      </w:smartTag>
      <w:r w:rsidRPr="00D4590B">
        <w:rPr>
          <w:sz w:val="23"/>
          <w:szCs w:val="23"/>
        </w:rPr>
        <w:t xml:space="preserve">, it is fairly clear to me that it signifies an interpretation that stands in contrast to more </w:t>
      </w:r>
      <w:proofErr w:type="spellStart"/>
      <w:r w:rsidRPr="00D4590B">
        <w:rPr>
          <w:sz w:val="23"/>
          <w:szCs w:val="23"/>
        </w:rPr>
        <w:t>midrashic</w:t>
      </w:r>
      <w:proofErr w:type="spellEnd"/>
      <w:r w:rsidRPr="00D4590B">
        <w:rPr>
          <w:sz w:val="23"/>
          <w:szCs w:val="23"/>
        </w:rPr>
        <w:t xml:space="preserve"> alternatives, not to figurative ones.</w:t>
      </w:r>
    </w:p>
  </w:footnote>
  <w:footnote w:id="98">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Grunhaus, “Commentary on Proverbs,” 319.</w:t>
      </w:r>
    </w:p>
  </w:footnote>
  <w:footnote w:id="99">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The phrase </w:t>
      </w:r>
      <w:proofErr w:type="spellStart"/>
      <w:r w:rsidRPr="00D4590B">
        <w:rPr>
          <w:i/>
          <w:iCs/>
          <w:sz w:val="23"/>
          <w:szCs w:val="23"/>
        </w:rPr>
        <w:t>perusho</w:t>
      </w:r>
      <w:proofErr w:type="spellEnd"/>
      <w:r w:rsidRPr="00D4590B">
        <w:rPr>
          <w:i/>
          <w:iCs/>
          <w:sz w:val="23"/>
          <w:szCs w:val="23"/>
        </w:rPr>
        <w:t xml:space="preserve"> </w:t>
      </w:r>
      <w:proofErr w:type="spellStart"/>
      <w:r w:rsidRPr="00D4590B">
        <w:rPr>
          <w:i/>
          <w:iCs/>
          <w:sz w:val="23"/>
          <w:szCs w:val="23"/>
        </w:rPr>
        <w:t>ke-mashma‘o</w:t>
      </w:r>
      <w:proofErr w:type="spellEnd"/>
      <w:r w:rsidRPr="00D4590B">
        <w:rPr>
          <w:sz w:val="23"/>
          <w:szCs w:val="23"/>
        </w:rPr>
        <w:t xml:space="preserve"> appears at </w:t>
      </w:r>
      <w:smartTag w:uri="urn:schemas-microsoft-com:office:smarttags" w:element="time">
        <w:smartTagPr>
          <w:attr w:name="Minute" w:val="25"/>
          <w:attr w:name="Hour" w:val="11"/>
        </w:smartTagPr>
        <w:r w:rsidRPr="00D4590B">
          <w:rPr>
            <w:sz w:val="23"/>
            <w:szCs w:val="23"/>
          </w:rPr>
          <w:t>11:25</w:t>
        </w:r>
      </w:smartTag>
      <w:r w:rsidRPr="00D4590B">
        <w:rPr>
          <w:sz w:val="23"/>
          <w:szCs w:val="23"/>
        </w:rPr>
        <w:t>.</w:t>
      </w:r>
    </w:p>
  </w:footnote>
  <w:footnote w:id="100">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Grunhaus, “Commentary on Proverbs,” 320.</w:t>
      </w:r>
    </w:p>
  </w:footnote>
  <w:footnote w:id="101">
    <w:p w:rsidR="00745007" w:rsidRPr="00D4590B" w:rsidRDefault="00745007" w:rsidP="0050565F">
      <w:pPr>
        <w:pStyle w:val="a3"/>
        <w:spacing w:line="270" w:lineRule="exact"/>
        <w:jc w:val="both"/>
        <w:rPr>
          <w:sz w:val="23"/>
          <w:szCs w:val="23"/>
          <w:lang w:bidi="he-IL"/>
        </w:rPr>
      </w:pPr>
      <w:r w:rsidRPr="00D4590B">
        <w:rPr>
          <w:rStyle w:val="a4"/>
          <w:sz w:val="23"/>
          <w:szCs w:val="23"/>
        </w:rPr>
        <w:footnoteRef/>
      </w:r>
      <w:r w:rsidRPr="00D4590B">
        <w:rPr>
          <w:sz w:val="23"/>
          <w:szCs w:val="23"/>
        </w:rPr>
        <w:t xml:space="preserve"> In the latter case, the term </w:t>
      </w:r>
      <w:r w:rsidRPr="00D4590B">
        <w:rPr>
          <w:rFonts w:hint="cs"/>
          <w:sz w:val="23"/>
          <w:szCs w:val="23"/>
          <w:rtl/>
          <w:lang w:bidi="he-IL"/>
        </w:rPr>
        <w:t>לפי פשוטו</w:t>
      </w:r>
      <w:r w:rsidRPr="00D4590B">
        <w:rPr>
          <w:sz w:val="23"/>
          <w:szCs w:val="23"/>
          <w:lang w:bidi="he-IL"/>
        </w:rPr>
        <w:t xml:space="preserve"> itself is borrowed from </w:t>
      </w:r>
      <w:proofErr w:type="spellStart"/>
      <w:r w:rsidRPr="00D4590B">
        <w:rPr>
          <w:sz w:val="23"/>
          <w:szCs w:val="23"/>
          <w:lang w:bidi="he-IL"/>
        </w:rPr>
        <w:t>Rashi</w:t>
      </w:r>
      <w:proofErr w:type="spellEnd"/>
      <w:r w:rsidRPr="00D4590B">
        <w:rPr>
          <w:sz w:val="23"/>
          <w:szCs w:val="23"/>
          <w:lang w:bidi="he-IL"/>
        </w:rPr>
        <w:t xml:space="preserve">. </w:t>
      </w:r>
      <w:r>
        <w:rPr>
          <w:sz w:val="23"/>
          <w:szCs w:val="23"/>
          <w:lang w:bidi="he-IL"/>
        </w:rPr>
        <w:t xml:space="preserve"> </w:t>
      </w:r>
    </w:p>
  </w:footnote>
  <w:footnote w:id="102">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See Grunhaus, “Commentary on Proverbs,” 317 n. 34.</w:t>
      </w:r>
    </w:p>
  </w:footnote>
  <w:footnote w:id="103">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Ibid., 317.</w:t>
      </w:r>
    </w:p>
  </w:footnote>
  <w:footnote w:id="104">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Compare Talmage, </w:t>
      </w:r>
      <w:r w:rsidRPr="00D4590B">
        <w:rPr>
          <w:i/>
          <w:iCs/>
          <w:sz w:val="23"/>
          <w:szCs w:val="23"/>
        </w:rPr>
        <w:t>Commentaries on Proverbs</w:t>
      </w:r>
      <w:r w:rsidRPr="00D4590B">
        <w:rPr>
          <w:sz w:val="23"/>
          <w:szCs w:val="23"/>
        </w:rPr>
        <w:t>, 36, who sees Radak as reacting to his brother’s work, and in turn, keeping philological comments to a minimum.</w:t>
      </w:r>
    </w:p>
  </w:footnote>
  <w:footnote w:id="105">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This commentary is reproduced in the </w:t>
      </w:r>
      <w:r w:rsidRPr="00D4590B">
        <w:rPr>
          <w:i/>
          <w:iCs/>
          <w:sz w:val="23"/>
          <w:szCs w:val="23"/>
        </w:rPr>
        <w:t>’</w:t>
      </w:r>
      <w:proofErr w:type="spellStart"/>
      <w:r w:rsidRPr="00D4590B">
        <w:rPr>
          <w:i/>
          <w:iCs/>
          <w:sz w:val="23"/>
          <w:szCs w:val="23"/>
        </w:rPr>
        <w:t>Orim</w:t>
      </w:r>
      <w:proofErr w:type="spellEnd"/>
      <w:r w:rsidRPr="00D4590B">
        <w:rPr>
          <w:i/>
          <w:iCs/>
          <w:sz w:val="23"/>
          <w:szCs w:val="23"/>
        </w:rPr>
        <w:t xml:space="preserve"> </w:t>
      </w:r>
      <w:proofErr w:type="spellStart"/>
      <w:r w:rsidRPr="00D4590B">
        <w:rPr>
          <w:i/>
          <w:iCs/>
          <w:sz w:val="23"/>
          <w:szCs w:val="23"/>
        </w:rPr>
        <w:t>Gedolim</w:t>
      </w:r>
      <w:proofErr w:type="spellEnd"/>
      <w:r w:rsidRPr="00D4590B">
        <w:rPr>
          <w:sz w:val="23"/>
          <w:szCs w:val="23"/>
        </w:rPr>
        <w:t xml:space="preserve"> Rabbinic Bible, </w:t>
      </w:r>
      <w:smartTag w:uri="urn:schemas-microsoft-com:office:smarttags" w:element="City">
        <w:smartTag w:uri="urn:schemas-microsoft-com:office:smarttags" w:element="place">
          <w:r w:rsidRPr="00D4590B">
            <w:rPr>
              <w:sz w:val="23"/>
              <w:szCs w:val="23"/>
            </w:rPr>
            <w:t>Jerusalem</w:t>
          </w:r>
        </w:smartTag>
      </w:smartTag>
      <w:r w:rsidRPr="00D4590B">
        <w:rPr>
          <w:sz w:val="23"/>
          <w:szCs w:val="23"/>
        </w:rPr>
        <w:t>, 1992.</w:t>
      </w:r>
    </w:p>
  </w:footnote>
  <w:footnote w:id="106">
    <w:p w:rsidR="00745007" w:rsidRPr="00D4590B" w:rsidRDefault="00745007" w:rsidP="00D4590B">
      <w:pPr>
        <w:pStyle w:val="a3"/>
        <w:spacing w:line="270" w:lineRule="exact"/>
        <w:jc w:val="both"/>
        <w:rPr>
          <w:sz w:val="23"/>
          <w:szCs w:val="23"/>
          <w:lang w:bidi="he-IL"/>
        </w:rPr>
      </w:pPr>
      <w:r w:rsidRPr="00D4590B">
        <w:rPr>
          <w:rStyle w:val="a4"/>
          <w:sz w:val="23"/>
          <w:szCs w:val="23"/>
        </w:rPr>
        <w:footnoteRef/>
      </w:r>
      <w:r w:rsidRPr="00D4590B">
        <w:rPr>
          <w:sz w:val="23"/>
          <w:szCs w:val="23"/>
        </w:rPr>
        <w:t xml:space="preserve"> Grunhaus, “Commentary on Proverbs,” 316. See n. 31, where she acknowledges one case where the </w:t>
      </w:r>
      <w:proofErr w:type="spellStart"/>
      <w:r w:rsidRPr="00D4590B">
        <w:rPr>
          <w:i/>
          <w:iCs/>
          <w:sz w:val="23"/>
          <w:szCs w:val="23"/>
          <w:lang w:bidi="he-IL"/>
        </w:rPr>
        <w:t>qerei</w:t>
      </w:r>
      <w:proofErr w:type="spellEnd"/>
      <w:r w:rsidRPr="00D4590B">
        <w:rPr>
          <w:sz w:val="23"/>
          <w:szCs w:val="23"/>
          <w:lang w:bidi="he-IL"/>
        </w:rPr>
        <w:t xml:space="preserve"> and </w:t>
      </w:r>
      <w:proofErr w:type="spellStart"/>
      <w:r w:rsidRPr="00D4590B">
        <w:rPr>
          <w:i/>
          <w:iCs/>
          <w:sz w:val="23"/>
          <w:szCs w:val="23"/>
          <w:lang w:bidi="he-IL"/>
        </w:rPr>
        <w:t>ketiv</w:t>
      </w:r>
      <w:proofErr w:type="spellEnd"/>
      <w:r w:rsidRPr="00D4590B">
        <w:rPr>
          <w:sz w:val="23"/>
          <w:szCs w:val="23"/>
          <w:lang w:bidi="he-IL"/>
        </w:rPr>
        <w:t xml:space="preserve"> are both explained in keeping with Radak’s practice, even though the author does not indicate, as Radak generally does, “that the alternative readings are due to </w:t>
      </w:r>
      <w:r w:rsidRPr="00D4590B">
        <w:rPr>
          <w:rFonts w:hint="cs"/>
          <w:sz w:val="23"/>
          <w:szCs w:val="23"/>
          <w:rtl/>
          <w:lang w:bidi="he-IL"/>
        </w:rPr>
        <w:t>קרי וכתיב</w:t>
      </w:r>
      <w:r w:rsidRPr="00D4590B">
        <w:rPr>
          <w:sz w:val="23"/>
          <w:szCs w:val="23"/>
          <w:lang w:bidi="he-IL"/>
        </w:rPr>
        <w:t>.”</w:t>
      </w:r>
    </w:p>
  </w:footnote>
  <w:footnote w:id="107">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Since, as Grunhaus indicates in her remarks, Radak commonly cites other biblical verses</w:t>
      </w:r>
      <w:r>
        <w:rPr>
          <w:sz w:val="23"/>
          <w:szCs w:val="23"/>
        </w:rPr>
        <w:t>,</w:t>
      </w:r>
      <w:r w:rsidRPr="00D4590B">
        <w:rPr>
          <w:sz w:val="23"/>
          <w:szCs w:val="23"/>
        </w:rPr>
        <w:t xml:space="preserve"> especially in philological contexts, it is not surprising—given our commentator’s comparatively infrequent discussion of stylistic issues—that biblical citations appear less commonly here than in Radak’s other works. Contrast her argument in “Commentary </w:t>
      </w:r>
      <w:r>
        <w:rPr>
          <w:sz w:val="23"/>
          <w:szCs w:val="23"/>
        </w:rPr>
        <w:t>on</w:t>
      </w:r>
      <w:r w:rsidRPr="00D4590B">
        <w:rPr>
          <w:sz w:val="23"/>
          <w:szCs w:val="23"/>
        </w:rPr>
        <w:t xml:space="preserve"> Proverbs,” 325.</w:t>
      </w:r>
    </w:p>
  </w:footnote>
  <w:footnote w:id="108">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As above, n. 10</w:t>
      </w:r>
      <w:r>
        <w:rPr>
          <w:sz w:val="23"/>
          <w:szCs w:val="23"/>
        </w:rPr>
        <w:t>2</w:t>
      </w:r>
      <w:r w:rsidRPr="00D4590B">
        <w:rPr>
          <w:sz w:val="23"/>
          <w:szCs w:val="23"/>
        </w:rPr>
        <w:t>, Talmage suggests that Radak deliberately limited his discussion of philological matters.</w:t>
      </w:r>
    </w:p>
  </w:footnote>
  <w:footnote w:id="109">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See Berger, “Exegetical </w:t>
      </w:r>
      <w:proofErr w:type="spellStart"/>
      <w:r w:rsidRPr="00D4590B">
        <w:rPr>
          <w:sz w:val="23"/>
          <w:szCs w:val="23"/>
        </w:rPr>
        <w:t>Programme</w:t>
      </w:r>
      <w:proofErr w:type="spellEnd"/>
      <w:r w:rsidRPr="00D4590B">
        <w:rPr>
          <w:sz w:val="23"/>
          <w:szCs w:val="23"/>
        </w:rPr>
        <w:t>,” 90.</w:t>
      </w:r>
    </w:p>
  </w:footnote>
  <w:footnote w:id="110">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She does not provide a list. My own count produces twenty-two, an inconsequential difference.</w:t>
      </w:r>
    </w:p>
  </w:footnote>
  <w:footnote w:id="111">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Grunhaus, “Commentary on Proverbs,” 323 and n. 59; Cohen, </w:t>
      </w:r>
      <w:r w:rsidRPr="00D4590B">
        <w:rPr>
          <w:i/>
          <w:iCs/>
          <w:sz w:val="23"/>
          <w:szCs w:val="23"/>
        </w:rPr>
        <w:t>Commentary on Hosea</w:t>
      </w:r>
      <w:r w:rsidRPr="00D4590B">
        <w:rPr>
          <w:sz w:val="23"/>
          <w:szCs w:val="23"/>
        </w:rPr>
        <w:t>, xxiv n. 5.</w:t>
      </w:r>
    </w:p>
  </w:footnote>
  <w:footnote w:id="112">
    <w:p w:rsidR="00745007" w:rsidRPr="00D4590B" w:rsidRDefault="00745007" w:rsidP="00D4590B">
      <w:pPr>
        <w:pStyle w:val="a3"/>
        <w:spacing w:line="270" w:lineRule="exact"/>
        <w:jc w:val="both"/>
        <w:rPr>
          <w:sz w:val="23"/>
          <w:szCs w:val="23"/>
          <w:lang w:bidi="he-IL"/>
        </w:rPr>
      </w:pPr>
      <w:r w:rsidRPr="00D4590B">
        <w:rPr>
          <w:rStyle w:val="a4"/>
          <w:sz w:val="23"/>
          <w:szCs w:val="23"/>
        </w:rPr>
        <w:footnoteRef/>
      </w:r>
      <w:r w:rsidRPr="00D4590B">
        <w:rPr>
          <w:sz w:val="23"/>
          <w:szCs w:val="23"/>
        </w:rPr>
        <w:t xml:space="preserve"> A search of </w:t>
      </w:r>
      <w:r w:rsidRPr="00D4590B">
        <w:rPr>
          <w:rFonts w:hint="cs"/>
          <w:sz w:val="23"/>
          <w:szCs w:val="23"/>
          <w:rtl/>
          <w:lang w:bidi="he-IL"/>
        </w:rPr>
        <w:t>אנקלוס</w:t>
      </w:r>
      <w:r w:rsidRPr="00D4590B">
        <w:rPr>
          <w:sz w:val="23"/>
          <w:szCs w:val="23"/>
          <w:lang w:bidi="he-IL"/>
        </w:rPr>
        <w:t xml:space="preserve"> and </w:t>
      </w:r>
      <w:r w:rsidRPr="00D4590B">
        <w:rPr>
          <w:rFonts w:hint="cs"/>
          <w:sz w:val="23"/>
          <w:szCs w:val="23"/>
          <w:rtl/>
          <w:lang w:bidi="he-IL"/>
        </w:rPr>
        <w:t>אונקלוס</w:t>
      </w:r>
      <w:r w:rsidRPr="00D4590B">
        <w:rPr>
          <w:sz w:val="23"/>
          <w:szCs w:val="23"/>
          <w:lang w:bidi="he-IL"/>
        </w:rPr>
        <w:t xml:space="preserve"> in the </w:t>
      </w:r>
      <w:proofErr w:type="spellStart"/>
      <w:r w:rsidRPr="00D4590B">
        <w:rPr>
          <w:i/>
          <w:iCs/>
          <w:sz w:val="23"/>
          <w:szCs w:val="23"/>
          <w:lang w:bidi="he-IL"/>
        </w:rPr>
        <w:t>Haketer</w:t>
      </w:r>
      <w:proofErr w:type="spellEnd"/>
      <w:r w:rsidRPr="00D4590B">
        <w:rPr>
          <w:sz w:val="23"/>
          <w:szCs w:val="23"/>
          <w:lang w:bidi="he-IL"/>
        </w:rPr>
        <w:t xml:space="preserve"> database produces forty-one appearances in Radak’s commentaries to the Prophets and Writings.</w:t>
      </w:r>
    </w:p>
  </w:footnote>
  <w:footnote w:id="113">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On Chronicles, it is clear that no Targum was available to Radak; see </w:t>
      </w:r>
      <w:proofErr w:type="spellStart"/>
      <w:r w:rsidRPr="00D4590B">
        <w:rPr>
          <w:sz w:val="23"/>
          <w:szCs w:val="23"/>
        </w:rPr>
        <w:t>Pinkhos</w:t>
      </w:r>
      <w:proofErr w:type="spellEnd"/>
      <w:r w:rsidRPr="00D4590B">
        <w:rPr>
          <w:sz w:val="23"/>
          <w:szCs w:val="23"/>
        </w:rPr>
        <w:t xml:space="preserve"> </w:t>
      </w:r>
      <w:proofErr w:type="spellStart"/>
      <w:r w:rsidRPr="00D4590B">
        <w:rPr>
          <w:sz w:val="23"/>
          <w:szCs w:val="23"/>
        </w:rPr>
        <w:t>Churgin</w:t>
      </w:r>
      <w:proofErr w:type="spellEnd"/>
      <w:r w:rsidRPr="00D4590B">
        <w:rPr>
          <w:sz w:val="23"/>
          <w:szCs w:val="23"/>
        </w:rPr>
        <w:t xml:space="preserve">, </w:t>
      </w:r>
      <w:r w:rsidRPr="00D4590B">
        <w:rPr>
          <w:i/>
          <w:iCs/>
          <w:sz w:val="23"/>
          <w:szCs w:val="23"/>
        </w:rPr>
        <w:t>The Targum to Hagiographa</w:t>
      </w:r>
      <w:r w:rsidRPr="00D4590B">
        <w:rPr>
          <w:sz w:val="23"/>
          <w:szCs w:val="23"/>
        </w:rPr>
        <w:t xml:space="preserve"> (Hebrew), </w:t>
      </w:r>
      <w:smartTag w:uri="urn:schemas-microsoft-com:office:smarttags" w:element="State">
        <w:smartTag w:uri="urn:schemas-microsoft-com:office:smarttags" w:element="place">
          <w:r w:rsidRPr="00D4590B">
            <w:rPr>
              <w:sz w:val="23"/>
              <w:szCs w:val="23"/>
            </w:rPr>
            <w:t>New York</w:t>
          </w:r>
        </w:smartTag>
      </w:smartTag>
      <w:r w:rsidRPr="00D4590B">
        <w:rPr>
          <w:sz w:val="23"/>
          <w:szCs w:val="23"/>
        </w:rPr>
        <w:t xml:space="preserve">: Horeb, 1945, 236, as well as the citations in Berger, “Exegetical </w:t>
      </w:r>
      <w:proofErr w:type="spellStart"/>
      <w:r w:rsidRPr="00D4590B">
        <w:rPr>
          <w:sz w:val="23"/>
          <w:szCs w:val="23"/>
        </w:rPr>
        <w:t>Programme</w:t>
      </w:r>
      <w:proofErr w:type="spellEnd"/>
      <w:r w:rsidRPr="00D4590B">
        <w:rPr>
          <w:sz w:val="23"/>
          <w:szCs w:val="23"/>
        </w:rPr>
        <w:t xml:space="preserve">,” 84 n. 9. For a discussion of the lone case where Radak cites the Targum on Proverbs, at I Samuel 11:8 (and in a parallel remark in </w:t>
      </w:r>
      <w:proofErr w:type="spellStart"/>
      <w:r w:rsidRPr="00D4590B">
        <w:rPr>
          <w:i/>
          <w:iCs/>
          <w:sz w:val="23"/>
          <w:szCs w:val="23"/>
        </w:rPr>
        <w:t>Shorashim</w:t>
      </w:r>
      <w:proofErr w:type="spellEnd"/>
      <w:r>
        <w:rPr>
          <w:sz w:val="23"/>
          <w:szCs w:val="23"/>
        </w:rPr>
        <w:t>,</w:t>
      </w:r>
      <w:r w:rsidRPr="00D4590B">
        <w:rPr>
          <w:sz w:val="23"/>
          <w:szCs w:val="23"/>
        </w:rPr>
        <w:t xml:space="preserve"> entry </w:t>
      </w:r>
      <w:r w:rsidRPr="00D4590B">
        <w:rPr>
          <w:rFonts w:hint="cs"/>
          <w:sz w:val="23"/>
          <w:szCs w:val="23"/>
          <w:rtl/>
          <w:lang w:bidi="he-IL"/>
        </w:rPr>
        <w:t>בזק</w:t>
      </w:r>
      <w:r w:rsidRPr="00D4590B">
        <w:rPr>
          <w:sz w:val="23"/>
          <w:szCs w:val="23"/>
          <w:lang w:bidi="he-IL"/>
        </w:rPr>
        <w:t>)</w:t>
      </w:r>
      <w:r w:rsidRPr="00D4590B">
        <w:rPr>
          <w:sz w:val="23"/>
          <w:szCs w:val="23"/>
        </w:rPr>
        <w:t xml:space="preserve">, see </w:t>
      </w:r>
      <w:proofErr w:type="spellStart"/>
      <w:r w:rsidRPr="00D4590B">
        <w:rPr>
          <w:sz w:val="23"/>
          <w:szCs w:val="23"/>
        </w:rPr>
        <w:t>Bryna</w:t>
      </w:r>
      <w:proofErr w:type="spellEnd"/>
      <w:r w:rsidRPr="00D4590B">
        <w:rPr>
          <w:sz w:val="23"/>
          <w:szCs w:val="23"/>
        </w:rPr>
        <w:t xml:space="preserve"> J. Levy, “</w:t>
      </w:r>
      <w:proofErr w:type="spellStart"/>
      <w:r w:rsidRPr="00D4590B">
        <w:rPr>
          <w:sz w:val="23"/>
          <w:szCs w:val="23"/>
        </w:rPr>
        <w:t>Rashi’s</w:t>
      </w:r>
      <w:proofErr w:type="spellEnd"/>
      <w:r w:rsidRPr="00D4590B">
        <w:rPr>
          <w:sz w:val="23"/>
          <w:szCs w:val="23"/>
        </w:rPr>
        <w:t xml:space="preserve"> Commentary on the Book of Samuel: Critical Edition and Supercommentary,” Ph.D. diss., </w:t>
      </w:r>
      <w:smartTag w:uri="urn:schemas-microsoft-com:office:smarttags" w:element="place">
        <w:smartTag w:uri="urn:schemas-microsoft-com:office:smarttags" w:element="PlaceName">
          <w:r w:rsidRPr="00D4590B">
            <w:rPr>
              <w:sz w:val="23"/>
              <w:szCs w:val="23"/>
            </w:rPr>
            <w:t>Yeshiva</w:t>
          </w:r>
        </w:smartTag>
        <w:r w:rsidRPr="00D4590B">
          <w:rPr>
            <w:sz w:val="23"/>
            <w:szCs w:val="23"/>
          </w:rPr>
          <w:t xml:space="preserve"> </w:t>
        </w:r>
        <w:smartTag w:uri="urn:schemas-microsoft-com:office:smarttags" w:element="PlaceType">
          <w:r w:rsidRPr="00D4590B">
            <w:rPr>
              <w:sz w:val="23"/>
              <w:szCs w:val="23"/>
            </w:rPr>
            <w:t>University</w:t>
          </w:r>
        </w:smartTag>
      </w:smartTag>
      <w:r w:rsidRPr="00D4590B">
        <w:rPr>
          <w:sz w:val="23"/>
          <w:szCs w:val="23"/>
        </w:rPr>
        <w:t xml:space="preserve">, 1987, 60. Levy demonstrates that Radak’s entire comment appears to be adapted from an earlier source. It therefore remains highly unlikely that Radak possessed this Targum. An identical citation of the Targum on Proverbs appears in printed texts of Rashi on the same verse in Samuel. However, as noted by Abraham Berliner, “Toward a History of </w:t>
      </w:r>
      <w:proofErr w:type="spellStart"/>
      <w:r w:rsidRPr="00D4590B">
        <w:rPr>
          <w:sz w:val="23"/>
          <w:szCs w:val="23"/>
        </w:rPr>
        <w:t>Rashi’s</w:t>
      </w:r>
      <w:proofErr w:type="spellEnd"/>
      <w:r w:rsidRPr="00D4590B">
        <w:rPr>
          <w:sz w:val="23"/>
          <w:szCs w:val="23"/>
        </w:rPr>
        <w:t xml:space="preserve"> Commentaries,” translated into Hebrew from German in Berliner, </w:t>
      </w:r>
      <w:r w:rsidRPr="00D4590B">
        <w:rPr>
          <w:i/>
          <w:iCs/>
          <w:sz w:val="23"/>
          <w:szCs w:val="23"/>
        </w:rPr>
        <w:t>Selected Writings</w:t>
      </w:r>
      <w:r w:rsidRPr="00D4590B">
        <w:rPr>
          <w:sz w:val="23"/>
          <w:szCs w:val="23"/>
        </w:rPr>
        <w:t xml:space="preserve">, Jerusalem: Mossad </w:t>
      </w:r>
      <w:proofErr w:type="spellStart"/>
      <w:r w:rsidRPr="00D4590B">
        <w:rPr>
          <w:sz w:val="23"/>
          <w:szCs w:val="23"/>
        </w:rPr>
        <w:t>Harav</w:t>
      </w:r>
      <w:proofErr w:type="spellEnd"/>
      <w:r w:rsidRPr="00D4590B">
        <w:rPr>
          <w:sz w:val="23"/>
          <w:szCs w:val="23"/>
        </w:rPr>
        <w:t xml:space="preserve"> Kook, 1969, 210—and as confirmed by Levy—the comment in Rashi does not appear to be authentic, and he too seems not to have had this Targum. Contrast </w:t>
      </w:r>
      <w:proofErr w:type="spellStart"/>
      <w:r w:rsidRPr="00D4590B">
        <w:rPr>
          <w:sz w:val="23"/>
          <w:szCs w:val="23"/>
        </w:rPr>
        <w:t>Churgin</w:t>
      </w:r>
      <w:proofErr w:type="spellEnd"/>
      <w:r w:rsidRPr="00D4590B">
        <w:rPr>
          <w:sz w:val="23"/>
          <w:szCs w:val="23"/>
        </w:rPr>
        <w:t xml:space="preserve">, </w:t>
      </w:r>
      <w:r w:rsidRPr="00D4590B">
        <w:rPr>
          <w:i/>
          <w:iCs/>
          <w:sz w:val="23"/>
          <w:szCs w:val="23"/>
        </w:rPr>
        <w:t>Targum</w:t>
      </w:r>
      <w:r w:rsidRPr="00D4590B">
        <w:rPr>
          <w:sz w:val="23"/>
          <w:szCs w:val="23"/>
        </w:rPr>
        <w:t>, 85, who endorses an earlier claim that Rashi had the Targum on Proverbs based on the citation in printed editions of the Samuel commentary.</w:t>
      </w:r>
    </w:p>
  </w:footnote>
  <w:footnote w:id="114">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Radak’s commentary </w:t>
      </w:r>
      <w:r>
        <w:rPr>
          <w:sz w:val="23"/>
          <w:szCs w:val="23"/>
        </w:rPr>
        <w:t>on</w:t>
      </w:r>
      <w:r w:rsidRPr="00D4590B">
        <w:rPr>
          <w:sz w:val="23"/>
          <w:szCs w:val="23"/>
        </w:rPr>
        <w:t xml:space="preserve"> the short Book of Malachi provides a neat, contained sample. In that work, I count fifteen citations of Jonathan, all from the Targum on the verse Radak is interpreting, and three citations (at 1:9, 1:13 and 1:14) of targumic renderings from elsewhere—all of </w:t>
      </w:r>
      <w:proofErr w:type="spellStart"/>
      <w:r w:rsidRPr="00D4590B">
        <w:rPr>
          <w:sz w:val="23"/>
          <w:szCs w:val="23"/>
        </w:rPr>
        <w:t>Onkelos</w:t>
      </w:r>
      <w:proofErr w:type="spellEnd"/>
      <w:r w:rsidRPr="00D4590B">
        <w:rPr>
          <w:sz w:val="23"/>
          <w:szCs w:val="23"/>
        </w:rPr>
        <w:t>.</w:t>
      </w:r>
    </w:p>
  </w:footnote>
  <w:footnote w:id="115">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These appear at I 7:8 and II 32:28. Another, at I </w:t>
      </w:r>
      <w:smartTag w:uri="urn:schemas-microsoft-com:office:smarttags" w:element="time">
        <w:smartTagPr>
          <w:attr w:name="Minute" w:val="55"/>
          <w:attr w:name="Hour" w:val="2"/>
        </w:smartTagPr>
        <w:r w:rsidRPr="00D4590B">
          <w:rPr>
            <w:sz w:val="23"/>
            <w:szCs w:val="23"/>
          </w:rPr>
          <w:t>2:55</w:t>
        </w:r>
      </w:smartTag>
      <w:r w:rsidRPr="00D4590B">
        <w:rPr>
          <w:sz w:val="23"/>
          <w:szCs w:val="23"/>
        </w:rPr>
        <w:t>, is merely a citation of Pseudo-</w:t>
      </w:r>
      <w:proofErr w:type="spellStart"/>
      <w:r w:rsidRPr="00D4590B">
        <w:rPr>
          <w:sz w:val="23"/>
          <w:szCs w:val="23"/>
        </w:rPr>
        <w:t>Rashi’s</w:t>
      </w:r>
      <w:proofErr w:type="spellEnd"/>
      <w:r w:rsidRPr="00D4590B">
        <w:rPr>
          <w:sz w:val="23"/>
          <w:szCs w:val="23"/>
        </w:rPr>
        <w:t xml:space="preserve"> reference to Jonathan. Still another, at I </w:t>
      </w:r>
      <w:smartTag w:uri="urn:schemas-microsoft-com:office:smarttags" w:element="time">
        <w:smartTagPr>
          <w:attr w:name="Minute" w:val="27"/>
          <w:attr w:name="Hour" w:val="15"/>
        </w:smartTagPr>
        <w:r w:rsidRPr="00D4590B">
          <w:rPr>
            <w:sz w:val="23"/>
            <w:szCs w:val="23"/>
          </w:rPr>
          <w:t>15:27</w:t>
        </w:r>
      </w:smartTag>
      <w:r w:rsidRPr="00D4590B">
        <w:rPr>
          <w:sz w:val="23"/>
          <w:szCs w:val="23"/>
        </w:rPr>
        <w:t>, follows Radak’s citation of Jonathan's rendering of the verse that parallels Chronicles, and serves to clarify Jonathan’s terminology.</w:t>
      </w:r>
    </w:p>
  </w:footnote>
  <w:footnote w:id="116">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These appear at II 2:6, 2:9, </w:t>
      </w:r>
      <w:smartTag w:uri="urn:schemas-microsoft-com:office:smarttags" w:element="time">
        <w:smartTagPr>
          <w:attr w:name="Minute" w:val="15"/>
          <w:attr w:name="Hour" w:val="2"/>
        </w:smartTagPr>
        <w:r w:rsidRPr="00D4590B">
          <w:rPr>
            <w:sz w:val="23"/>
            <w:szCs w:val="23"/>
          </w:rPr>
          <w:t>2:15</w:t>
        </w:r>
      </w:smartTag>
      <w:r w:rsidRPr="00D4590B">
        <w:rPr>
          <w:sz w:val="23"/>
          <w:szCs w:val="23"/>
        </w:rPr>
        <w:t xml:space="preserve">, </w:t>
      </w:r>
      <w:smartTag w:uri="urn:schemas-microsoft-com:office:smarttags" w:element="time">
        <w:smartTagPr>
          <w:attr w:name="Minute" w:val="13"/>
          <w:attr w:name="Hour" w:val="15"/>
        </w:smartTagPr>
        <w:r w:rsidRPr="00D4590B">
          <w:rPr>
            <w:sz w:val="23"/>
            <w:szCs w:val="23"/>
          </w:rPr>
          <w:t>15:13</w:t>
        </w:r>
      </w:smartTag>
      <w:r w:rsidRPr="00D4590B">
        <w:rPr>
          <w:sz w:val="23"/>
          <w:szCs w:val="23"/>
        </w:rPr>
        <w:t xml:space="preserve">, </w:t>
      </w:r>
      <w:smartTag w:uri="urn:schemas-microsoft-com:office:smarttags" w:element="time">
        <w:smartTagPr>
          <w:attr w:name="Minute" w:val="14"/>
          <w:attr w:name="Hour" w:val="16"/>
        </w:smartTagPr>
        <w:r w:rsidRPr="00D4590B">
          <w:rPr>
            <w:sz w:val="23"/>
            <w:szCs w:val="23"/>
          </w:rPr>
          <w:t>16:14</w:t>
        </w:r>
      </w:smartTag>
      <w:r w:rsidRPr="00D4590B">
        <w:rPr>
          <w:sz w:val="23"/>
          <w:szCs w:val="23"/>
        </w:rPr>
        <w:t>, 27:4, 29:11, and 36:16.</w:t>
      </w:r>
    </w:p>
  </w:footnote>
  <w:footnote w:id="117">
    <w:p w:rsidR="00745007" w:rsidRPr="00D4590B" w:rsidRDefault="00745007" w:rsidP="00D4590B">
      <w:pPr>
        <w:pStyle w:val="a3"/>
        <w:spacing w:line="270" w:lineRule="exact"/>
        <w:jc w:val="both"/>
        <w:rPr>
          <w:i/>
          <w:iCs/>
          <w:sz w:val="23"/>
          <w:szCs w:val="23"/>
        </w:rPr>
      </w:pPr>
      <w:r w:rsidRPr="00D4590B">
        <w:rPr>
          <w:rStyle w:val="a4"/>
          <w:sz w:val="23"/>
          <w:szCs w:val="23"/>
        </w:rPr>
        <w:footnoteRef/>
      </w:r>
      <w:r w:rsidRPr="00D4590B">
        <w:rPr>
          <w:sz w:val="23"/>
          <w:szCs w:val="23"/>
        </w:rPr>
        <w:t xml:space="preserve"> As a secondary matter, Grunhaus adds that our commentator repeats some targumic citations in different places in the work, “which does not seem to be the case with </w:t>
      </w:r>
      <w:proofErr w:type="spellStart"/>
      <w:r w:rsidRPr="00D4590B">
        <w:rPr>
          <w:sz w:val="23"/>
          <w:szCs w:val="23"/>
        </w:rPr>
        <w:t>Radak</w:t>
      </w:r>
      <w:proofErr w:type="spellEnd"/>
      <w:r w:rsidRPr="00D4590B">
        <w:rPr>
          <w:sz w:val="23"/>
          <w:szCs w:val="23"/>
        </w:rPr>
        <w:t xml:space="preserve">.” Even if this could be shown to be uncharacteristic of Radak in his later works, the evidence relating to targumic citations would appear to remain no worse than neutral for the purposes of our argument. </w:t>
      </w:r>
    </w:p>
  </w:footnote>
  <w:footnote w:id="118">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Grunhaus, “Commentary on Proverbs,” 318-319.</w:t>
      </w:r>
    </w:p>
  </w:footnote>
  <w:footnote w:id="119">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Grunhaus, “Dependence of Radak on Rashi.”</w:t>
      </w:r>
    </w:p>
  </w:footnote>
  <w:footnote w:id="120">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Berger, “Exegetical </w:t>
      </w:r>
      <w:proofErr w:type="spellStart"/>
      <w:r w:rsidRPr="00D4590B">
        <w:rPr>
          <w:sz w:val="23"/>
          <w:szCs w:val="23"/>
        </w:rPr>
        <w:t>Programme</w:t>
      </w:r>
      <w:proofErr w:type="spellEnd"/>
      <w:r w:rsidRPr="00D4590B">
        <w:rPr>
          <w:sz w:val="23"/>
          <w:szCs w:val="23"/>
        </w:rPr>
        <w:t>,” 90-92.</w:t>
      </w:r>
    </w:p>
  </w:footnote>
  <w:footnote w:id="121">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A full list of these citations appears in Grunhaus, “Commentary on Proverbs,” 318 n. 38. </w:t>
      </w:r>
    </w:p>
  </w:footnote>
  <w:footnote w:id="122">
    <w:p w:rsidR="00745007" w:rsidRPr="00D4590B" w:rsidRDefault="00745007" w:rsidP="00652B40">
      <w:pPr>
        <w:pStyle w:val="a3"/>
        <w:spacing w:line="270" w:lineRule="exact"/>
        <w:jc w:val="both"/>
        <w:rPr>
          <w:sz w:val="23"/>
          <w:szCs w:val="23"/>
        </w:rPr>
      </w:pPr>
      <w:r w:rsidRPr="00D4590B">
        <w:rPr>
          <w:rStyle w:val="a4"/>
          <w:sz w:val="23"/>
          <w:szCs w:val="23"/>
        </w:rPr>
        <w:footnoteRef/>
      </w:r>
      <w:r w:rsidRPr="00D4590B">
        <w:rPr>
          <w:sz w:val="23"/>
          <w:szCs w:val="23"/>
        </w:rPr>
        <w:t xml:space="preserve"> The absence in the Proverbs commentary of what Grunhaus calls the </w:t>
      </w:r>
      <w:proofErr w:type="spellStart"/>
      <w:r w:rsidRPr="00D4590B">
        <w:rPr>
          <w:i/>
          <w:iCs/>
          <w:sz w:val="23"/>
          <w:szCs w:val="23"/>
        </w:rPr>
        <w:t>perush</w:t>
      </w:r>
      <w:proofErr w:type="spellEnd"/>
      <w:r w:rsidRPr="00D4590B">
        <w:rPr>
          <w:i/>
          <w:iCs/>
          <w:sz w:val="23"/>
          <w:szCs w:val="23"/>
        </w:rPr>
        <w:t xml:space="preserve"> </w:t>
      </w:r>
      <w:proofErr w:type="spellStart"/>
      <w:r w:rsidRPr="00D4590B">
        <w:rPr>
          <w:i/>
          <w:iCs/>
          <w:sz w:val="23"/>
          <w:szCs w:val="23"/>
        </w:rPr>
        <w:t>kaful</w:t>
      </w:r>
      <w:proofErr w:type="spellEnd"/>
      <w:r w:rsidRPr="00D4590B">
        <w:rPr>
          <w:sz w:val="23"/>
          <w:szCs w:val="23"/>
        </w:rPr>
        <w:t xml:space="preserve">, said to be Radak’s “most common format for quotation of rabbinic passages” (“Commentary on Proverbs,” 318), is of little significance. She is referring to Radak’s presentation of a </w:t>
      </w:r>
      <w:proofErr w:type="spellStart"/>
      <w:r w:rsidRPr="00D4590B">
        <w:rPr>
          <w:i/>
          <w:iCs/>
          <w:sz w:val="23"/>
          <w:szCs w:val="23"/>
        </w:rPr>
        <w:t>peshat</w:t>
      </w:r>
      <w:proofErr w:type="spellEnd"/>
      <w:r w:rsidRPr="00D4590B">
        <w:rPr>
          <w:sz w:val="23"/>
          <w:szCs w:val="23"/>
        </w:rPr>
        <w:t xml:space="preserve"> followed by a </w:t>
      </w:r>
      <w:r w:rsidRPr="00D4590B">
        <w:rPr>
          <w:i/>
          <w:iCs/>
          <w:sz w:val="23"/>
          <w:szCs w:val="23"/>
        </w:rPr>
        <w:t>derash</w:t>
      </w:r>
      <w:r w:rsidRPr="00D4590B">
        <w:rPr>
          <w:sz w:val="23"/>
          <w:szCs w:val="23"/>
        </w:rPr>
        <w:t xml:space="preserve">, both of which he labels accordingly. </w:t>
      </w:r>
      <w:r w:rsidRPr="00652B40">
        <w:rPr>
          <w:sz w:val="23"/>
          <w:szCs w:val="23"/>
        </w:rPr>
        <w:t>Even if a plurality of</w:t>
      </w:r>
      <w:r w:rsidRPr="00D4590B">
        <w:rPr>
          <w:sz w:val="23"/>
          <w:szCs w:val="23"/>
        </w:rPr>
        <w:t xml:space="preserve"> </w:t>
      </w:r>
      <w:proofErr w:type="spellStart"/>
      <w:r w:rsidRPr="00D4590B">
        <w:rPr>
          <w:sz w:val="23"/>
          <w:szCs w:val="23"/>
        </w:rPr>
        <w:t>Radak’s</w:t>
      </w:r>
      <w:proofErr w:type="spellEnd"/>
      <w:r w:rsidRPr="00D4590B">
        <w:rPr>
          <w:sz w:val="23"/>
          <w:szCs w:val="23"/>
        </w:rPr>
        <w:t xml:space="preserve"> rabbinic citations follow this format, such instances remain only a small percentage of all his references to rabbinic literature. In the Chronicles commentary there are just two such examples; and given the especially small number of rabbinic citations in the Proverbs commentary, it is not at all exceptional that this method of presentation does not appear. As for the additional claim (</w:t>
      </w:r>
      <w:r w:rsidRPr="00D4590B">
        <w:rPr>
          <w:iCs/>
          <w:sz w:val="23"/>
          <w:szCs w:val="23"/>
        </w:rPr>
        <w:t>ibid</w:t>
      </w:r>
      <w:r w:rsidRPr="00D4590B">
        <w:rPr>
          <w:sz w:val="23"/>
          <w:szCs w:val="23"/>
        </w:rPr>
        <w:t>.)</w:t>
      </w:r>
      <w:r w:rsidRPr="00D4590B">
        <w:rPr>
          <w:i/>
          <w:iCs/>
          <w:sz w:val="23"/>
          <w:szCs w:val="23"/>
        </w:rPr>
        <w:t xml:space="preserve"> </w:t>
      </w:r>
      <w:r w:rsidRPr="00D4590B">
        <w:rPr>
          <w:sz w:val="23"/>
          <w:szCs w:val="23"/>
        </w:rPr>
        <w:t xml:space="preserve">that “cases in which a rabbinic interpretation is quoted before a supposed </w:t>
      </w:r>
      <w:proofErr w:type="spellStart"/>
      <w:r w:rsidRPr="00D4590B">
        <w:rPr>
          <w:i/>
          <w:iCs/>
          <w:sz w:val="23"/>
          <w:szCs w:val="23"/>
        </w:rPr>
        <w:t>peshat</w:t>
      </w:r>
      <w:proofErr w:type="spellEnd"/>
      <w:r w:rsidRPr="00D4590B">
        <w:rPr>
          <w:sz w:val="23"/>
          <w:szCs w:val="23"/>
        </w:rPr>
        <w:t>, such as the comments on Prov. 9:1 and 18:21, do not function like comments of the same structure in Radak’s known commentaries,” no further explanation is provided. It must be recalled that when weighing alternatives, our commentator is often concerned with the question of literal vs. figurative interpretation</w:t>
      </w:r>
      <w:r>
        <w:rPr>
          <w:sz w:val="23"/>
          <w:szCs w:val="23"/>
        </w:rPr>
        <w:t>,</w:t>
      </w:r>
      <w:r w:rsidRPr="00D4590B">
        <w:rPr>
          <w:sz w:val="23"/>
          <w:szCs w:val="23"/>
        </w:rPr>
        <w:t xml:space="preserve"> as he is at least in part at 9:1; and there is little in Radak’s known works to serve as a basis for comparison. The same must be said of </w:t>
      </w:r>
      <w:proofErr w:type="spellStart"/>
      <w:r w:rsidRPr="00D4590B">
        <w:rPr>
          <w:sz w:val="23"/>
          <w:szCs w:val="23"/>
        </w:rPr>
        <w:t>Grunhaus’s</w:t>
      </w:r>
      <w:proofErr w:type="spellEnd"/>
      <w:r w:rsidRPr="00D4590B">
        <w:rPr>
          <w:sz w:val="23"/>
          <w:szCs w:val="23"/>
        </w:rPr>
        <w:t xml:space="preserve"> related comments on page 320 concerning the “ordering of interpretations.” A further assertion (</w:t>
      </w:r>
      <w:r w:rsidRPr="00D4590B">
        <w:rPr>
          <w:iCs/>
          <w:sz w:val="23"/>
          <w:szCs w:val="23"/>
        </w:rPr>
        <w:t>ibid</w:t>
      </w:r>
      <w:r w:rsidRPr="00D4590B">
        <w:rPr>
          <w:sz w:val="23"/>
          <w:szCs w:val="23"/>
        </w:rPr>
        <w:t xml:space="preserve">., 319) that most rabbinic citations support a preaching goal rather than an exegetical one is accompanied by an example from a comment at </w:t>
      </w:r>
      <w:smartTag w:uri="urn:schemas-microsoft-com:office:smarttags" w:element="time">
        <w:smartTagPr>
          <w:attr w:name="Minute" w:val="33"/>
          <w:attr w:name="Hour" w:val="6"/>
        </w:smartTagPr>
        <w:r w:rsidRPr="00D4590B">
          <w:rPr>
            <w:sz w:val="23"/>
            <w:szCs w:val="23"/>
          </w:rPr>
          <w:t>6:33</w:t>
        </w:r>
      </w:smartTag>
      <w:r w:rsidRPr="00D4590B">
        <w:rPr>
          <w:sz w:val="23"/>
          <w:szCs w:val="23"/>
        </w:rPr>
        <w:t>; but it is not clear to me how this example corroborates the claim in question.</w:t>
      </w:r>
    </w:p>
  </w:footnote>
  <w:footnote w:id="123">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Grunhaus, “Commentary on Proverbs,” 324 n. 62. As observed by Talmage, </w:t>
      </w:r>
      <w:r w:rsidRPr="00D4590B">
        <w:rPr>
          <w:i/>
          <w:iCs/>
          <w:sz w:val="23"/>
          <w:szCs w:val="23"/>
        </w:rPr>
        <w:t>Commentaries on Proverbs</w:t>
      </w:r>
      <w:r w:rsidRPr="00D4590B">
        <w:rPr>
          <w:sz w:val="23"/>
          <w:szCs w:val="23"/>
        </w:rPr>
        <w:t xml:space="preserve">, 38-40, while there are no actual philosophical deliberations in the work, there is a philosophical dimension to many of its hortatory comments, some of which are notably consistent with Radak’s remarks elsewhere. In particular, see Talmage’s discussion of the author’s prescription that one study Torah before other branches of knowledge. </w:t>
      </w:r>
    </w:p>
  </w:footnote>
  <w:footnote w:id="124">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Berger, “Exegetical </w:t>
      </w:r>
      <w:proofErr w:type="spellStart"/>
      <w:r w:rsidRPr="00D4590B">
        <w:rPr>
          <w:sz w:val="23"/>
          <w:szCs w:val="23"/>
        </w:rPr>
        <w:t>Programme</w:t>
      </w:r>
      <w:proofErr w:type="spellEnd"/>
      <w:r w:rsidRPr="00D4590B">
        <w:rPr>
          <w:sz w:val="23"/>
          <w:szCs w:val="23"/>
        </w:rPr>
        <w:t>,” 84-92.</w:t>
      </w:r>
    </w:p>
  </w:footnote>
  <w:footnote w:id="125">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Ibid., 84 n. 9. Like </w:t>
      </w:r>
      <w:proofErr w:type="spellStart"/>
      <w:r w:rsidRPr="00D4590B">
        <w:rPr>
          <w:sz w:val="23"/>
          <w:szCs w:val="23"/>
        </w:rPr>
        <w:t>Abravanel</w:t>
      </w:r>
      <w:proofErr w:type="spellEnd"/>
      <w:r w:rsidRPr="00D4590B">
        <w:rPr>
          <w:sz w:val="23"/>
          <w:szCs w:val="23"/>
        </w:rPr>
        <w:t xml:space="preserve">, who reacted to Radak’s relatively unelaborate commentary </w:t>
      </w:r>
      <w:r>
        <w:rPr>
          <w:sz w:val="23"/>
          <w:szCs w:val="23"/>
        </w:rPr>
        <w:t>on</w:t>
      </w:r>
      <w:r w:rsidRPr="00D4590B">
        <w:rPr>
          <w:sz w:val="23"/>
          <w:szCs w:val="23"/>
        </w:rPr>
        <w:t xml:space="preserve"> Chronicles, Talmage, </w:t>
      </w:r>
      <w:r w:rsidRPr="00D4590B">
        <w:rPr>
          <w:i/>
          <w:iCs/>
          <w:sz w:val="23"/>
          <w:szCs w:val="23"/>
        </w:rPr>
        <w:t>Man and Commentaries</w:t>
      </w:r>
      <w:r w:rsidRPr="00D4590B">
        <w:rPr>
          <w:sz w:val="23"/>
          <w:szCs w:val="23"/>
        </w:rPr>
        <w:t xml:space="preserve">, 60, alludes to unspecified limitations of the Proverbs commentary, and implies that these account for its apparently minimal circulation. Contrast Grunhaus, “Commentary on Proverbs,” 316, for whom the work’s restricted availability raises questions about the attribution to </w:t>
      </w:r>
      <w:proofErr w:type="spellStart"/>
      <w:r w:rsidRPr="00D4590B">
        <w:rPr>
          <w:sz w:val="23"/>
          <w:szCs w:val="23"/>
        </w:rPr>
        <w:t>Radak</w:t>
      </w:r>
      <w:proofErr w:type="spellEnd"/>
      <w:r w:rsidRPr="00D4590B">
        <w:rPr>
          <w:sz w:val="23"/>
          <w:szCs w:val="23"/>
        </w:rPr>
        <w:t xml:space="preserve">. A more curt style in the Proverbs commentary is also manifest, as Grunhaus observes (ibid., 321), in the relative absence of reflection upon and categorization of interpretations cited from others. As she indicates in that context (n. 48), the commentary contains instances where a comment prefaced by </w:t>
      </w:r>
      <w:r w:rsidRPr="00D4590B">
        <w:rPr>
          <w:rFonts w:hint="cs"/>
          <w:sz w:val="23"/>
          <w:szCs w:val="23"/>
          <w:rtl/>
          <w:lang w:bidi="he-IL"/>
        </w:rPr>
        <w:t>יש מפרשים</w:t>
      </w:r>
      <w:r w:rsidRPr="00D4590B">
        <w:rPr>
          <w:sz w:val="23"/>
          <w:szCs w:val="23"/>
          <w:lang w:bidi="he-IL"/>
        </w:rPr>
        <w:t xml:space="preserve"> is simply followed by another of the same, which is unusual in </w:t>
      </w:r>
      <w:proofErr w:type="spellStart"/>
      <w:r w:rsidRPr="00D4590B">
        <w:rPr>
          <w:sz w:val="23"/>
          <w:szCs w:val="23"/>
          <w:lang w:bidi="he-IL"/>
        </w:rPr>
        <w:t>Radak</w:t>
      </w:r>
      <w:proofErr w:type="spellEnd"/>
      <w:r w:rsidRPr="00D4590B">
        <w:rPr>
          <w:sz w:val="23"/>
          <w:szCs w:val="23"/>
          <w:lang w:bidi="he-IL"/>
        </w:rPr>
        <w:t xml:space="preserve">. But consider the chain of </w:t>
      </w:r>
      <w:r w:rsidRPr="00D4590B">
        <w:rPr>
          <w:i/>
          <w:iCs/>
          <w:sz w:val="23"/>
          <w:szCs w:val="23"/>
          <w:lang w:bidi="he-IL"/>
        </w:rPr>
        <w:t>three</w:t>
      </w:r>
      <w:r w:rsidRPr="00D4590B">
        <w:rPr>
          <w:sz w:val="23"/>
          <w:szCs w:val="23"/>
          <w:lang w:bidi="he-IL"/>
        </w:rPr>
        <w:t xml:space="preserve"> interpretations prefaced by </w:t>
      </w:r>
      <w:r w:rsidRPr="00D4590B">
        <w:rPr>
          <w:rFonts w:hint="cs"/>
          <w:sz w:val="23"/>
          <w:szCs w:val="23"/>
          <w:rtl/>
          <w:lang w:bidi="he-IL"/>
        </w:rPr>
        <w:t>יש מפרשים</w:t>
      </w:r>
      <w:r w:rsidRPr="00D4590B">
        <w:rPr>
          <w:sz w:val="23"/>
          <w:szCs w:val="23"/>
          <w:lang w:bidi="he-IL"/>
        </w:rPr>
        <w:t xml:space="preserve"> in Radak at I Chronicles 2:52.</w:t>
      </w:r>
      <w:r w:rsidRPr="00D4590B">
        <w:rPr>
          <w:sz w:val="23"/>
          <w:szCs w:val="23"/>
        </w:rPr>
        <w:t xml:space="preserve"> </w:t>
      </w:r>
    </w:p>
  </w:footnote>
  <w:footnote w:id="126">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Berger, “Exegetical </w:t>
      </w:r>
      <w:proofErr w:type="spellStart"/>
      <w:r w:rsidRPr="00D4590B">
        <w:rPr>
          <w:sz w:val="23"/>
          <w:szCs w:val="23"/>
        </w:rPr>
        <w:t>Programme</w:t>
      </w:r>
      <w:proofErr w:type="spellEnd"/>
      <w:r w:rsidRPr="00D4590B">
        <w:rPr>
          <w:sz w:val="23"/>
          <w:szCs w:val="23"/>
        </w:rPr>
        <w:t>,” 88-89.</w:t>
      </w:r>
    </w:p>
  </w:footnote>
  <w:footnote w:id="127">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Grunhaus, “Commentary on Proverbs,” 325-326.</w:t>
      </w:r>
    </w:p>
  </w:footnote>
  <w:footnote w:id="128">
    <w:p w:rsidR="00745007" w:rsidRPr="00D4590B" w:rsidRDefault="00745007" w:rsidP="00D4590B">
      <w:pPr>
        <w:pStyle w:val="a3"/>
        <w:spacing w:line="270" w:lineRule="exact"/>
        <w:jc w:val="both"/>
        <w:rPr>
          <w:sz w:val="23"/>
          <w:szCs w:val="23"/>
        </w:rPr>
      </w:pPr>
      <w:r w:rsidRPr="00D4590B">
        <w:rPr>
          <w:rStyle w:val="a4"/>
          <w:sz w:val="23"/>
          <w:szCs w:val="23"/>
        </w:rPr>
        <w:footnoteRef/>
      </w:r>
      <w:r w:rsidRPr="00D4590B">
        <w:rPr>
          <w:sz w:val="23"/>
          <w:szCs w:val="23"/>
        </w:rPr>
        <w:t xml:space="preserve"> Compare Melamed, volume 2 of </w:t>
      </w:r>
      <w:r w:rsidRPr="00D4590B">
        <w:rPr>
          <w:i/>
          <w:iCs/>
          <w:sz w:val="23"/>
          <w:szCs w:val="23"/>
        </w:rPr>
        <w:t>Bible Commentators</w:t>
      </w:r>
      <w:r w:rsidRPr="00D4590B">
        <w:rPr>
          <w:sz w:val="23"/>
          <w:szCs w:val="23"/>
        </w:rPr>
        <w:t xml:space="preserve">, 740. To be sure, recall that earlier I presented the possibility that the Proverbs commentary actually pre-dated </w:t>
      </w:r>
      <w:proofErr w:type="spellStart"/>
      <w:r w:rsidRPr="00D4590B">
        <w:rPr>
          <w:i/>
          <w:iCs/>
          <w:sz w:val="23"/>
          <w:szCs w:val="23"/>
        </w:rPr>
        <w:t>Mikhlol-Shorashim</w:t>
      </w:r>
      <w:proofErr w:type="spellEnd"/>
      <w:r w:rsidRPr="00D4590B">
        <w:rPr>
          <w:sz w:val="23"/>
          <w:szCs w:val="23"/>
        </w:rPr>
        <w:t>. (See also n. 12</w:t>
      </w:r>
      <w:r>
        <w:rPr>
          <w:sz w:val="23"/>
          <w:szCs w:val="23"/>
        </w:rPr>
        <w:t>8</w:t>
      </w:r>
      <w:r w:rsidRPr="00D4590B">
        <w:rPr>
          <w:sz w:val="23"/>
          <w:szCs w:val="23"/>
        </w:rPr>
        <w:t xml:space="preserve"> below.) If it is indeed the case that Radak wrote the Proverbs commentary first, it would emerge that he later became—if anything—more confident of the interpretation under discussion, not less so. In either event, I argue in what follows that there is probably no discrepancy between the two passages in Radak. </w:t>
      </w:r>
    </w:p>
  </w:footnote>
  <w:footnote w:id="129">
    <w:p w:rsidR="00745007" w:rsidRPr="00D4590B" w:rsidRDefault="00745007" w:rsidP="00D4590B">
      <w:pPr>
        <w:pStyle w:val="a3"/>
        <w:spacing w:line="270" w:lineRule="exact"/>
        <w:jc w:val="both"/>
        <w:rPr>
          <w:sz w:val="23"/>
          <w:szCs w:val="23"/>
          <w:lang w:bidi="he-IL"/>
        </w:rPr>
      </w:pPr>
      <w:r w:rsidRPr="00D4590B">
        <w:rPr>
          <w:rStyle w:val="a4"/>
          <w:sz w:val="23"/>
          <w:szCs w:val="23"/>
        </w:rPr>
        <w:footnoteRef/>
      </w:r>
      <w:r w:rsidRPr="00D4590B">
        <w:rPr>
          <w:sz w:val="23"/>
          <w:szCs w:val="23"/>
        </w:rPr>
        <w:t xml:space="preserve"> As I note below, our texts of the phrase in </w:t>
      </w:r>
      <w:smartTag w:uri="urn:schemas-microsoft-com:office:smarttags" w:element="time">
        <w:smartTagPr>
          <w:attr w:name="Minute" w:val="13"/>
          <w:attr w:name="Hour" w:val="15"/>
        </w:smartTagPr>
        <w:r w:rsidRPr="00D4590B">
          <w:rPr>
            <w:sz w:val="23"/>
            <w:szCs w:val="23"/>
          </w:rPr>
          <w:t>15:13</w:t>
        </w:r>
      </w:smartTag>
      <w:r w:rsidRPr="00D4590B">
        <w:rPr>
          <w:sz w:val="23"/>
          <w:szCs w:val="23"/>
        </w:rPr>
        <w:t xml:space="preserve"> actually read </w:t>
      </w:r>
      <w:r w:rsidRPr="00D4590B">
        <w:rPr>
          <w:rFonts w:hint="cs"/>
          <w:sz w:val="23"/>
          <w:szCs w:val="23"/>
          <w:rtl/>
          <w:lang w:bidi="he-IL"/>
        </w:rPr>
        <w:t>לב שמח ייטיב פנים</w:t>
      </w:r>
      <w:r w:rsidRPr="00D4590B">
        <w:rPr>
          <w:sz w:val="23"/>
          <w:szCs w:val="23"/>
          <w:lang w:bidi="he-IL"/>
        </w:rPr>
        <w:t xml:space="preserve"> and do not contain the word </w:t>
      </w:r>
      <w:r w:rsidRPr="00D4590B">
        <w:rPr>
          <w:rFonts w:hint="cs"/>
          <w:sz w:val="23"/>
          <w:szCs w:val="23"/>
          <w:rtl/>
          <w:lang w:bidi="he-IL"/>
        </w:rPr>
        <w:t>גהה</w:t>
      </w:r>
      <w:r w:rsidRPr="00D4590B">
        <w:rPr>
          <w:sz w:val="23"/>
          <w:szCs w:val="23"/>
          <w:lang w:bidi="he-IL"/>
        </w:rPr>
        <w:t xml:space="preserve">, even as the lemma in the Proverbs commentary does read </w:t>
      </w:r>
      <w:r w:rsidRPr="00D4590B">
        <w:rPr>
          <w:rFonts w:hint="cs"/>
          <w:sz w:val="23"/>
          <w:szCs w:val="23"/>
          <w:rtl/>
          <w:lang w:bidi="he-IL"/>
        </w:rPr>
        <w:t>ייטיב גהה</w:t>
      </w:r>
      <w:r w:rsidRPr="00D4590B">
        <w:rPr>
          <w:sz w:val="23"/>
          <w:szCs w:val="23"/>
          <w:lang w:bidi="he-IL"/>
        </w:rPr>
        <w:t>. The lemma probably reflects some type of error (see next note) rather than a different biblical variant.</w:t>
      </w:r>
    </w:p>
  </w:footnote>
  <w:footnote w:id="130">
    <w:p w:rsidR="00745007" w:rsidRPr="00D4590B" w:rsidRDefault="00745007" w:rsidP="00D4590B">
      <w:pPr>
        <w:pStyle w:val="a3"/>
        <w:spacing w:line="270" w:lineRule="exact"/>
        <w:jc w:val="both"/>
        <w:rPr>
          <w:sz w:val="23"/>
          <w:szCs w:val="23"/>
          <w:lang w:bidi="he-IL"/>
        </w:rPr>
      </w:pPr>
      <w:r w:rsidRPr="00D4590B">
        <w:rPr>
          <w:rStyle w:val="a4"/>
          <w:sz w:val="23"/>
          <w:szCs w:val="23"/>
        </w:rPr>
        <w:footnoteRef/>
      </w:r>
      <w:r w:rsidRPr="00D4590B">
        <w:rPr>
          <w:sz w:val="23"/>
          <w:szCs w:val="23"/>
        </w:rPr>
        <w:t xml:space="preserve"> As I noted near the beginning, it cannot be ruled out that the Proverbs commentary actually preceded Radak’s grammatical works—the reference to </w:t>
      </w:r>
      <w:proofErr w:type="spellStart"/>
      <w:r w:rsidRPr="00D4590B">
        <w:rPr>
          <w:i/>
          <w:iCs/>
          <w:sz w:val="23"/>
          <w:szCs w:val="23"/>
        </w:rPr>
        <w:t>Mikhlol</w:t>
      </w:r>
      <w:proofErr w:type="spellEnd"/>
      <w:r w:rsidRPr="00D4590B">
        <w:rPr>
          <w:sz w:val="23"/>
          <w:szCs w:val="23"/>
        </w:rPr>
        <w:t xml:space="preserve"> at </w:t>
      </w:r>
      <w:smartTag w:uri="urn:schemas-microsoft-com:office:smarttags" w:element="time">
        <w:smartTagPr>
          <w:attr w:name="Minute" w:val="22"/>
          <w:attr w:name="Hour" w:val="5"/>
        </w:smartTagPr>
        <w:r w:rsidRPr="00D4590B">
          <w:rPr>
            <w:sz w:val="23"/>
            <w:szCs w:val="23"/>
          </w:rPr>
          <w:t>5:22</w:t>
        </w:r>
      </w:smartTag>
      <w:r w:rsidRPr="00D4590B">
        <w:rPr>
          <w:sz w:val="23"/>
          <w:szCs w:val="23"/>
        </w:rPr>
        <w:t xml:space="preserve"> having been added later. I would not be at all surprised if the explanation of </w:t>
      </w:r>
      <w:r w:rsidRPr="00D4590B">
        <w:rPr>
          <w:rFonts w:hint="cs"/>
          <w:sz w:val="23"/>
          <w:szCs w:val="23"/>
          <w:rtl/>
          <w:lang w:bidi="he-IL"/>
        </w:rPr>
        <w:t>גהה</w:t>
      </w:r>
      <w:r w:rsidRPr="00D4590B">
        <w:rPr>
          <w:sz w:val="23"/>
          <w:szCs w:val="23"/>
          <w:lang w:bidi="he-IL"/>
        </w:rPr>
        <w:t xml:space="preserve"> in the sense of brightness of complexion reflects Radak’s initial position, and that his acceptance of his brother’s position in </w:t>
      </w:r>
      <w:r w:rsidRPr="00D4590B">
        <w:rPr>
          <w:i/>
          <w:iCs/>
          <w:sz w:val="23"/>
          <w:szCs w:val="23"/>
          <w:lang w:bidi="he-IL"/>
        </w:rPr>
        <w:t>Shorashim</w:t>
      </w:r>
      <w:r w:rsidRPr="00D4590B">
        <w:rPr>
          <w:sz w:val="23"/>
          <w:szCs w:val="23"/>
          <w:lang w:bidi="he-IL"/>
        </w:rPr>
        <w:t xml:space="preserve"> and in his remaining works </w:t>
      </w:r>
      <w:r w:rsidRPr="00D4590B">
        <w:rPr>
          <w:i/>
          <w:iCs/>
          <w:sz w:val="23"/>
          <w:szCs w:val="23"/>
          <w:lang w:bidi="he-IL"/>
        </w:rPr>
        <w:t>all</w:t>
      </w:r>
      <w:r w:rsidRPr="00D4590B">
        <w:rPr>
          <w:sz w:val="23"/>
          <w:szCs w:val="23"/>
          <w:lang w:bidi="he-IL"/>
        </w:rPr>
        <w:t xml:space="preserve"> represent his later thinking. His incorporation of his brother’s position at Proverbs 15:13 (prefaced by </w:t>
      </w:r>
      <w:r w:rsidRPr="00D4590B">
        <w:rPr>
          <w:rFonts w:hint="cs"/>
          <w:sz w:val="23"/>
          <w:szCs w:val="23"/>
          <w:rtl/>
          <w:lang w:bidi="he-IL"/>
        </w:rPr>
        <w:t>יש מפרשים</w:t>
      </w:r>
      <w:r w:rsidRPr="00D4590B">
        <w:rPr>
          <w:sz w:val="23"/>
          <w:szCs w:val="23"/>
          <w:lang w:bidi="he-IL"/>
        </w:rPr>
        <w:t>) might well be a later addition reflecting Radak’s serious consideration of that option—erroneously inserted there rather than at 17:22</w:t>
      </w:r>
      <w:r>
        <w:rPr>
          <w:sz w:val="23"/>
          <w:szCs w:val="23"/>
          <w:lang w:bidi="he-IL"/>
        </w:rPr>
        <w:t>,</w:t>
      </w:r>
      <w:r w:rsidRPr="00D4590B">
        <w:rPr>
          <w:sz w:val="23"/>
          <w:szCs w:val="23"/>
          <w:lang w:bidi="he-IL"/>
        </w:rPr>
        <w:t xml:space="preserve"> where the word </w:t>
      </w:r>
      <w:r w:rsidRPr="00D4590B">
        <w:rPr>
          <w:rFonts w:hint="cs"/>
          <w:sz w:val="23"/>
          <w:szCs w:val="23"/>
          <w:rtl/>
          <w:lang w:bidi="he-IL"/>
        </w:rPr>
        <w:t>גהה</w:t>
      </w:r>
      <w:r w:rsidRPr="00D4590B">
        <w:rPr>
          <w:sz w:val="23"/>
          <w:szCs w:val="23"/>
          <w:lang w:bidi="he-IL"/>
        </w:rPr>
        <w:t xml:space="preserve"> actually appears (compare above, n. 1</w:t>
      </w:r>
      <w:r>
        <w:rPr>
          <w:sz w:val="23"/>
          <w:szCs w:val="23"/>
          <w:lang w:bidi="he-IL"/>
        </w:rPr>
        <w:t>8</w:t>
      </w:r>
      <w:r w:rsidRPr="00D4590B">
        <w:rPr>
          <w:sz w:val="23"/>
          <w:szCs w:val="23"/>
          <w:lang w:bidi="he-IL"/>
        </w:rPr>
        <w:t xml:space="preserve">, concerning the awkward placement of some of Radak’s later additions). This insertion, then, might have prompted a subsequent “correction” of the lemma, from </w:t>
      </w:r>
      <w:r w:rsidRPr="00D4590B">
        <w:rPr>
          <w:rFonts w:hint="cs"/>
          <w:sz w:val="23"/>
          <w:szCs w:val="23"/>
          <w:rtl/>
          <w:lang w:bidi="he-IL"/>
        </w:rPr>
        <w:t>ייטיב פנים</w:t>
      </w:r>
      <w:r w:rsidRPr="00D4590B">
        <w:rPr>
          <w:sz w:val="23"/>
          <w:szCs w:val="23"/>
          <w:lang w:bidi="he-IL"/>
        </w:rPr>
        <w:t xml:space="preserve"> to </w:t>
      </w:r>
      <w:r w:rsidRPr="00D4590B">
        <w:rPr>
          <w:rFonts w:hint="cs"/>
          <w:sz w:val="23"/>
          <w:szCs w:val="23"/>
          <w:rtl/>
          <w:lang w:bidi="he-IL"/>
        </w:rPr>
        <w:t>ייטיב גהה</w:t>
      </w:r>
      <w:r w:rsidRPr="00D4590B">
        <w:rPr>
          <w:sz w:val="23"/>
          <w:szCs w:val="23"/>
          <w:lang w:bidi="he-IL"/>
        </w:rPr>
        <w:t xml:space="preserve">. Indeed, the rest of the comment, contrary to the one at </w:t>
      </w:r>
      <w:smartTag w:uri="urn:schemas-microsoft-com:office:smarttags" w:element="time">
        <w:smartTagPr>
          <w:attr w:name="Minute" w:val="22"/>
          <w:attr w:name="Hour" w:val="17"/>
        </w:smartTagPr>
        <w:r w:rsidRPr="00D4590B">
          <w:rPr>
            <w:sz w:val="23"/>
            <w:szCs w:val="23"/>
            <w:lang w:bidi="he-IL"/>
          </w:rPr>
          <w:t>17:22</w:t>
        </w:r>
      </w:smartTag>
      <w:r w:rsidRPr="00D4590B">
        <w:rPr>
          <w:sz w:val="23"/>
          <w:szCs w:val="23"/>
          <w:lang w:bidi="he-IL"/>
        </w:rPr>
        <w:t xml:space="preserve">, does not consider the word </w:t>
      </w:r>
      <w:r w:rsidRPr="00D4590B">
        <w:rPr>
          <w:rFonts w:hint="cs"/>
          <w:sz w:val="23"/>
          <w:szCs w:val="23"/>
          <w:rtl/>
          <w:lang w:bidi="he-IL"/>
        </w:rPr>
        <w:t>גהה</w:t>
      </w:r>
      <w:r w:rsidRPr="00D4590B">
        <w:rPr>
          <w:sz w:val="23"/>
          <w:szCs w:val="23"/>
          <w:lang w:bidi="he-IL"/>
        </w:rPr>
        <w:t xml:space="preserve"> specifically, and probably addresses the phrase as we have it, with the word </w:t>
      </w:r>
      <w:r w:rsidRPr="00D4590B">
        <w:rPr>
          <w:rFonts w:hint="cs"/>
          <w:sz w:val="23"/>
          <w:szCs w:val="23"/>
          <w:rtl/>
          <w:lang w:bidi="he-IL"/>
        </w:rPr>
        <w:t>פנים</w:t>
      </w:r>
      <w:r w:rsidRPr="00D4590B">
        <w:rPr>
          <w:sz w:val="23"/>
          <w:szCs w:val="23"/>
          <w:lang w:bidi="he-IL"/>
        </w:rPr>
        <w:t xml:space="preserve"> in place of </w:t>
      </w:r>
      <w:r w:rsidRPr="00D4590B">
        <w:rPr>
          <w:rFonts w:hint="cs"/>
          <w:sz w:val="23"/>
          <w:szCs w:val="23"/>
          <w:rtl/>
          <w:lang w:bidi="he-IL"/>
        </w:rPr>
        <w:t>גהה</w:t>
      </w:r>
      <w:r w:rsidRPr="00D4590B">
        <w:rPr>
          <w:sz w:val="23"/>
          <w:szCs w:val="23"/>
          <w:lang w:bidi="he-IL"/>
        </w:rPr>
        <w:t xml:space="preserve">. In fact, I cannot think of a more persuasive explanation of how </w:t>
      </w:r>
      <w:r w:rsidRPr="00D4590B">
        <w:rPr>
          <w:rFonts w:hint="cs"/>
          <w:sz w:val="23"/>
          <w:szCs w:val="23"/>
          <w:rtl/>
          <w:lang w:bidi="he-IL"/>
        </w:rPr>
        <w:t>גהה</w:t>
      </w:r>
      <w:r w:rsidRPr="00D4590B">
        <w:rPr>
          <w:sz w:val="23"/>
          <w:szCs w:val="23"/>
          <w:lang w:bidi="he-IL"/>
        </w:rPr>
        <w:t xml:space="preserve"> emerged in the lemma at </w:t>
      </w:r>
      <w:smartTag w:uri="urn:schemas-microsoft-com:office:smarttags" w:element="time">
        <w:smartTagPr>
          <w:attr w:name="Minute" w:val="13"/>
          <w:attr w:name="Hour" w:val="15"/>
        </w:smartTagPr>
        <w:r w:rsidRPr="00D4590B">
          <w:rPr>
            <w:sz w:val="23"/>
            <w:szCs w:val="23"/>
            <w:lang w:bidi="he-IL"/>
          </w:rPr>
          <w:t>15:13</w:t>
        </w:r>
      </w:smartTag>
      <w:r w:rsidRPr="00D4590B">
        <w:rPr>
          <w:sz w:val="23"/>
          <w:szCs w:val="23"/>
          <w:lang w:bidi="he-I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07" w:rsidRPr="009D60FD" w:rsidRDefault="00745007" w:rsidP="00D4590B">
    <w:pPr>
      <w:pStyle w:val="ac"/>
      <w:framePr w:wrap="auto" w:vAnchor="text" w:hAnchor="page" w:x="2269" w:y="1"/>
      <w:rPr>
        <w:rStyle w:val="a6"/>
      </w:rPr>
    </w:pPr>
    <w:r w:rsidRPr="009D60FD">
      <w:rPr>
        <w:rStyle w:val="a6"/>
      </w:rPr>
      <w:fldChar w:fldCharType="begin"/>
    </w:r>
    <w:r w:rsidRPr="009D60FD">
      <w:rPr>
        <w:rStyle w:val="a6"/>
      </w:rPr>
      <w:instrText xml:space="preserve">PAGE  </w:instrText>
    </w:r>
    <w:r w:rsidRPr="009D60FD">
      <w:rPr>
        <w:rStyle w:val="a6"/>
      </w:rPr>
      <w:fldChar w:fldCharType="separate"/>
    </w:r>
    <w:r w:rsidR="00695DEE">
      <w:rPr>
        <w:rStyle w:val="a6"/>
        <w:noProof/>
      </w:rPr>
      <w:t>232</w:t>
    </w:r>
    <w:r w:rsidRPr="009D60FD">
      <w:rPr>
        <w:rStyle w:val="a6"/>
      </w:rPr>
      <w:fldChar w:fldCharType="end"/>
    </w:r>
  </w:p>
  <w:p w:rsidR="00745007" w:rsidRPr="00D4590B" w:rsidRDefault="00745007" w:rsidP="00D4590B">
    <w:pPr>
      <w:pStyle w:val="ac"/>
      <w:jc w:val="center"/>
      <w:rPr>
        <w:sz w:val="22"/>
        <w:szCs w:val="22"/>
      </w:rPr>
    </w:pPr>
    <w:r>
      <w:rPr>
        <w:sz w:val="22"/>
        <w:szCs w:val="22"/>
      </w:rPr>
      <w:t>Yitzhak Berger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07" w:rsidRDefault="00745007" w:rsidP="00946565">
    <w:pPr>
      <w:framePr w:wrap="notBeside" w:hAnchor="text" w:xAlign="right"/>
      <w:rPr>
        <w:lang w:val="en-CA"/>
      </w:rPr>
    </w:pPr>
    <w:r>
      <w:rPr>
        <w:lang w:val="en-CA"/>
      </w:rPr>
      <w:fldChar w:fldCharType="begin"/>
    </w:r>
    <w:r>
      <w:rPr>
        <w:lang w:val="en-CA"/>
      </w:rPr>
      <w:instrText xml:space="preserve"> PAGE  </w:instrText>
    </w:r>
    <w:r>
      <w:rPr>
        <w:lang w:val="en-CA"/>
      </w:rPr>
      <w:fldChar w:fldCharType="separate"/>
    </w:r>
    <w:r w:rsidR="00695DEE">
      <w:rPr>
        <w:noProof/>
        <w:lang w:val="en-CA"/>
      </w:rPr>
      <w:t>207</w:t>
    </w:r>
    <w:r>
      <w:rPr>
        <w:lang w:val="en-CA"/>
      </w:rPr>
      <w:fldChar w:fldCharType="end"/>
    </w:r>
  </w:p>
  <w:p w:rsidR="00745007" w:rsidRPr="00946565" w:rsidRDefault="00745007" w:rsidP="00946565">
    <w:pPr>
      <w:pStyle w:val="ac"/>
      <w:jc w:val="center"/>
      <w:rPr>
        <w:sz w:val="22"/>
        <w:szCs w:val="22"/>
      </w:rPr>
    </w:pPr>
    <w:r>
      <w:rPr>
        <w:sz w:val="22"/>
        <w:szCs w:val="22"/>
      </w:rPr>
      <w:t>The Commentary to Proverbs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07" w:rsidRPr="00D4590B" w:rsidRDefault="00745007" w:rsidP="002804F3">
    <w:pPr>
      <w:pStyle w:val="ac"/>
      <w:rPr>
        <w:rFonts w:hint="cs"/>
        <w:lang w:bidi="he-IL"/>
      </w:rPr>
    </w:pPr>
    <w:r>
      <w:rPr>
        <w:i/>
        <w:iCs/>
      </w:rPr>
      <w:t xml:space="preserve">JSIJ </w:t>
    </w:r>
    <w:r>
      <w:t xml:space="preserve">7 (2008) </w:t>
    </w:r>
    <w:r w:rsidR="002804F3">
      <w:t>205-252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59"/>
    <w:rsid w:val="00000F4B"/>
    <w:rsid w:val="00005EB7"/>
    <w:rsid w:val="00013051"/>
    <w:rsid w:val="000130B6"/>
    <w:rsid w:val="00020171"/>
    <w:rsid w:val="00021020"/>
    <w:rsid w:val="00021DD4"/>
    <w:rsid w:val="00022A25"/>
    <w:rsid w:val="00022DF4"/>
    <w:rsid w:val="00024110"/>
    <w:rsid w:val="000250F6"/>
    <w:rsid w:val="000305E2"/>
    <w:rsid w:val="000306B0"/>
    <w:rsid w:val="000329A2"/>
    <w:rsid w:val="000348E8"/>
    <w:rsid w:val="00035260"/>
    <w:rsid w:val="0004072C"/>
    <w:rsid w:val="00042F6C"/>
    <w:rsid w:val="000431D5"/>
    <w:rsid w:val="00046A10"/>
    <w:rsid w:val="00046D2E"/>
    <w:rsid w:val="000524EE"/>
    <w:rsid w:val="00052C5A"/>
    <w:rsid w:val="000530F9"/>
    <w:rsid w:val="00053607"/>
    <w:rsid w:val="0006341E"/>
    <w:rsid w:val="00065143"/>
    <w:rsid w:val="000661D7"/>
    <w:rsid w:val="00067621"/>
    <w:rsid w:val="00071471"/>
    <w:rsid w:val="00073678"/>
    <w:rsid w:val="00075AAE"/>
    <w:rsid w:val="00075D03"/>
    <w:rsid w:val="00077BDA"/>
    <w:rsid w:val="00084E50"/>
    <w:rsid w:val="0008524D"/>
    <w:rsid w:val="000863DA"/>
    <w:rsid w:val="000865CC"/>
    <w:rsid w:val="00090462"/>
    <w:rsid w:val="00090934"/>
    <w:rsid w:val="000944EE"/>
    <w:rsid w:val="00097ED7"/>
    <w:rsid w:val="000A54D0"/>
    <w:rsid w:val="000A729A"/>
    <w:rsid w:val="000B4338"/>
    <w:rsid w:val="000B6641"/>
    <w:rsid w:val="000B6848"/>
    <w:rsid w:val="000C3D74"/>
    <w:rsid w:val="000C7782"/>
    <w:rsid w:val="000D1B53"/>
    <w:rsid w:val="000D2185"/>
    <w:rsid w:val="000D3A22"/>
    <w:rsid w:val="000D5E9A"/>
    <w:rsid w:val="000E0D89"/>
    <w:rsid w:val="000E2103"/>
    <w:rsid w:val="000E6067"/>
    <w:rsid w:val="000F7ADF"/>
    <w:rsid w:val="001063EC"/>
    <w:rsid w:val="00120F59"/>
    <w:rsid w:val="001225D7"/>
    <w:rsid w:val="00123607"/>
    <w:rsid w:val="00126BD4"/>
    <w:rsid w:val="001317A0"/>
    <w:rsid w:val="00131913"/>
    <w:rsid w:val="00132603"/>
    <w:rsid w:val="0013500A"/>
    <w:rsid w:val="0013775E"/>
    <w:rsid w:val="00137C37"/>
    <w:rsid w:val="0014099D"/>
    <w:rsid w:val="001418A3"/>
    <w:rsid w:val="00141BF3"/>
    <w:rsid w:val="001421D6"/>
    <w:rsid w:val="00143F46"/>
    <w:rsid w:val="0015002B"/>
    <w:rsid w:val="00160626"/>
    <w:rsid w:val="00161CB6"/>
    <w:rsid w:val="00162B42"/>
    <w:rsid w:val="00164A3D"/>
    <w:rsid w:val="001670EA"/>
    <w:rsid w:val="00171DC4"/>
    <w:rsid w:val="0017352C"/>
    <w:rsid w:val="001778D1"/>
    <w:rsid w:val="00180A31"/>
    <w:rsid w:val="00185F88"/>
    <w:rsid w:val="00190291"/>
    <w:rsid w:val="00192CDB"/>
    <w:rsid w:val="00194B67"/>
    <w:rsid w:val="001A1625"/>
    <w:rsid w:val="001A3794"/>
    <w:rsid w:val="001A676A"/>
    <w:rsid w:val="001B08B4"/>
    <w:rsid w:val="001C01D0"/>
    <w:rsid w:val="001C4921"/>
    <w:rsid w:val="001D31E2"/>
    <w:rsid w:val="001D693E"/>
    <w:rsid w:val="001D70A9"/>
    <w:rsid w:val="001D70EB"/>
    <w:rsid w:val="001E19EE"/>
    <w:rsid w:val="001E1F8E"/>
    <w:rsid w:val="001E2C9A"/>
    <w:rsid w:val="001E3291"/>
    <w:rsid w:val="001E3BBD"/>
    <w:rsid w:val="001E48BC"/>
    <w:rsid w:val="001E4999"/>
    <w:rsid w:val="001E53D5"/>
    <w:rsid w:val="001E6BE9"/>
    <w:rsid w:val="001E735B"/>
    <w:rsid w:val="001E786F"/>
    <w:rsid w:val="001F071E"/>
    <w:rsid w:val="001F142D"/>
    <w:rsid w:val="001F1E14"/>
    <w:rsid w:val="001F41BE"/>
    <w:rsid w:val="001F5871"/>
    <w:rsid w:val="001F738F"/>
    <w:rsid w:val="001F7D57"/>
    <w:rsid w:val="002011B6"/>
    <w:rsid w:val="002013EE"/>
    <w:rsid w:val="00201B35"/>
    <w:rsid w:val="00206858"/>
    <w:rsid w:val="00206D73"/>
    <w:rsid w:val="00212B1B"/>
    <w:rsid w:val="00213866"/>
    <w:rsid w:val="0022337F"/>
    <w:rsid w:val="00223991"/>
    <w:rsid w:val="00223D0A"/>
    <w:rsid w:val="0022440A"/>
    <w:rsid w:val="00227A51"/>
    <w:rsid w:val="00231062"/>
    <w:rsid w:val="002332A6"/>
    <w:rsid w:val="00233BE2"/>
    <w:rsid w:val="00240B3B"/>
    <w:rsid w:val="00244FC4"/>
    <w:rsid w:val="0025034B"/>
    <w:rsid w:val="0025062B"/>
    <w:rsid w:val="00251F63"/>
    <w:rsid w:val="002525B8"/>
    <w:rsid w:val="00253FBB"/>
    <w:rsid w:val="00254639"/>
    <w:rsid w:val="002573A1"/>
    <w:rsid w:val="00264CF0"/>
    <w:rsid w:val="0026601D"/>
    <w:rsid w:val="00271A7B"/>
    <w:rsid w:val="002728A4"/>
    <w:rsid w:val="002747BE"/>
    <w:rsid w:val="00277687"/>
    <w:rsid w:val="00277F9F"/>
    <w:rsid w:val="002804F3"/>
    <w:rsid w:val="0028194D"/>
    <w:rsid w:val="002821DF"/>
    <w:rsid w:val="002854C7"/>
    <w:rsid w:val="00291869"/>
    <w:rsid w:val="00291DC2"/>
    <w:rsid w:val="00293F77"/>
    <w:rsid w:val="002A4205"/>
    <w:rsid w:val="002A5067"/>
    <w:rsid w:val="002A56E8"/>
    <w:rsid w:val="002A676B"/>
    <w:rsid w:val="002B14C7"/>
    <w:rsid w:val="002B4CA1"/>
    <w:rsid w:val="002B63A2"/>
    <w:rsid w:val="002B7D33"/>
    <w:rsid w:val="002C1A77"/>
    <w:rsid w:val="002C2A96"/>
    <w:rsid w:val="002D0D6D"/>
    <w:rsid w:val="002D1A67"/>
    <w:rsid w:val="002D392B"/>
    <w:rsid w:val="002D3A27"/>
    <w:rsid w:val="002D4FB6"/>
    <w:rsid w:val="002D6120"/>
    <w:rsid w:val="002D61DA"/>
    <w:rsid w:val="002D78C9"/>
    <w:rsid w:val="002E12CE"/>
    <w:rsid w:val="002E27C3"/>
    <w:rsid w:val="002E2F7E"/>
    <w:rsid w:val="002E4D85"/>
    <w:rsid w:val="002E5EC6"/>
    <w:rsid w:val="002E6541"/>
    <w:rsid w:val="002F0250"/>
    <w:rsid w:val="002F24E4"/>
    <w:rsid w:val="002F4506"/>
    <w:rsid w:val="002F6AC2"/>
    <w:rsid w:val="003030CE"/>
    <w:rsid w:val="00305AA5"/>
    <w:rsid w:val="00307BEC"/>
    <w:rsid w:val="00312C18"/>
    <w:rsid w:val="00314569"/>
    <w:rsid w:val="003177D5"/>
    <w:rsid w:val="00317CEA"/>
    <w:rsid w:val="00317F77"/>
    <w:rsid w:val="00321042"/>
    <w:rsid w:val="00330F02"/>
    <w:rsid w:val="00332C36"/>
    <w:rsid w:val="00335211"/>
    <w:rsid w:val="00335812"/>
    <w:rsid w:val="0034056B"/>
    <w:rsid w:val="0034145F"/>
    <w:rsid w:val="00341913"/>
    <w:rsid w:val="00343293"/>
    <w:rsid w:val="0035795E"/>
    <w:rsid w:val="00363B0F"/>
    <w:rsid w:val="003644B5"/>
    <w:rsid w:val="00366CF5"/>
    <w:rsid w:val="00370291"/>
    <w:rsid w:val="0037041F"/>
    <w:rsid w:val="003718C7"/>
    <w:rsid w:val="00371942"/>
    <w:rsid w:val="00373CCE"/>
    <w:rsid w:val="00374367"/>
    <w:rsid w:val="00374F46"/>
    <w:rsid w:val="00376311"/>
    <w:rsid w:val="00383A40"/>
    <w:rsid w:val="00386BCF"/>
    <w:rsid w:val="00386DD1"/>
    <w:rsid w:val="00391304"/>
    <w:rsid w:val="00391A73"/>
    <w:rsid w:val="003933CA"/>
    <w:rsid w:val="003937F2"/>
    <w:rsid w:val="00395765"/>
    <w:rsid w:val="003969DB"/>
    <w:rsid w:val="003A18FB"/>
    <w:rsid w:val="003A3061"/>
    <w:rsid w:val="003A4DCC"/>
    <w:rsid w:val="003A6427"/>
    <w:rsid w:val="003A6867"/>
    <w:rsid w:val="003A7EA5"/>
    <w:rsid w:val="003B2B41"/>
    <w:rsid w:val="003C1E61"/>
    <w:rsid w:val="003C310D"/>
    <w:rsid w:val="003C7EA4"/>
    <w:rsid w:val="003D04F5"/>
    <w:rsid w:val="003D0607"/>
    <w:rsid w:val="003D2237"/>
    <w:rsid w:val="003D3094"/>
    <w:rsid w:val="003D3F68"/>
    <w:rsid w:val="003D59B6"/>
    <w:rsid w:val="003D59FA"/>
    <w:rsid w:val="003D615C"/>
    <w:rsid w:val="003D73D8"/>
    <w:rsid w:val="003F023B"/>
    <w:rsid w:val="003F4041"/>
    <w:rsid w:val="003F43DE"/>
    <w:rsid w:val="003F47C5"/>
    <w:rsid w:val="003F6DEC"/>
    <w:rsid w:val="004002B2"/>
    <w:rsid w:val="00401FC1"/>
    <w:rsid w:val="004036E9"/>
    <w:rsid w:val="004047EC"/>
    <w:rsid w:val="00405D6D"/>
    <w:rsid w:val="0040722A"/>
    <w:rsid w:val="00413C41"/>
    <w:rsid w:val="00413DED"/>
    <w:rsid w:val="004153AF"/>
    <w:rsid w:val="00417A46"/>
    <w:rsid w:val="004218BB"/>
    <w:rsid w:val="0042669B"/>
    <w:rsid w:val="00430D5F"/>
    <w:rsid w:val="00431DD8"/>
    <w:rsid w:val="00432AC4"/>
    <w:rsid w:val="00432B53"/>
    <w:rsid w:val="00434D1F"/>
    <w:rsid w:val="00437985"/>
    <w:rsid w:val="0044796C"/>
    <w:rsid w:val="00450D07"/>
    <w:rsid w:val="0045669A"/>
    <w:rsid w:val="00457963"/>
    <w:rsid w:val="00460553"/>
    <w:rsid w:val="00460CB8"/>
    <w:rsid w:val="00462F2E"/>
    <w:rsid w:val="0046303E"/>
    <w:rsid w:val="004704DF"/>
    <w:rsid w:val="00472BDB"/>
    <w:rsid w:val="004733F4"/>
    <w:rsid w:val="00474D9F"/>
    <w:rsid w:val="00480B59"/>
    <w:rsid w:val="00481DD5"/>
    <w:rsid w:val="0048295D"/>
    <w:rsid w:val="004843B2"/>
    <w:rsid w:val="00486CC1"/>
    <w:rsid w:val="0048722C"/>
    <w:rsid w:val="00490D1D"/>
    <w:rsid w:val="00491DB5"/>
    <w:rsid w:val="00492F0E"/>
    <w:rsid w:val="00493006"/>
    <w:rsid w:val="00493061"/>
    <w:rsid w:val="004948B9"/>
    <w:rsid w:val="004955AB"/>
    <w:rsid w:val="004A1DE7"/>
    <w:rsid w:val="004A22A3"/>
    <w:rsid w:val="004A3028"/>
    <w:rsid w:val="004A4068"/>
    <w:rsid w:val="004A443E"/>
    <w:rsid w:val="004A6071"/>
    <w:rsid w:val="004B18D2"/>
    <w:rsid w:val="004B21DA"/>
    <w:rsid w:val="004B2994"/>
    <w:rsid w:val="004B4E31"/>
    <w:rsid w:val="004B74F2"/>
    <w:rsid w:val="004C0CDA"/>
    <w:rsid w:val="004C2C58"/>
    <w:rsid w:val="004C51E3"/>
    <w:rsid w:val="004C79E0"/>
    <w:rsid w:val="004D504E"/>
    <w:rsid w:val="004D758B"/>
    <w:rsid w:val="004D7A35"/>
    <w:rsid w:val="004D7A58"/>
    <w:rsid w:val="004E283C"/>
    <w:rsid w:val="004E5AA6"/>
    <w:rsid w:val="004E5E06"/>
    <w:rsid w:val="004E7991"/>
    <w:rsid w:val="004F139D"/>
    <w:rsid w:val="004F3370"/>
    <w:rsid w:val="004F46B4"/>
    <w:rsid w:val="004F5904"/>
    <w:rsid w:val="004F6D42"/>
    <w:rsid w:val="0050027D"/>
    <w:rsid w:val="005021D7"/>
    <w:rsid w:val="0050565F"/>
    <w:rsid w:val="0051305F"/>
    <w:rsid w:val="00515B46"/>
    <w:rsid w:val="0052308D"/>
    <w:rsid w:val="00524446"/>
    <w:rsid w:val="00524EAD"/>
    <w:rsid w:val="005301A4"/>
    <w:rsid w:val="0053023F"/>
    <w:rsid w:val="00531F00"/>
    <w:rsid w:val="005352A6"/>
    <w:rsid w:val="00535F24"/>
    <w:rsid w:val="0054124B"/>
    <w:rsid w:val="005451AD"/>
    <w:rsid w:val="00546D2A"/>
    <w:rsid w:val="00556A17"/>
    <w:rsid w:val="00557647"/>
    <w:rsid w:val="005613B7"/>
    <w:rsid w:val="00561455"/>
    <w:rsid w:val="00562FD4"/>
    <w:rsid w:val="00564229"/>
    <w:rsid w:val="00570E7C"/>
    <w:rsid w:val="00570F0C"/>
    <w:rsid w:val="0057101B"/>
    <w:rsid w:val="00572D14"/>
    <w:rsid w:val="00572F4F"/>
    <w:rsid w:val="00572F80"/>
    <w:rsid w:val="005804CC"/>
    <w:rsid w:val="00581ABD"/>
    <w:rsid w:val="00583293"/>
    <w:rsid w:val="00584876"/>
    <w:rsid w:val="00584C56"/>
    <w:rsid w:val="00585B11"/>
    <w:rsid w:val="005918BA"/>
    <w:rsid w:val="00596C14"/>
    <w:rsid w:val="005A04C4"/>
    <w:rsid w:val="005A0691"/>
    <w:rsid w:val="005A4729"/>
    <w:rsid w:val="005A6719"/>
    <w:rsid w:val="005A67F0"/>
    <w:rsid w:val="005A6B20"/>
    <w:rsid w:val="005B10BC"/>
    <w:rsid w:val="005B57AA"/>
    <w:rsid w:val="005B7EB0"/>
    <w:rsid w:val="005C35E6"/>
    <w:rsid w:val="005C3986"/>
    <w:rsid w:val="005C4240"/>
    <w:rsid w:val="005C433B"/>
    <w:rsid w:val="005C554B"/>
    <w:rsid w:val="005C6A3A"/>
    <w:rsid w:val="005D1325"/>
    <w:rsid w:val="005D24A2"/>
    <w:rsid w:val="005D2570"/>
    <w:rsid w:val="005D5032"/>
    <w:rsid w:val="005D5EE7"/>
    <w:rsid w:val="005D61BF"/>
    <w:rsid w:val="005D63D3"/>
    <w:rsid w:val="005E16E0"/>
    <w:rsid w:val="005E4A7D"/>
    <w:rsid w:val="005E6390"/>
    <w:rsid w:val="005E7F8C"/>
    <w:rsid w:val="005F2836"/>
    <w:rsid w:val="005F394E"/>
    <w:rsid w:val="005F52AC"/>
    <w:rsid w:val="005F5F9E"/>
    <w:rsid w:val="005F61C9"/>
    <w:rsid w:val="005F786D"/>
    <w:rsid w:val="006010CE"/>
    <w:rsid w:val="00605ED7"/>
    <w:rsid w:val="006070B9"/>
    <w:rsid w:val="00607ACB"/>
    <w:rsid w:val="00611A46"/>
    <w:rsid w:val="00614983"/>
    <w:rsid w:val="00617120"/>
    <w:rsid w:val="00620776"/>
    <w:rsid w:val="00620D1D"/>
    <w:rsid w:val="006224F6"/>
    <w:rsid w:val="00622646"/>
    <w:rsid w:val="0062439D"/>
    <w:rsid w:val="00624A6B"/>
    <w:rsid w:val="006274C8"/>
    <w:rsid w:val="00627D7C"/>
    <w:rsid w:val="0063217C"/>
    <w:rsid w:val="006344BC"/>
    <w:rsid w:val="006356AC"/>
    <w:rsid w:val="00637203"/>
    <w:rsid w:val="0064076A"/>
    <w:rsid w:val="00642B35"/>
    <w:rsid w:val="00643241"/>
    <w:rsid w:val="00650BF6"/>
    <w:rsid w:val="006527ED"/>
    <w:rsid w:val="00652B40"/>
    <w:rsid w:val="00653F19"/>
    <w:rsid w:val="00654643"/>
    <w:rsid w:val="00656DE8"/>
    <w:rsid w:val="0065707D"/>
    <w:rsid w:val="00657FFA"/>
    <w:rsid w:val="00663152"/>
    <w:rsid w:val="00663C99"/>
    <w:rsid w:val="00664B17"/>
    <w:rsid w:val="00666EEE"/>
    <w:rsid w:val="00671D5F"/>
    <w:rsid w:val="00672C1A"/>
    <w:rsid w:val="00673B88"/>
    <w:rsid w:val="00673F93"/>
    <w:rsid w:val="0067503A"/>
    <w:rsid w:val="00675317"/>
    <w:rsid w:val="006775E7"/>
    <w:rsid w:val="00680C2C"/>
    <w:rsid w:val="00680DF9"/>
    <w:rsid w:val="006832EC"/>
    <w:rsid w:val="00684DA9"/>
    <w:rsid w:val="00686BE3"/>
    <w:rsid w:val="00690C1F"/>
    <w:rsid w:val="00691086"/>
    <w:rsid w:val="0069328B"/>
    <w:rsid w:val="00694448"/>
    <w:rsid w:val="00695DEE"/>
    <w:rsid w:val="00697AE7"/>
    <w:rsid w:val="00697DA9"/>
    <w:rsid w:val="006A1A69"/>
    <w:rsid w:val="006A257A"/>
    <w:rsid w:val="006A3724"/>
    <w:rsid w:val="006A3995"/>
    <w:rsid w:val="006A3B19"/>
    <w:rsid w:val="006A5D55"/>
    <w:rsid w:val="006A600E"/>
    <w:rsid w:val="006A763E"/>
    <w:rsid w:val="006B17C0"/>
    <w:rsid w:val="006B342B"/>
    <w:rsid w:val="006B3E82"/>
    <w:rsid w:val="006B4228"/>
    <w:rsid w:val="006B6841"/>
    <w:rsid w:val="006C3C8E"/>
    <w:rsid w:val="006C3D5F"/>
    <w:rsid w:val="006C67D2"/>
    <w:rsid w:val="006C714E"/>
    <w:rsid w:val="006D0793"/>
    <w:rsid w:val="006D0EAC"/>
    <w:rsid w:val="006D153B"/>
    <w:rsid w:val="006D1EE8"/>
    <w:rsid w:val="006D265E"/>
    <w:rsid w:val="006D289A"/>
    <w:rsid w:val="006D3312"/>
    <w:rsid w:val="006D3A4A"/>
    <w:rsid w:val="006D491E"/>
    <w:rsid w:val="006D4FC8"/>
    <w:rsid w:val="006D61A0"/>
    <w:rsid w:val="006E18B5"/>
    <w:rsid w:val="006F228C"/>
    <w:rsid w:val="006F5C10"/>
    <w:rsid w:val="006F64B6"/>
    <w:rsid w:val="006F6704"/>
    <w:rsid w:val="006F72D6"/>
    <w:rsid w:val="006F7965"/>
    <w:rsid w:val="0070058D"/>
    <w:rsid w:val="00701395"/>
    <w:rsid w:val="00705F1F"/>
    <w:rsid w:val="00707244"/>
    <w:rsid w:val="00707D90"/>
    <w:rsid w:val="00710871"/>
    <w:rsid w:val="007123B9"/>
    <w:rsid w:val="00713955"/>
    <w:rsid w:val="0071460E"/>
    <w:rsid w:val="007217B0"/>
    <w:rsid w:val="00724334"/>
    <w:rsid w:val="00724766"/>
    <w:rsid w:val="00727573"/>
    <w:rsid w:val="007279BF"/>
    <w:rsid w:val="0073028A"/>
    <w:rsid w:val="0073160D"/>
    <w:rsid w:val="00732BD9"/>
    <w:rsid w:val="0073627D"/>
    <w:rsid w:val="00736386"/>
    <w:rsid w:val="007406E0"/>
    <w:rsid w:val="007414B9"/>
    <w:rsid w:val="00745007"/>
    <w:rsid w:val="00747650"/>
    <w:rsid w:val="00751508"/>
    <w:rsid w:val="00753CB6"/>
    <w:rsid w:val="00753EA2"/>
    <w:rsid w:val="00771C25"/>
    <w:rsid w:val="00773169"/>
    <w:rsid w:val="00776007"/>
    <w:rsid w:val="00787666"/>
    <w:rsid w:val="0079289F"/>
    <w:rsid w:val="00793F35"/>
    <w:rsid w:val="00794AD4"/>
    <w:rsid w:val="007954EB"/>
    <w:rsid w:val="00796496"/>
    <w:rsid w:val="007A06BA"/>
    <w:rsid w:val="007A2325"/>
    <w:rsid w:val="007A3284"/>
    <w:rsid w:val="007A524E"/>
    <w:rsid w:val="007B207C"/>
    <w:rsid w:val="007B20DB"/>
    <w:rsid w:val="007B2CF4"/>
    <w:rsid w:val="007B3071"/>
    <w:rsid w:val="007B5E3C"/>
    <w:rsid w:val="007B7751"/>
    <w:rsid w:val="007C2AF9"/>
    <w:rsid w:val="007C5146"/>
    <w:rsid w:val="007D16E0"/>
    <w:rsid w:val="007D78F6"/>
    <w:rsid w:val="007E0FB1"/>
    <w:rsid w:val="007E0FDC"/>
    <w:rsid w:val="007E23D0"/>
    <w:rsid w:val="007E2EE4"/>
    <w:rsid w:val="007E4694"/>
    <w:rsid w:val="007E5D41"/>
    <w:rsid w:val="007E76F2"/>
    <w:rsid w:val="007F2835"/>
    <w:rsid w:val="007F2C70"/>
    <w:rsid w:val="007F3838"/>
    <w:rsid w:val="007F51AB"/>
    <w:rsid w:val="007F73A8"/>
    <w:rsid w:val="007F7BED"/>
    <w:rsid w:val="007F7D18"/>
    <w:rsid w:val="00801C03"/>
    <w:rsid w:val="008033D7"/>
    <w:rsid w:val="00803D6F"/>
    <w:rsid w:val="008050B8"/>
    <w:rsid w:val="00811605"/>
    <w:rsid w:val="008137A6"/>
    <w:rsid w:val="00817325"/>
    <w:rsid w:val="00821061"/>
    <w:rsid w:val="00822154"/>
    <w:rsid w:val="00822225"/>
    <w:rsid w:val="00823D49"/>
    <w:rsid w:val="00832059"/>
    <w:rsid w:val="00832706"/>
    <w:rsid w:val="00833D21"/>
    <w:rsid w:val="0083574F"/>
    <w:rsid w:val="0084180D"/>
    <w:rsid w:val="00842B7F"/>
    <w:rsid w:val="0084430B"/>
    <w:rsid w:val="008515BC"/>
    <w:rsid w:val="00851E60"/>
    <w:rsid w:val="00855020"/>
    <w:rsid w:val="00857E9C"/>
    <w:rsid w:val="008625BF"/>
    <w:rsid w:val="008632B0"/>
    <w:rsid w:val="0086365C"/>
    <w:rsid w:val="00867EDA"/>
    <w:rsid w:val="0087121E"/>
    <w:rsid w:val="008712A1"/>
    <w:rsid w:val="00871404"/>
    <w:rsid w:val="00876A53"/>
    <w:rsid w:val="008819F4"/>
    <w:rsid w:val="00893408"/>
    <w:rsid w:val="008A0A51"/>
    <w:rsid w:val="008A3C13"/>
    <w:rsid w:val="008A4F7E"/>
    <w:rsid w:val="008A756B"/>
    <w:rsid w:val="008B0E62"/>
    <w:rsid w:val="008B387E"/>
    <w:rsid w:val="008B5981"/>
    <w:rsid w:val="008B67C5"/>
    <w:rsid w:val="008B77DC"/>
    <w:rsid w:val="008C129F"/>
    <w:rsid w:val="008C65EF"/>
    <w:rsid w:val="008C7384"/>
    <w:rsid w:val="008D4EB5"/>
    <w:rsid w:val="008E0DC8"/>
    <w:rsid w:val="008E1B24"/>
    <w:rsid w:val="008E51F1"/>
    <w:rsid w:val="008E636E"/>
    <w:rsid w:val="008F10CE"/>
    <w:rsid w:val="008F2385"/>
    <w:rsid w:val="008F2FD9"/>
    <w:rsid w:val="008F4CDA"/>
    <w:rsid w:val="0090006F"/>
    <w:rsid w:val="009027F0"/>
    <w:rsid w:val="00903ABB"/>
    <w:rsid w:val="00904F2B"/>
    <w:rsid w:val="00913C5B"/>
    <w:rsid w:val="00914822"/>
    <w:rsid w:val="00917E7C"/>
    <w:rsid w:val="009211A7"/>
    <w:rsid w:val="009215CE"/>
    <w:rsid w:val="009326ED"/>
    <w:rsid w:val="00935E71"/>
    <w:rsid w:val="00936562"/>
    <w:rsid w:val="00936B7E"/>
    <w:rsid w:val="00941308"/>
    <w:rsid w:val="00945391"/>
    <w:rsid w:val="00946565"/>
    <w:rsid w:val="00946C1E"/>
    <w:rsid w:val="009517B8"/>
    <w:rsid w:val="009526C1"/>
    <w:rsid w:val="00952E49"/>
    <w:rsid w:val="009555E8"/>
    <w:rsid w:val="0096175B"/>
    <w:rsid w:val="009619AE"/>
    <w:rsid w:val="00965752"/>
    <w:rsid w:val="00966C32"/>
    <w:rsid w:val="00970BDC"/>
    <w:rsid w:val="00975572"/>
    <w:rsid w:val="00976FF0"/>
    <w:rsid w:val="009777C0"/>
    <w:rsid w:val="0098145D"/>
    <w:rsid w:val="00981B41"/>
    <w:rsid w:val="00982581"/>
    <w:rsid w:val="00983EAC"/>
    <w:rsid w:val="0098417B"/>
    <w:rsid w:val="00984219"/>
    <w:rsid w:val="0098427A"/>
    <w:rsid w:val="00986460"/>
    <w:rsid w:val="00992F78"/>
    <w:rsid w:val="00993321"/>
    <w:rsid w:val="00997C1C"/>
    <w:rsid w:val="009A4E56"/>
    <w:rsid w:val="009A69B7"/>
    <w:rsid w:val="009B15CC"/>
    <w:rsid w:val="009B5795"/>
    <w:rsid w:val="009B75DB"/>
    <w:rsid w:val="009C2645"/>
    <w:rsid w:val="009C30BE"/>
    <w:rsid w:val="009C317A"/>
    <w:rsid w:val="009C3C36"/>
    <w:rsid w:val="009C4C6D"/>
    <w:rsid w:val="009C7FD6"/>
    <w:rsid w:val="009D279F"/>
    <w:rsid w:val="009D3B51"/>
    <w:rsid w:val="009D5803"/>
    <w:rsid w:val="009E079D"/>
    <w:rsid w:val="009E28CF"/>
    <w:rsid w:val="009F0E0B"/>
    <w:rsid w:val="009F2136"/>
    <w:rsid w:val="009F26C5"/>
    <w:rsid w:val="009F32BD"/>
    <w:rsid w:val="009F39FB"/>
    <w:rsid w:val="009F518E"/>
    <w:rsid w:val="009F5617"/>
    <w:rsid w:val="009F72EA"/>
    <w:rsid w:val="009F7D49"/>
    <w:rsid w:val="00A00E03"/>
    <w:rsid w:val="00A062A6"/>
    <w:rsid w:val="00A10A38"/>
    <w:rsid w:val="00A1253F"/>
    <w:rsid w:val="00A1532D"/>
    <w:rsid w:val="00A16D01"/>
    <w:rsid w:val="00A21785"/>
    <w:rsid w:val="00A21BA2"/>
    <w:rsid w:val="00A22BE4"/>
    <w:rsid w:val="00A33D73"/>
    <w:rsid w:val="00A342DA"/>
    <w:rsid w:val="00A35113"/>
    <w:rsid w:val="00A367D2"/>
    <w:rsid w:val="00A41268"/>
    <w:rsid w:val="00A511D4"/>
    <w:rsid w:val="00A54570"/>
    <w:rsid w:val="00A55DD2"/>
    <w:rsid w:val="00A60246"/>
    <w:rsid w:val="00A606B5"/>
    <w:rsid w:val="00A620AB"/>
    <w:rsid w:val="00A64162"/>
    <w:rsid w:val="00A66EBB"/>
    <w:rsid w:val="00A67ED8"/>
    <w:rsid w:val="00A70495"/>
    <w:rsid w:val="00A71B49"/>
    <w:rsid w:val="00A75B78"/>
    <w:rsid w:val="00A75BDC"/>
    <w:rsid w:val="00A76060"/>
    <w:rsid w:val="00A7713D"/>
    <w:rsid w:val="00A827A1"/>
    <w:rsid w:val="00A82DA8"/>
    <w:rsid w:val="00A8454E"/>
    <w:rsid w:val="00A854E6"/>
    <w:rsid w:val="00A86AC8"/>
    <w:rsid w:val="00A90FDD"/>
    <w:rsid w:val="00A91456"/>
    <w:rsid w:val="00A9204C"/>
    <w:rsid w:val="00A93508"/>
    <w:rsid w:val="00A9355F"/>
    <w:rsid w:val="00A936C0"/>
    <w:rsid w:val="00A93C82"/>
    <w:rsid w:val="00AA02CE"/>
    <w:rsid w:val="00AA0794"/>
    <w:rsid w:val="00AA260F"/>
    <w:rsid w:val="00AA43E9"/>
    <w:rsid w:val="00AA4556"/>
    <w:rsid w:val="00AA5397"/>
    <w:rsid w:val="00AA79DB"/>
    <w:rsid w:val="00AB12EB"/>
    <w:rsid w:val="00AB2A7E"/>
    <w:rsid w:val="00AB2E64"/>
    <w:rsid w:val="00AC229F"/>
    <w:rsid w:val="00AC28EA"/>
    <w:rsid w:val="00AD2E0C"/>
    <w:rsid w:val="00AD3A9D"/>
    <w:rsid w:val="00AD4169"/>
    <w:rsid w:val="00AE0CE8"/>
    <w:rsid w:val="00AE139A"/>
    <w:rsid w:val="00AE1837"/>
    <w:rsid w:val="00AE212B"/>
    <w:rsid w:val="00AE2728"/>
    <w:rsid w:val="00AE43F6"/>
    <w:rsid w:val="00AE675E"/>
    <w:rsid w:val="00AE7C51"/>
    <w:rsid w:val="00AF079E"/>
    <w:rsid w:val="00AF11C6"/>
    <w:rsid w:val="00AF191E"/>
    <w:rsid w:val="00AF2597"/>
    <w:rsid w:val="00AF2BE1"/>
    <w:rsid w:val="00AF4F41"/>
    <w:rsid w:val="00B011B1"/>
    <w:rsid w:val="00B01BE0"/>
    <w:rsid w:val="00B01C0B"/>
    <w:rsid w:val="00B06300"/>
    <w:rsid w:val="00B14FD9"/>
    <w:rsid w:val="00B2227C"/>
    <w:rsid w:val="00B22B37"/>
    <w:rsid w:val="00B25A50"/>
    <w:rsid w:val="00B26EB9"/>
    <w:rsid w:val="00B31AF6"/>
    <w:rsid w:val="00B324B5"/>
    <w:rsid w:val="00B35923"/>
    <w:rsid w:val="00B359BF"/>
    <w:rsid w:val="00B41328"/>
    <w:rsid w:val="00B46174"/>
    <w:rsid w:val="00B47FDC"/>
    <w:rsid w:val="00B50C1A"/>
    <w:rsid w:val="00B52BE9"/>
    <w:rsid w:val="00B53032"/>
    <w:rsid w:val="00B53136"/>
    <w:rsid w:val="00B5338A"/>
    <w:rsid w:val="00B53A55"/>
    <w:rsid w:val="00B5774D"/>
    <w:rsid w:val="00B60AE9"/>
    <w:rsid w:val="00B65095"/>
    <w:rsid w:val="00B67003"/>
    <w:rsid w:val="00B715C3"/>
    <w:rsid w:val="00B716D3"/>
    <w:rsid w:val="00B76F5E"/>
    <w:rsid w:val="00B8190B"/>
    <w:rsid w:val="00B81F72"/>
    <w:rsid w:val="00B83D83"/>
    <w:rsid w:val="00B8615C"/>
    <w:rsid w:val="00B86BB8"/>
    <w:rsid w:val="00B87D47"/>
    <w:rsid w:val="00B90D27"/>
    <w:rsid w:val="00B92621"/>
    <w:rsid w:val="00BA37F6"/>
    <w:rsid w:val="00BA4906"/>
    <w:rsid w:val="00BA7708"/>
    <w:rsid w:val="00BB0226"/>
    <w:rsid w:val="00BB2424"/>
    <w:rsid w:val="00BB3150"/>
    <w:rsid w:val="00BB39DD"/>
    <w:rsid w:val="00BC1B51"/>
    <w:rsid w:val="00BC24F7"/>
    <w:rsid w:val="00BC33FC"/>
    <w:rsid w:val="00BC59B5"/>
    <w:rsid w:val="00BC73E9"/>
    <w:rsid w:val="00BE1344"/>
    <w:rsid w:val="00BE1B5A"/>
    <w:rsid w:val="00BE43F0"/>
    <w:rsid w:val="00BE5369"/>
    <w:rsid w:val="00BF15B0"/>
    <w:rsid w:val="00BF51AC"/>
    <w:rsid w:val="00BF53AF"/>
    <w:rsid w:val="00BF716C"/>
    <w:rsid w:val="00C0107D"/>
    <w:rsid w:val="00C0111F"/>
    <w:rsid w:val="00C02127"/>
    <w:rsid w:val="00C054CC"/>
    <w:rsid w:val="00C119A7"/>
    <w:rsid w:val="00C14B3C"/>
    <w:rsid w:val="00C15F78"/>
    <w:rsid w:val="00C20305"/>
    <w:rsid w:val="00C22ED3"/>
    <w:rsid w:val="00C234EC"/>
    <w:rsid w:val="00C26CE6"/>
    <w:rsid w:val="00C276B8"/>
    <w:rsid w:val="00C277DF"/>
    <w:rsid w:val="00C277FA"/>
    <w:rsid w:val="00C363D9"/>
    <w:rsid w:val="00C36EE8"/>
    <w:rsid w:val="00C42134"/>
    <w:rsid w:val="00C425DE"/>
    <w:rsid w:val="00C43419"/>
    <w:rsid w:val="00C44D29"/>
    <w:rsid w:val="00C45223"/>
    <w:rsid w:val="00C54E5C"/>
    <w:rsid w:val="00C56DDE"/>
    <w:rsid w:val="00C6099C"/>
    <w:rsid w:val="00C620D1"/>
    <w:rsid w:val="00C63D04"/>
    <w:rsid w:val="00C6412A"/>
    <w:rsid w:val="00C665EB"/>
    <w:rsid w:val="00C70C42"/>
    <w:rsid w:val="00C72620"/>
    <w:rsid w:val="00C7371F"/>
    <w:rsid w:val="00C80A94"/>
    <w:rsid w:val="00C814CA"/>
    <w:rsid w:val="00C867ED"/>
    <w:rsid w:val="00C90C73"/>
    <w:rsid w:val="00C922AF"/>
    <w:rsid w:val="00C95BCF"/>
    <w:rsid w:val="00CA10C2"/>
    <w:rsid w:val="00CA48EB"/>
    <w:rsid w:val="00CA4A0C"/>
    <w:rsid w:val="00CA788D"/>
    <w:rsid w:val="00CA7B5C"/>
    <w:rsid w:val="00CB6583"/>
    <w:rsid w:val="00CB6747"/>
    <w:rsid w:val="00CB6FEB"/>
    <w:rsid w:val="00CC000A"/>
    <w:rsid w:val="00CC22B2"/>
    <w:rsid w:val="00CC3503"/>
    <w:rsid w:val="00CC3BD3"/>
    <w:rsid w:val="00CC528A"/>
    <w:rsid w:val="00CC657A"/>
    <w:rsid w:val="00CD23EF"/>
    <w:rsid w:val="00CE00AD"/>
    <w:rsid w:val="00CE0FF6"/>
    <w:rsid w:val="00CE151E"/>
    <w:rsid w:val="00CE1C9A"/>
    <w:rsid w:val="00CE3A0F"/>
    <w:rsid w:val="00CE6145"/>
    <w:rsid w:val="00CE7DCC"/>
    <w:rsid w:val="00CF0B63"/>
    <w:rsid w:val="00CF13D7"/>
    <w:rsid w:val="00CF2FC2"/>
    <w:rsid w:val="00D00147"/>
    <w:rsid w:val="00D01BF0"/>
    <w:rsid w:val="00D063E0"/>
    <w:rsid w:val="00D06E03"/>
    <w:rsid w:val="00D14303"/>
    <w:rsid w:val="00D16516"/>
    <w:rsid w:val="00D21C78"/>
    <w:rsid w:val="00D242A6"/>
    <w:rsid w:val="00D274A1"/>
    <w:rsid w:val="00D2789F"/>
    <w:rsid w:val="00D309F1"/>
    <w:rsid w:val="00D31DA4"/>
    <w:rsid w:val="00D31F19"/>
    <w:rsid w:val="00D3291A"/>
    <w:rsid w:val="00D36F6F"/>
    <w:rsid w:val="00D372B9"/>
    <w:rsid w:val="00D40106"/>
    <w:rsid w:val="00D44A01"/>
    <w:rsid w:val="00D4504C"/>
    <w:rsid w:val="00D4590B"/>
    <w:rsid w:val="00D53AE4"/>
    <w:rsid w:val="00D5520E"/>
    <w:rsid w:val="00D574D5"/>
    <w:rsid w:val="00D57A81"/>
    <w:rsid w:val="00D731AD"/>
    <w:rsid w:val="00D74B66"/>
    <w:rsid w:val="00D762FD"/>
    <w:rsid w:val="00D77DE9"/>
    <w:rsid w:val="00D93938"/>
    <w:rsid w:val="00D94FC6"/>
    <w:rsid w:val="00D972F9"/>
    <w:rsid w:val="00DA3A28"/>
    <w:rsid w:val="00DA4BB0"/>
    <w:rsid w:val="00DA5D2E"/>
    <w:rsid w:val="00DA71CB"/>
    <w:rsid w:val="00DA7803"/>
    <w:rsid w:val="00DA7F74"/>
    <w:rsid w:val="00DB120A"/>
    <w:rsid w:val="00DB1E5A"/>
    <w:rsid w:val="00DB2986"/>
    <w:rsid w:val="00DB47FA"/>
    <w:rsid w:val="00DB6261"/>
    <w:rsid w:val="00DB6CA1"/>
    <w:rsid w:val="00DC0112"/>
    <w:rsid w:val="00DC2416"/>
    <w:rsid w:val="00DC5E83"/>
    <w:rsid w:val="00DD1409"/>
    <w:rsid w:val="00DD2D2F"/>
    <w:rsid w:val="00DD660B"/>
    <w:rsid w:val="00DD69AD"/>
    <w:rsid w:val="00DD77AE"/>
    <w:rsid w:val="00DD7C0F"/>
    <w:rsid w:val="00DE055C"/>
    <w:rsid w:val="00DE479D"/>
    <w:rsid w:val="00DE6C0D"/>
    <w:rsid w:val="00E03A85"/>
    <w:rsid w:val="00E044DB"/>
    <w:rsid w:val="00E05422"/>
    <w:rsid w:val="00E07E9C"/>
    <w:rsid w:val="00E11DE9"/>
    <w:rsid w:val="00E123D5"/>
    <w:rsid w:val="00E12E25"/>
    <w:rsid w:val="00E15AE8"/>
    <w:rsid w:val="00E2168E"/>
    <w:rsid w:val="00E24ADC"/>
    <w:rsid w:val="00E31408"/>
    <w:rsid w:val="00E347B7"/>
    <w:rsid w:val="00E37344"/>
    <w:rsid w:val="00E40439"/>
    <w:rsid w:val="00E407A1"/>
    <w:rsid w:val="00E418C1"/>
    <w:rsid w:val="00E4201E"/>
    <w:rsid w:val="00E43D8A"/>
    <w:rsid w:val="00E4699D"/>
    <w:rsid w:val="00E46BBC"/>
    <w:rsid w:val="00E50899"/>
    <w:rsid w:val="00E5182D"/>
    <w:rsid w:val="00E520DB"/>
    <w:rsid w:val="00E52C7D"/>
    <w:rsid w:val="00E52DC6"/>
    <w:rsid w:val="00E53793"/>
    <w:rsid w:val="00E552C0"/>
    <w:rsid w:val="00E5573F"/>
    <w:rsid w:val="00E56454"/>
    <w:rsid w:val="00E641BF"/>
    <w:rsid w:val="00E641C4"/>
    <w:rsid w:val="00E65CBA"/>
    <w:rsid w:val="00E65D21"/>
    <w:rsid w:val="00E663C7"/>
    <w:rsid w:val="00E7193A"/>
    <w:rsid w:val="00E72151"/>
    <w:rsid w:val="00E733FF"/>
    <w:rsid w:val="00E7432F"/>
    <w:rsid w:val="00E777C9"/>
    <w:rsid w:val="00E800C4"/>
    <w:rsid w:val="00E846CB"/>
    <w:rsid w:val="00E8610B"/>
    <w:rsid w:val="00E87AAB"/>
    <w:rsid w:val="00E91556"/>
    <w:rsid w:val="00E93921"/>
    <w:rsid w:val="00E93A74"/>
    <w:rsid w:val="00E96B1E"/>
    <w:rsid w:val="00E97561"/>
    <w:rsid w:val="00EA1041"/>
    <w:rsid w:val="00EA1CAE"/>
    <w:rsid w:val="00EA373D"/>
    <w:rsid w:val="00EA4620"/>
    <w:rsid w:val="00EA5A52"/>
    <w:rsid w:val="00EB0777"/>
    <w:rsid w:val="00EB1296"/>
    <w:rsid w:val="00EB46ED"/>
    <w:rsid w:val="00EC2A7D"/>
    <w:rsid w:val="00EC5184"/>
    <w:rsid w:val="00EC74FF"/>
    <w:rsid w:val="00EC7C04"/>
    <w:rsid w:val="00ED0829"/>
    <w:rsid w:val="00ED101E"/>
    <w:rsid w:val="00ED2153"/>
    <w:rsid w:val="00ED349A"/>
    <w:rsid w:val="00ED3767"/>
    <w:rsid w:val="00ED4723"/>
    <w:rsid w:val="00ED5F16"/>
    <w:rsid w:val="00ED6A29"/>
    <w:rsid w:val="00EE0CD0"/>
    <w:rsid w:val="00EE17D7"/>
    <w:rsid w:val="00EE3A33"/>
    <w:rsid w:val="00EE42CA"/>
    <w:rsid w:val="00EE6C00"/>
    <w:rsid w:val="00EE794D"/>
    <w:rsid w:val="00EF45FA"/>
    <w:rsid w:val="00EF70C0"/>
    <w:rsid w:val="00F01F08"/>
    <w:rsid w:val="00F021BB"/>
    <w:rsid w:val="00F0255A"/>
    <w:rsid w:val="00F07E1B"/>
    <w:rsid w:val="00F118D4"/>
    <w:rsid w:val="00F214A0"/>
    <w:rsid w:val="00F2368F"/>
    <w:rsid w:val="00F2377F"/>
    <w:rsid w:val="00F23EFE"/>
    <w:rsid w:val="00F241E3"/>
    <w:rsid w:val="00F24286"/>
    <w:rsid w:val="00F26BF9"/>
    <w:rsid w:val="00F34A86"/>
    <w:rsid w:val="00F36729"/>
    <w:rsid w:val="00F36992"/>
    <w:rsid w:val="00F46E94"/>
    <w:rsid w:val="00F508F8"/>
    <w:rsid w:val="00F54B56"/>
    <w:rsid w:val="00F55333"/>
    <w:rsid w:val="00F62B51"/>
    <w:rsid w:val="00F63218"/>
    <w:rsid w:val="00F64FDF"/>
    <w:rsid w:val="00F65EAD"/>
    <w:rsid w:val="00F66169"/>
    <w:rsid w:val="00F663A0"/>
    <w:rsid w:val="00F70BE7"/>
    <w:rsid w:val="00F75494"/>
    <w:rsid w:val="00F75B0A"/>
    <w:rsid w:val="00F801C7"/>
    <w:rsid w:val="00F803C1"/>
    <w:rsid w:val="00F825A4"/>
    <w:rsid w:val="00F83DFF"/>
    <w:rsid w:val="00F8653F"/>
    <w:rsid w:val="00F92BE7"/>
    <w:rsid w:val="00F936D1"/>
    <w:rsid w:val="00F96364"/>
    <w:rsid w:val="00F96445"/>
    <w:rsid w:val="00FA0868"/>
    <w:rsid w:val="00FA145C"/>
    <w:rsid w:val="00FA24D8"/>
    <w:rsid w:val="00FA2AB8"/>
    <w:rsid w:val="00FA2BE3"/>
    <w:rsid w:val="00FA4766"/>
    <w:rsid w:val="00FA7651"/>
    <w:rsid w:val="00FB05C1"/>
    <w:rsid w:val="00FB17C3"/>
    <w:rsid w:val="00FC310F"/>
    <w:rsid w:val="00FC3642"/>
    <w:rsid w:val="00FD27CD"/>
    <w:rsid w:val="00FD392A"/>
    <w:rsid w:val="00FD61E6"/>
    <w:rsid w:val="00FE077A"/>
    <w:rsid w:val="00FE5E45"/>
    <w:rsid w:val="00FE7DB8"/>
    <w:rsid w:val="00FF0B7D"/>
    <w:rsid w:val="00FF0BE7"/>
    <w:rsid w:val="00FF0E60"/>
    <w:rsid w:val="00FF1969"/>
    <w:rsid w:val="00FF3122"/>
    <w:rsid w:val="00FF406D"/>
    <w:rsid w:val="00FF6F57"/>
    <w:rsid w:val="00FF72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CB4C5528-04DA-4497-9A99-1737111E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bidi="ar-SA"/>
    </w:rPr>
  </w:style>
  <w:style w:type="paragraph" w:styleId="1">
    <w:name w:val="heading 1"/>
    <w:basedOn w:val="a"/>
    <w:next w:val="a"/>
    <w:link w:val="10"/>
    <w:uiPriority w:val="9"/>
    <w:qFormat/>
    <w:rsid w:val="00695DE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Pr>
      <w:sz w:val="20"/>
      <w:szCs w:val="20"/>
    </w:rPr>
  </w:style>
  <w:style w:type="character" w:styleId="a4">
    <w:name w:val="footnote reference"/>
    <w:basedOn w:val="a0"/>
    <w:semiHidden/>
    <w:rPr>
      <w:vertAlign w:val="superscript"/>
    </w:rPr>
  </w:style>
  <w:style w:type="paragraph" w:styleId="a5">
    <w:name w:val="footer"/>
    <w:basedOn w:val="a"/>
    <w:pPr>
      <w:tabs>
        <w:tab w:val="center" w:pos="4320"/>
        <w:tab w:val="right" w:pos="8640"/>
      </w:tabs>
    </w:pPr>
  </w:style>
  <w:style w:type="character" w:styleId="a6">
    <w:name w:val="page number"/>
    <w:basedOn w:val="a0"/>
  </w:style>
  <w:style w:type="paragraph" w:styleId="a7">
    <w:name w:val="Body Text Indent"/>
    <w:basedOn w:val="a"/>
    <w:rsid w:val="00A606B5"/>
    <w:pPr>
      <w:autoSpaceDE w:val="0"/>
      <w:autoSpaceDN w:val="0"/>
      <w:adjustRightInd w:val="0"/>
      <w:ind w:left="720" w:hanging="720"/>
    </w:pPr>
    <w:rPr>
      <w:rFonts w:eastAsia="PMingLiU"/>
      <w:color w:val="000000"/>
      <w:lang w:bidi="he-IL"/>
    </w:rPr>
  </w:style>
  <w:style w:type="paragraph" w:styleId="a8">
    <w:name w:val="Balloon Text"/>
    <w:basedOn w:val="a"/>
    <w:semiHidden/>
    <w:rsid w:val="00192CDB"/>
    <w:rPr>
      <w:rFonts w:ascii="Tahoma" w:hAnsi="Tahoma" w:cs="Tahoma"/>
      <w:sz w:val="16"/>
      <w:szCs w:val="16"/>
    </w:rPr>
  </w:style>
  <w:style w:type="character" w:styleId="a9">
    <w:name w:val="annotation reference"/>
    <w:basedOn w:val="a0"/>
    <w:semiHidden/>
    <w:rsid w:val="00D4590B"/>
    <w:rPr>
      <w:sz w:val="16"/>
      <w:szCs w:val="16"/>
    </w:rPr>
  </w:style>
  <w:style w:type="paragraph" w:styleId="aa">
    <w:name w:val="annotation text"/>
    <w:basedOn w:val="a"/>
    <w:semiHidden/>
    <w:rsid w:val="00D4590B"/>
    <w:rPr>
      <w:sz w:val="20"/>
      <w:szCs w:val="20"/>
    </w:rPr>
  </w:style>
  <w:style w:type="paragraph" w:styleId="ab">
    <w:name w:val="annotation subject"/>
    <w:basedOn w:val="aa"/>
    <w:next w:val="aa"/>
    <w:semiHidden/>
    <w:rsid w:val="00D4590B"/>
    <w:rPr>
      <w:b/>
      <w:bCs/>
    </w:rPr>
  </w:style>
  <w:style w:type="paragraph" w:styleId="ac">
    <w:name w:val="header"/>
    <w:basedOn w:val="a"/>
    <w:rsid w:val="00D4590B"/>
    <w:pPr>
      <w:tabs>
        <w:tab w:val="center" w:pos="4320"/>
        <w:tab w:val="right" w:pos="8640"/>
      </w:tabs>
    </w:pPr>
  </w:style>
  <w:style w:type="character" w:styleId="Hyperlink">
    <w:name w:val="Hyperlink"/>
    <w:basedOn w:val="a0"/>
    <w:rsid w:val="00D4590B"/>
    <w:rPr>
      <w:color w:val="0000FF"/>
      <w:u w:val="single"/>
    </w:rPr>
  </w:style>
  <w:style w:type="character" w:customStyle="1" w:styleId="10">
    <w:name w:val="כותרת 1 תו"/>
    <w:basedOn w:val="a0"/>
    <w:link w:val="1"/>
    <w:uiPriority w:val="9"/>
    <w:rsid w:val="00695DEE"/>
    <w:rPr>
      <w:rFonts w:asciiTheme="majorHAnsi" w:eastAsiaTheme="majorEastAsia" w:hAnsiTheme="majorHAnsi" w:cstheme="majorBidi"/>
      <w:color w:val="2F5496" w:themeColor="accent1" w:themeShade="BF"/>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biu.ac.il/JS/JSIJ/7-2008/Berger.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u.ac.il/JS/JSIJ/7-2008/Berger.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iu.ac.il/JS/JSIJ/7-2008/Berger.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12244</Words>
  <Characters>61225</Characters>
  <Application>Microsoft Office Word</Application>
  <DocSecurity>0</DocSecurity>
  <Lines>510</Lines>
  <Paragraphs>146</Paragraphs>
  <ScaleCrop>false</ScaleCrop>
  <HeadingPairs>
    <vt:vector size="2" baseType="variant">
      <vt:variant>
        <vt:lpstr>שם</vt:lpstr>
      </vt:variant>
      <vt:variant>
        <vt:i4>1</vt:i4>
      </vt:variant>
    </vt:vector>
  </HeadingPairs>
  <TitlesOfParts>
    <vt:vector size="1" baseType="lpstr">
      <vt:lpstr>Radak on Proverbs: A Reconsideration</vt:lpstr>
    </vt:vector>
  </TitlesOfParts>
  <Company/>
  <LinksUpToDate>false</LinksUpToDate>
  <CharactersWithSpaces>73323</CharactersWithSpaces>
  <SharedDoc>false</SharedDoc>
  <HLinks>
    <vt:vector size="18" baseType="variant">
      <vt:variant>
        <vt:i4>4128887</vt:i4>
      </vt:variant>
      <vt:variant>
        <vt:i4>12</vt:i4>
      </vt:variant>
      <vt:variant>
        <vt:i4>0</vt:i4>
      </vt:variant>
      <vt:variant>
        <vt:i4>5</vt:i4>
      </vt:variant>
      <vt:variant>
        <vt:lpwstr>http://www.biu.ac.il/JS/JSIJ/7-2008/Berger.pdf</vt:lpwstr>
      </vt:variant>
      <vt:variant>
        <vt:lpwstr/>
      </vt:variant>
      <vt:variant>
        <vt:i4>4128887</vt:i4>
      </vt:variant>
      <vt:variant>
        <vt:i4>9</vt:i4>
      </vt:variant>
      <vt:variant>
        <vt:i4>0</vt:i4>
      </vt:variant>
      <vt:variant>
        <vt:i4>5</vt:i4>
      </vt:variant>
      <vt:variant>
        <vt:lpwstr>http://www.biu.ac.il/JS/JSIJ/7-2008/Berger.pdf</vt:lpwstr>
      </vt:variant>
      <vt:variant>
        <vt:lpwstr/>
      </vt:variant>
      <vt:variant>
        <vt:i4>4128887</vt:i4>
      </vt:variant>
      <vt:variant>
        <vt:i4>6</vt:i4>
      </vt:variant>
      <vt:variant>
        <vt:i4>0</vt:i4>
      </vt:variant>
      <vt:variant>
        <vt:i4>5</vt:i4>
      </vt:variant>
      <vt:variant>
        <vt:lpwstr>http://www.biu.ac.il/JS/JSIJ/7-2008/Berger.pdf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Radak on Proverbs: A Reconsideration</dc:title>
  <dc:subject/>
  <dc:creator>yitzhak berger</dc:creator>
  <cp:keywords/>
  <dc:description/>
  <cp:lastModifiedBy>עופרה שטיינמץ</cp:lastModifiedBy>
  <cp:revision>2</cp:revision>
  <cp:lastPrinted>2008-06-29T15:10:00Z</cp:lastPrinted>
  <dcterms:created xsi:type="dcterms:W3CDTF">2017-09-06T11:48:00Z</dcterms:created>
  <dcterms:modified xsi:type="dcterms:W3CDTF">2017-09-06T11:48:00Z</dcterms:modified>
</cp:coreProperties>
</file>