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C5B42" w:rsidRPr="00FD6165" w:rsidRDefault="008C5B42" w:rsidP="00495FEB">
      <w:pPr>
        <w:pStyle w:val="11"/>
        <w:tabs>
          <w:tab w:val="left" w:pos="288"/>
        </w:tabs>
        <w:spacing w:before="0" w:after="0" w:line="300" w:lineRule="exact"/>
        <w:jc w:val="both"/>
        <w:rPr>
          <w:rFonts w:cs="Times New Roman"/>
          <w:b/>
          <w:bCs/>
          <w:i/>
          <w:iCs/>
          <w:sz w:val="26"/>
          <w:szCs w:val="26"/>
        </w:rPr>
      </w:pPr>
    </w:p>
    <w:p w:rsidR="008C5B42" w:rsidRPr="00FD6165" w:rsidRDefault="008C5B42" w:rsidP="00495FEB">
      <w:pPr>
        <w:pStyle w:val="11"/>
        <w:tabs>
          <w:tab w:val="left" w:pos="288"/>
        </w:tabs>
        <w:spacing w:before="0" w:after="0" w:line="300" w:lineRule="exact"/>
        <w:jc w:val="both"/>
        <w:rPr>
          <w:rFonts w:cs="Times New Roman"/>
          <w:b/>
          <w:bCs/>
          <w:i/>
          <w:iCs/>
          <w:sz w:val="26"/>
          <w:szCs w:val="26"/>
        </w:rPr>
      </w:pPr>
    </w:p>
    <w:p w:rsidR="008C5B42" w:rsidRPr="00D473BF" w:rsidRDefault="008C5B42" w:rsidP="00D473BF">
      <w:pPr>
        <w:pStyle w:val="1"/>
        <w:jc w:val="center"/>
        <w:rPr>
          <w:rFonts w:asciiTheme="majorBidi" w:hAnsiTheme="majorBidi"/>
          <w:color w:val="auto"/>
        </w:rPr>
      </w:pPr>
    </w:p>
    <w:p w:rsidR="008C5B42" w:rsidRPr="00D473BF" w:rsidRDefault="008C5B42" w:rsidP="00D473BF">
      <w:pPr>
        <w:pStyle w:val="1"/>
        <w:jc w:val="center"/>
        <w:rPr>
          <w:rFonts w:asciiTheme="majorBidi" w:hAnsiTheme="majorBidi"/>
          <w:color w:val="auto"/>
        </w:rPr>
      </w:pPr>
      <w:r w:rsidRPr="00D473BF">
        <w:rPr>
          <w:rFonts w:asciiTheme="majorBidi" w:hAnsiTheme="majorBidi"/>
          <w:color w:val="auto"/>
        </w:rPr>
        <w:t>DIN AND DEBATE: SOME DIALECTICAL PATTERNS IN TANNAITIC TEXTS</w:t>
      </w:r>
      <w:r w:rsidR="00C874DE" w:rsidRPr="00D473BF">
        <w:rPr>
          <w:rStyle w:val="a7"/>
          <w:rFonts w:asciiTheme="majorBidi" w:hAnsiTheme="majorBidi"/>
          <w:color w:val="auto"/>
          <w:vertAlign w:val="baseline"/>
        </w:rPr>
        <w:footnoteReference w:customMarkFollows="1" w:id="1"/>
        <w:t>*</w:t>
      </w:r>
    </w:p>
    <w:p w:rsidR="008C5B42" w:rsidRPr="00D473BF" w:rsidRDefault="008C5B42" w:rsidP="00D473BF">
      <w:pPr>
        <w:pStyle w:val="1"/>
        <w:jc w:val="center"/>
        <w:rPr>
          <w:rFonts w:asciiTheme="majorBidi" w:hAnsiTheme="majorBidi"/>
          <w:color w:val="auto"/>
        </w:rPr>
      </w:pPr>
    </w:p>
    <w:p w:rsidR="008C5B42" w:rsidRPr="00FD6165" w:rsidRDefault="008C5B42" w:rsidP="00495FEB">
      <w:pPr>
        <w:pStyle w:val="11"/>
        <w:tabs>
          <w:tab w:val="left" w:pos="288"/>
        </w:tabs>
        <w:spacing w:before="0" w:after="0" w:line="300" w:lineRule="exact"/>
        <w:jc w:val="both"/>
        <w:rPr>
          <w:rFonts w:cs="Times New Roman"/>
          <w:b/>
          <w:bCs/>
          <w:sz w:val="26"/>
          <w:szCs w:val="26"/>
        </w:rPr>
      </w:pPr>
    </w:p>
    <w:p w:rsidR="008C5B42" w:rsidRPr="00D473BF" w:rsidRDefault="008C5B42" w:rsidP="00495FEB">
      <w:pPr>
        <w:pStyle w:val="11"/>
        <w:tabs>
          <w:tab w:val="left" w:pos="288"/>
        </w:tabs>
        <w:spacing w:before="0" w:after="0" w:line="300" w:lineRule="exact"/>
        <w:jc w:val="center"/>
        <w:rPr>
          <w:rStyle w:val="af4"/>
          <w:b w:val="0"/>
          <w:bCs w:val="0"/>
          <w:i w:val="0"/>
          <w:iCs w:val="0"/>
          <w:sz w:val="28"/>
          <w:szCs w:val="28"/>
        </w:rPr>
      </w:pPr>
      <w:r w:rsidRPr="00D473BF">
        <w:rPr>
          <w:rStyle w:val="af4"/>
          <w:b w:val="0"/>
          <w:bCs w:val="0"/>
          <w:i w:val="0"/>
          <w:iCs w:val="0"/>
          <w:sz w:val="28"/>
          <w:szCs w:val="28"/>
        </w:rPr>
        <w:t>TZVI NOVICK</w:t>
      </w:r>
      <w:r w:rsidR="00C874DE" w:rsidRPr="00D473BF">
        <w:rPr>
          <w:rStyle w:val="af4"/>
          <w:b w:val="0"/>
          <w:bCs w:val="0"/>
          <w:i w:val="0"/>
          <w:iCs w:val="0"/>
          <w:sz w:val="28"/>
          <w:szCs w:val="28"/>
        </w:rPr>
        <w:footnoteReference w:customMarkFollows="1" w:id="2"/>
        <w:t>**</w:t>
      </w:r>
    </w:p>
    <w:p w:rsidR="008C5B42" w:rsidRDefault="008C5B42" w:rsidP="00495FEB">
      <w:pPr>
        <w:pStyle w:val="11"/>
        <w:tabs>
          <w:tab w:val="left" w:pos="288"/>
        </w:tabs>
        <w:spacing w:before="0" w:after="0" w:line="300" w:lineRule="exact"/>
        <w:jc w:val="center"/>
        <w:rPr>
          <w:rFonts w:cs="Times New Roman"/>
          <w:sz w:val="26"/>
          <w:szCs w:val="26"/>
        </w:rPr>
      </w:pPr>
    </w:p>
    <w:p w:rsidR="008C5B42" w:rsidRPr="00D03905" w:rsidRDefault="008C5B42" w:rsidP="00495FEB">
      <w:pPr>
        <w:pStyle w:val="11"/>
        <w:tabs>
          <w:tab w:val="left" w:pos="288"/>
        </w:tabs>
        <w:spacing w:before="0" w:after="0" w:line="300" w:lineRule="exact"/>
        <w:jc w:val="center"/>
        <w:rPr>
          <w:rFonts w:cs="Times New Roman"/>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Introduction</w:t>
      </w:r>
    </w:p>
    <w:p w:rsidR="008C5B42" w:rsidRPr="00FD6165" w:rsidRDefault="008C5B42" w:rsidP="005171FB">
      <w:pPr>
        <w:pStyle w:val="11"/>
        <w:tabs>
          <w:tab w:val="left" w:pos="288"/>
        </w:tabs>
        <w:spacing w:before="0" w:after="0" w:line="300" w:lineRule="exact"/>
        <w:jc w:val="both"/>
        <w:rPr>
          <w:rFonts w:cs="Times New Roman"/>
          <w:sz w:val="26"/>
          <w:szCs w:val="26"/>
        </w:rPr>
      </w:pPr>
      <w:proofErr w:type="spellStart"/>
      <w:r w:rsidRPr="00FD6165">
        <w:rPr>
          <w:rFonts w:cs="Times New Roman"/>
          <w:sz w:val="26"/>
          <w:szCs w:val="26"/>
        </w:rPr>
        <w:t>Shamma</w:t>
      </w:r>
      <w:proofErr w:type="spellEnd"/>
      <w:r w:rsidRPr="00FD6165">
        <w:rPr>
          <w:rFonts w:cs="Times New Roman"/>
          <w:sz w:val="26"/>
          <w:szCs w:val="26"/>
        </w:rPr>
        <w:t xml:space="preserve"> Friedman has suggested that “the dialectical terminology (</w:t>
      </w:r>
      <w:r w:rsidRPr="00FD6165">
        <w:rPr>
          <w:rFonts w:cs="Times New Roman"/>
          <w:sz w:val="26"/>
          <w:szCs w:val="26"/>
          <w:rtl/>
        </w:rPr>
        <w:t>מונחי משא ומתן</w:t>
      </w:r>
      <w:r w:rsidRPr="00FD6165">
        <w:rPr>
          <w:rFonts w:cs="Times New Roman"/>
          <w:sz w:val="26"/>
          <w:szCs w:val="26"/>
        </w:rPr>
        <w:t xml:space="preserve">) of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literature should be studied directly, and specifically the terminology that belongs not to discussion of biblical exegesis but to discussion among sages concerning their laws, and especially in the Mishnah and the Tosefta. This is an area that has not yet received fundamental treatment.”</w:t>
      </w:r>
      <w:r w:rsidRPr="00FD6165">
        <w:rPr>
          <w:rStyle w:val="FootnoteCharacters"/>
          <w:rFonts w:cs="Times New Roman"/>
          <w:sz w:val="26"/>
          <w:szCs w:val="26"/>
        </w:rPr>
        <w:footnoteReference w:id="3"/>
      </w:r>
      <w:r w:rsidRPr="00FD6165">
        <w:rPr>
          <w:rFonts w:cs="Times New Roman"/>
          <w:sz w:val="26"/>
          <w:szCs w:val="26"/>
        </w:rPr>
        <w:t xml:space="preserve"> In this essay I undertake to study a set of technical terms employed in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literature </w:t>
      </w:r>
      <w:proofErr w:type="gramStart"/>
      <w:r w:rsidRPr="00FD6165">
        <w:rPr>
          <w:rFonts w:cs="Times New Roman"/>
          <w:sz w:val="26"/>
          <w:szCs w:val="26"/>
        </w:rPr>
        <w:t>in connection with</w:t>
      </w:r>
      <w:proofErr w:type="gramEnd"/>
      <w:r w:rsidRPr="00FD6165">
        <w:rPr>
          <w:rFonts w:cs="Times New Roman"/>
          <w:sz w:val="26"/>
          <w:szCs w:val="26"/>
        </w:rPr>
        <w:t xml:space="preserve"> the interrogation of a </w:t>
      </w:r>
      <w:r w:rsidRPr="00FD6165">
        <w:rPr>
          <w:rFonts w:cs="Times New Roman"/>
          <w:i/>
          <w:iCs/>
          <w:sz w:val="26"/>
          <w:szCs w:val="26"/>
        </w:rPr>
        <w:t>din</w:t>
      </w:r>
      <w:r w:rsidRPr="00FD6165">
        <w:rPr>
          <w:rFonts w:cs="Times New Roman"/>
          <w:sz w:val="26"/>
          <w:szCs w:val="26"/>
        </w:rPr>
        <w:t xml:space="preserve">, or logical inference. These terms are found in the Mishnah and in the Tosefta, but also in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Midrash. Their occurrence in the latter is due in considerable part to the assumption, prevalent especially but not exclusively in the school of R. </w:t>
      </w:r>
      <w:proofErr w:type="spellStart"/>
      <w:r w:rsidRPr="00FD6165">
        <w:rPr>
          <w:rFonts w:cs="Times New Roman"/>
          <w:sz w:val="26"/>
          <w:szCs w:val="26"/>
        </w:rPr>
        <w:t>Akiva</w:t>
      </w:r>
      <w:proofErr w:type="spellEnd"/>
      <w:r w:rsidRPr="00FD6165">
        <w:rPr>
          <w:rFonts w:cs="Times New Roman"/>
          <w:sz w:val="26"/>
          <w:szCs w:val="26"/>
        </w:rPr>
        <w:t>, that a verse must convey a teaching that cannot have been reached independently through</w:t>
      </w:r>
      <w:r w:rsidR="00E21EDE">
        <w:rPr>
          <w:rFonts w:cs="Times New Roman"/>
          <w:sz w:val="26"/>
          <w:szCs w:val="26"/>
        </w:rPr>
        <w:t xml:space="preserve"> a</w:t>
      </w:r>
      <w:r w:rsidRPr="00FD6165">
        <w:rPr>
          <w:rFonts w:cs="Times New Roman"/>
          <w:sz w:val="26"/>
          <w:szCs w:val="26"/>
        </w:rPr>
        <w:t xml:space="preserve"> </w:t>
      </w:r>
      <w:r w:rsidRPr="00FD6165">
        <w:rPr>
          <w:rFonts w:cs="Times New Roman"/>
          <w:i/>
          <w:iCs/>
          <w:sz w:val="26"/>
          <w:szCs w:val="26"/>
        </w:rPr>
        <w:t>din</w:t>
      </w:r>
      <w:r w:rsidRPr="00FD6165">
        <w:rPr>
          <w:rFonts w:cs="Times New Roman"/>
          <w:sz w:val="26"/>
          <w:szCs w:val="26"/>
        </w:rPr>
        <w:t xml:space="preserve">. Indeed, one of the most interesting questions surrounding these terms is how they change when they shift from the Mishnah and the Tosefta, where they occur in dialogue between named sages, to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Midrash, where they typically occur, instead, in anonymous dialectic. Of </w:t>
      </w:r>
      <w:proofErr w:type="gramStart"/>
      <w:r w:rsidRPr="00FD6165">
        <w:rPr>
          <w:rFonts w:cs="Times New Roman"/>
          <w:sz w:val="26"/>
          <w:szCs w:val="26"/>
        </w:rPr>
        <w:t>particular interest</w:t>
      </w:r>
      <w:proofErr w:type="gramEnd"/>
      <w:r w:rsidRPr="00FD6165">
        <w:rPr>
          <w:rFonts w:cs="Times New Roman"/>
          <w:sz w:val="26"/>
          <w:szCs w:val="26"/>
        </w:rPr>
        <w:t xml:space="preserve">, </w:t>
      </w:r>
      <w:r w:rsidRPr="00FD6165">
        <w:rPr>
          <w:rFonts w:cs="Times New Roman"/>
          <w:sz w:val="26"/>
          <w:szCs w:val="26"/>
        </w:rPr>
        <w:lastRenderedPageBreak/>
        <w:t xml:space="preserve">too, are differences between the schools of R. </w:t>
      </w:r>
      <w:proofErr w:type="spellStart"/>
      <w:r w:rsidRPr="00FD6165">
        <w:rPr>
          <w:rFonts w:cs="Times New Roman"/>
          <w:sz w:val="26"/>
          <w:szCs w:val="26"/>
        </w:rPr>
        <w:t>Akiva</w:t>
      </w:r>
      <w:proofErr w:type="spellEnd"/>
      <w:r w:rsidRPr="00FD6165">
        <w:rPr>
          <w:rFonts w:cs="Times New Roman"/>
          <w:sz w:val="26"/>
          <w:szCs w:val="26"/>
        </w:rPr>
        <w:t xml:space="preserve"> and R. Ishmael with respect to their usage of these terms.</w:t>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 begin in section 1 with an abstract map of the dialectical permutations that occur in anonymous interrogation of a </w:t>
      </w:r>
      <w:r w:rsidRPr="00FD6165">
        <w:rPr>
          <w:rFonts w:cs="Times New Roman"/>
          <w:i/>
          <w:iCs/>
          <w:sz w:val="26"/>
          <w:szCs w:val="26"/>
        </w:rPr>
        <w:t>din</w:t>
      </w:r>
      <w:r w:rsidRPr="00FD6165">
        <w:rPr>
          <w:rFonts w:cs="Times New Roman"/>
          <w:sz w:val="26"/>
          <w:szCs w:val="26"/>
        </w:rPr>
        <w:t xml:space="preserve"> in </w:t>
      </w:r>
      <w:proofErr w:type="spellStart"/>
      <w:r w:rsidRPr="00FD6165">
        <w:rPr>
          <w:rFonts w:cs="Times New Roman"/>
          <w:sz w:val="26"/>
          <w:szCs w:val="26"/>
        </w:rPr>
        <w:t>Akivan</w:t>
      </w:r>
      <w:proofErr w:type="spellEnd"/>
      <w:r w:rsidRPr="00FD6165">
        <w:rPr>
          <w:rFonts w:cs="Times New Roman"/>
          <w:sz w:val="26"/>
          <w:szCs w:val="26"/>
        </w:rPr>
        <w:t xml:space="preserve"> Midrash. Section 2 provides concrete examples of such permutations, and identifies distinctive aspects of the distribution of technical terms therein. In section 3 I attempt to account for this distribution, in part by comparing the usage of the technical terms in anonymous dialectic and in dialectic between named rabbis. Section 4 compares </w:t>
      </w:r>
      <w:proofErr w:type="spellStart"/>
      <w:r w:rsidRPr="00FD6165">
        <w:rPr>
          <w:rFonts w:cs="Times New Roman"/>
          <w:sz w:val="26"/>
          <w:szCs w:val="26"/>
        </w:rPr>
        <w:t>Akivan</w:t>
      </w:r>
      <w:proofErr w:type="spellEnd"/>
      <w:r w:rsidRPr="00FD6165">
        <w:rPr>
          <w:rFonts w:cs="Times New Roman"/>
          <w:sz w:val="26"/>
          <w:szCs w:val="26"/>
        </w:rPr>
        <w:t xml:space="preserve"> usage with </w:t>
      </w:r>
      <w:proofErr w:type="spellStart"/>
      <w:r w:rsidRPr="00FD6165">
        <w:rPr>
          <w:rFonts w:cs="Times New Roman"/>
          <w:sz w:val="26"/>
          <w:szCs w:val="26"/>
        </w:rPr>
        <w:t>Ishmaelian</w:t>
      </w:r>
      <w:proofErr w:type="spellEnd"/>
      <w:r w:rsidRPr="00FD6165">
        <w:rPr>
          <w:rFonts w:cs="Times New Roman"/>
          <w:sz w:val="26"/>
          <w:szCs w:val="26"/>
        </w:rPr>
        <w:t>. After a summary conclusion, two appendices address a curious dialectical pattern that occurs in the Babylonian Talmud, and the homiletical usage of expressions of wonderment and of denials thereof.</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 xml:space="preserve">1. Dialectical Permutations in Anonymous </w:t>
      </w:r>
      <w:proofErr w:type="spellStart"/>
      <w:r w:rsidRPr="00FD6165">
        <w:rPr>
          <w:rFonts w:cs="Times New Roman"/>
          <w:b/>
          <w:bCs/>
          <w:sz w:val="26"/>
          <w:szCs w:val="26"/>
        </w:rPr>
        <w:t>Akivan</w:t>
      </w:r>
      <w:proofErr w:type="spellEnd"/>
      <w:r w:rsidRPr="00FD6165">
        <w:rPr>
          <w:rFonts w:cs="Times New Roman"/>
          <w:b/>
          <w:bCs/>
          <w:sz w:val="26"/>
          <w:szCs w:val="26"/>
        </w:rPr>
        <w:t xml:space="preserve"> Midrash</w:t>
      </w: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Suppose that the verse will teach </w:t>
      </w:r>
      <w:r w:rsidRPr="00FD6165">
        <w:rPr>
          <w:rFonts w:cs="Times New Roman"/>
          <w:i/>
          <w:iCs/>
          <w:sz w:val="26"/>
          <w:szCs w:val="26"/>
        </w:rPr>
        <w:t>x</w:t>
      </w:r>
      <w:r w:rsidRPr="00FD6165">
        <w:rPr>
          <w:rFonts w:cs="Times New Roman"/>
          <w:sz w:val="26"/>
          <w:szCs w:val="26"/>
        </w:rPr>
        <w:t xml:space="preserve">. The </w:t>
      </w:r>
      <w:r w:rsidRPr="00FD6165">
        <w:rPr>
          <w:rFonts w:cs="Times New Roman"/>
          <w:i/>
          <w:iCs/>
          <w:sz w:val="26"/>
          <w:szCs w:val="26"/>
        </w:rPr>
        <w:t>din</w:t>
      </w:r>
      <w:r w:rsidRPr="00FD6165">
        <w:rPr>
          <w:rFonts w:cs="Times New Roman"/>
          <w:sz w:val="26"/>
          <w:szCs w:val="26"/>
        </w:rPr>
        <w:t xml:space="preserve"> that sets the stage for the verse’s teaching may support either </w:t>
      </w:r>
      <w:r w:rsidRPr="00FD6165">
        <w:rPr>
          <w:rFonts w:cs="Times New Roman"/>
          <w:i/>
          <w:iCs/>
          <w:sz w:val="26"/>
          <w:szCs w:val="26"/>
        </w:rPr>
        <w:t>–x</w:t>
      </w:r>
      <w:r w:rsidRPr="00FD6165">
        <w:rPr>
          <w:rFonts w:cs="Times New Roman"/>
          <w:sz w:val="26"/>
          <w:szCs w:val="26"/>
        </w:rPr>
        <w:t xml:space="preserve"> or </w:t>
      </w:r>
      <w:r w:rsidRPr="00FD6165">
        <w:rPr>
          <w:rFonts w:cs="Times New Roman"/>
          <w:i/>
          <w:iCs/>
          <w:sz w:val="26"/>
          <w:szCs w:val="26"/>
        </w:rPr>
        <w:t>x</w:t>
      </w:r>
      <w:r w:rsidRPr="00FD6165">
        <w:rPr>
          <w:rFonts w:cs="Times New Roman"/>
          <w:sz w:val="26"/>
          <w:szCs w:val="26"/>
        </w:rPr>
        <w:t xml:space="preserve">. Cases in which the </w:t>
      </w:r>
      <w:r w:rsidRPr="00FD6165">
        <w:rPr>
          <w:rFonts w:cs="Times New Roman"/>
          <w:i/>
          <w:iCs/>
          <w:sz w:val="26"/>
          <w:szCs w:val="26"/>
        </w:rPr>
        <w:t>din</w:t>
      </w:r>
      <w:r w:rsidRPr="00FD6165">
        <w:rPr>
          <w:rFonts w:cs="Times New Roman"/>
          <w:sz w:val="26"/>
          <w:szCs w:val="26"/>
        </w:rPr>
        <w:t xml:space="preserve"> supports </w:t>
      </w:r>
      <w:r w:rsidRPr="00FD6165">
        <w:rPr>
          <w:rFonts w:cs="Times New Roman"/>
          <w:i/>
          <w:iCs/>
          <w:sz w:val="26"/>
          <w:szCs w:val="26"/>
        </w:rPr>
        <w:t>–x</w:t>
      </w:r>
      <w:r w:rsidRPr="00FD6165">
        <w:rPr>
          <w:rFonts w:cs="Times New Roman"/>
          <w:sz w:val="26"/>
          <w:szCs w:val="26"/>
        </w:rPr>
        <w:t xml:space="preserve"> </w:t>
      </w:r>
      <w:proofErr w:type="gramStart"/>
      <w:r w:rsidRPr="00FD6165">
        <w:rPr>
          <w:rFonts w:cs="Times New Roman"/>
          <w:sz w:val="26"/>
          <w:szCs w:val="26"/>
        </w:rPr>
        <w:t>constitute</w:t>
      </w:r>
      <w:proofErr w:type="gramEnd"/>
      <w:r w:rsidRPr="00FD6165">
        <w:rPr>
          <w:rFonts w:cs="Times New Roman"/>
          <w:sz w:val="26"/>
          <w:szCs w:val="26"/>
        </w:rPr>
        <w:t xml:space="preserve"> category 1, and cases in which it supports </w:t>
      </w:r>
      <w:r w:rsidRPr="00FD6165">
        <w:rPr>
          <w:rFonts w:cs="Times New Roman"/>
          <w:i/>
          <w:iCs/>
          <w:sz w:val="26"/>
          <w:szCs w:val="26"/>
        </w:rPr>
        <w:t>x</w:t>
      </w:r>
      <w:r w:rsidRPr="00FD6165">
        <w:rPr>
          <w:rFonts w:cs="Times New Roman"/>
          <w:sz w:val="26"/>
          <w:szCs w:val="26"/>
        </w:rPr>
        <w:t xml:space="preserve">, category 2. In category 1, the </w:t>
      </w:r>
      <w:proofErr w:type="gramStart"/>
      <w:r w:rsidRPr="00FD6165">
        <w:rPr>
          <w:rFonts w:cs="Times New Roman"/>
          <w:sz w:val="26"/>
          <w:szCs w:val="26"/>
        </w:rPr>
        <w:t>ultimate aim</w:t>
      </w:r>
      <w:proofErr w:type="gramEnd"/>
      <w:r w:rsidRPr="00FD6165">
        <w:rPr>
          <w:rFonts w:cs="Times New Roman"/>
          <w:sz w:val="26"/>
          <w:szCs w:val="26"/>
        </w:rPr>
        <w:t xml:space="preserve"> of the dialectic that precedes the introduction of the verse is to uphold the </w:t>
      </w:r>
      <w:r w:rsidRPr="00FD6165">
        <w:rPr>
          <w:rFonts w:cs="Times New Roman"/>
          <w:i/>
          <w:iCs/>
          <w:sz w:val="26"/>
          <w:szCs w:val="26"/>
        </w:rPr>
        <w:t>din</w:t>
      </w:r>
      <w:r w:rsidRPr="00FD6165">
        <w:rPr>
          <w:rFonts w:cs="Times New Roman"/>
          <w:sz w:val="26"/>
          <w:szCs w:val="26"/>
        </w:rPr>
        <w:t xml:space="preserve">, and thus establish the verse’s necessity as a refutation of the </w:t>
      </w:r>
      <w:r w:rsidRPr="00FD6165">
        <w:rPr>
          <w:rFonts w:cs="Times New Roman"/>
          <w:i/>
          <w:iCs/>
          <w:sz w:val="26"/>
          <w:szCs w:val="26"/>
        </w:rPr>
        <w:t>din</w:t>
      </w:r>
      <w:r w:rsidRPr="00FD6165">
        <w:rPr>
          <w:rFonts w:cs="Times New Roman"/>
          <w:sz w:val="26"/>
          <w:szCs w:val="26"/>
        </w:rPr>
        <w:t xml:space="preserve">. The dialectic in category 2 is directed, instead, at refuting the </w:t>
      </w:r>
      <w:r w:rsidRPr="00FD6165">
        <w:rPr>
          <w:rFonts w:cs="Times New Roman"/>
          <w:i/>
          <w:iCs/>
          <w:sz w:val="26"/>
          <w:szCs w:val="26"/>
        </w:rPr>
        <w:t>din</w:t>
      </w:r>
      <w:r w:rsidRPr="00FD6165">
        <w:rPr>
          <w:rFonts w:cs="Times New Roman"/>
          <w:sz w:val="26"/>
          <w:szCs w:val="26"/>
        </w:rPr>
        <w:t xml:space="preserve">, and thus establishing the viability of </w:t>
      </w:r>
      <w:r w:rsidRPr="00FD6165">
        <w:rPr>
          <w:rFonts w:cs="Times New Roman"/>
          <w:i/>
          <w:iCs/>
          <w:sz w:val="26"/>
          <w:szCs w:val="26"/>
        </w:rPr>
        <w:t>–x</w:t>
      </w:r>
      <w:r w:rsidRPr="00FD6165">
        <w:rPr>
          <w:rFonts w:cs="Times New Roman"/>
          <w:sz w:val="26"/>
          <w:szCs w:val="26"/>
        </w:rPr>
        <w:t xml:space="preserve">, and, in turn, the necessity for the verse. </w:t>
      </w:r>
    </w:p>
    <w:p w:rsidR="008C5B42" w:rsidRPr="00FD6165" w:rsidRDefault="008C5B42" w:rsidP="00315B90">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Within category 1, three dialectical paths are available, of which only the last two are of immediate interest. The first, which we bracket out here, introduces the verse immediately after the </w:t>
      </w:r>
      <w:r w:rsidRPr="00FD6165">
        <w:rPr>
          <w:rFonts w:cs="Times New Roman"/>
          <w:i/>
          <w:iCs/>
          <w:sz w:val="26"/>
          <w:szCs w:val="26"/>
        </w:rPr>
        <w:t>din</w:t>
      </w:r>
      <w:r w:rsidRPr="00FD6165">
        <w:rPr>
          <w:rFonts w:cs="Times New Roman"/>
          <w:sz w:val="26"/>
          <w:szCs w:val="26"/>
        </w:rPr>
        <w:t xml:space="preserve">. In both the second and the third dialectical path, the </w:t>
      </w:r>
      <w:r w:rsidRPr="00FD6165">
        <w:rPr>
          <w:rFonts w:cs="Times New Roman"/>
          <w:i/>
          <w:iCs/>
          <w:sz w:val="26"/>
          <w:szCs w:val="26"/>
        </w:rPr>
        <w:t>din</w:t>
      </w:r>
      <w:r w:rsidRPr="00FD6165">
        <w:rPr>
          <w:rFonts w:cs="Times New Roman"/>
          <w:sz w:val="26"/>
          <w:szCs w:val="26"/>
        </w:rPr>
        <w:t xml:space="preserve"> is challenged (to establish </w:t>
      </w:r>
      <w:r w:rsidRPr="00FD6165">
        <w:rPr>
          <w:rFonts w:cs="Times New Roman"/>
          <w:i/>
          <w:iCs/>
          <w:sz w:val="26"/>
          <w:szCs w:val="26"/>
        </w:rPr>
        <w:t>x</w:t>
      </w:r>
      <w:r w:rsidRPr="00FD6165">
        <w:rPr>
          <w:rFonts w:cs="Times New Roman"/>
          <w:sz w:val="26"/>
          <w:szCs w:val="26"/>
        </w:rPr>
        <w:t xml:space="preserve">), then buttressed (to establish </w:t>
      </w:r>
      <w:r w:rsidRPr="00FD6165">
        <w:rPr>
          <w:rFonts w:cs="Times New Roman"/>
          <w:i/>
          <w:iCs/>
          <w:sz w:val="26"/>
          <w:szCs w:val="26"/>
        </w:rPr>
        <w:t>–x</w:t>
      </w:r>
      <w:r w:rsidRPr="00FD6165">
        <w:rPr>
          <w:rFonts w:cs="Times New Roman"/>
          <w:sz w:val="26"/>
          <w:szCs w:val="26"/>
        </w:rPr>
        <w:t xml:space="preserve">). Exchanges of challenge and response may, in principle, recur </w:t>
      </w:r>
      <w:r w:rsidRPr="00FD6165">
        <w:rPr>
          <w:rFonts w:cs="Times New Roman"/>
          <w:i/>
          <w:iCs/>
          <w:sz w:val="26"/>
          <w:szCs w:val="26"/>
        </w:rPr>
        <w:t>ad infinitum</w:t>
      </w:r>
      <w:r w:rsidRPr="00FD6165">
        <w:rPr>
          <w:rFonts w:cs="Times New Roman"/>
          <w:sz w:val="26"/>
          <w:szCs w:val="26"/>
        </w:rPr>
        <w:t xml:space="preserve">, but they end with a viable </w:t>
      </w:r>
      <w:r w:rsidRPr="00FD6165">
        <w:rPr>
          <w:rFonts w:cs="Times New Roman"/>
          <w:i/>
          <w:iCs/>
          <w:sz w:val="26"/>
          <w:szCs w:val="26"/>
        </w:rPr>
        <w:t>din</w:t>
      </w:r>
      <w:r w:rsidRPr="00FD6165">
        <w:rPr>
          <w:rFonts w:cs="Times New Roman"/>
          <w:sz w:val="26"/>
          <w:szCs w:val="26"/>
        </w:rPr>
        <w:t xml:space="preserve">, and thus with the possibility of </w:t>
      </w:r>
      <w:r w:rsidRPr="00FD6165">
        <w:rPr>
          <w:rFonts w:cs="Times New Roman"/>
          <w:i/>
          <w:iCs/>
          <w:sz w:val="26"/>
          <w:szCs w:val="26"/>
        </w:rPr>
        <w:t>–x</w:t>
      </w:r>
      <w:r w:rsidRPr="00FD6165">
        <w:rPr>
          <w:rFonts w:cs="Times New Roman"/>
          <w:sz w:val="26"/>
          <w:szCs w:val="26"/>
        </w:rPr>
        <w:t xml:space="preserve">. To appreciate the difference between the second and third paths, we must take note of two distinct ways of challenging a </w:t>
      </w:r>
      <w:r w:rsidRPr="00FD6165">
        <w:rPr>
          <w:rFonts w:cs="Times New Roman"/>
          <w:i/>
          <w:iCs/>
          <w:sz w:val="26"/>
          <w:szCs w:val="26"/>
        </w:rPr>
        <w:t>din</w:t>
      </w:r>
      <w:r w:rsidRPr="00FD6165">
        <w:rPr>
          <w:rFonts w:cs="Times New Roman"/>
          <w:sz w:val="26"/>
          <w:szCs w:val="26"/>
        </w:rPr>
        <w:t xml:space="preserve">. The first is internal to the </w:t>
      </w:r>
      <w:r w:rsidRPr="00FD6165">
        <w:rPr>
          <w:rFonts w:cs="Times New Roman"/>
          <w:i/>
          <w:iCs/>
          <w:sz w:val="26"/>
          <w:szCs w:val="26"/>
        </w:rPr>
        <w:t>din</w:t>
      </w:r>
      <w:r w:rsidRPr="00FD6165">
        <w:rPr>
          <w:rFonts w:cs="Times New Roman"/>
          <w:sz w:val="26"/>
          <w:szCs w:val="26"/>
        </w:rPr>
        <w:t xml:space="preserve">. Thus, if the </w:t>
      </w:r>
      <w:r w:rsidRPr="00FD6165">
        <w:rPr>
          <w:rFonts w:cs="Times New Roman"/>
          <w:i/>
          <w:iCs/>
          <w:sz w:val="26"/>
          <w:szCs w:val="26"/>
        </w:rPr>
        <w:t>din</w:t>
      </w:r>
      <w:r w:rsidRPr="00FD6165">
        <w:rPr>
          <w:rFonts w:cs="Times New Roman"/>
          <w:sz w:val="26"/>
          <w:szCs w:val="26"/>
        </w:rPr>
        <w:t xml:space="preserve"> attempts to apply a rule from situation </w:t>
      </w:r>
      <w:r w:rsidRPr="00FD6165">
        <w:rPr>
          <w:rFonts w:cs="Times New Roman"/>
          <w:i/>
          <w:iCs/>
          <w:sz w:val="26"/>
          <w:szCs w:val="26"/>
        </w:rPr>
        <w:t>A</w:t>
      </w:r>
      <w:r w:rsidRPr="00FD6165">
        <w:rPr>
          <w:rFonts w:cs="Times New Roman"/>
          <w:sz w:val="26"/>
          <w:szCs w:val="26"/>
        </w:rPr>
        <w:t xml:space="preserve"> to situation </w:t>
      </w:r>
      <w:r w:rsidRPr="00FD6165">
        <w:rPr>
          <w:rFonts w:cs="Times New Roman"/>
          <w:i/>
          <w:iCs/>
          <w:sz w:val="26"/>
          <w:szCs w:val="26"/>
        </w:rPr>
        <w:t>B</w:t>
      </w:r>
      <w:r w:rsidRPr="00FD6165">
        <w:rPr>
          <w:rFonts w:cs="Times New Roman"/>
          <w:sz w:val="26"/>
          <w:szCs w:val="26"/>
        </w:rPr>
        <w:t xml:space="preserve"> by arguing that, in one relevant respect, </w:t>
      </w:r>
      <w:r w:rsidRPr="00FD6165">
        <w:rPr>
          <w:rFonts w:cs="Times New Roman"/>
          <w:i/>
          <w:iCs/>
          <w:sz w:val="26"/>
          <w:szCs w:val="26"/>
        </w:rPr>
        <w:t>A</w:t>
      </w:r>
      <w:r w:rsidRPr="00FD6165">
        <w:rPr>
          <w:rFonts w:cs="Times New Roman"/>
          <w:sz w:val="26"/>
          <w:szCs w:val="26"/>
        </w:rPr>
        <w:t xml:space="preserve"> is </w:t>
      </w:r>
      <w:proofErr w:type="gramStart"/>
      <w:r w:rsidRPr="00FD6165">
        <w:rPr>
          <w:rFonts w:cs="Times New Roman"/>
          <w:sz w:val="26"/>
          <w:szCs w:val="26"/>
        </w:rPr>
        <w:t>similar to</w:t>
      </w:r>
      <w:proofErr w:type="gramEnd"/>
      <w:r w:rsidRPr="00FD6165">
        <w:rPr>
          <w:rFonts w:cs="Times New Roman"/>
          <w:sz w:val="26"/>
          <w:szCs w:val="26"/>
        </w:rPr>
        <w:t xml:space="preserve"> (or more stringent than) </w:t>
      </w:r>
      <w:r w:rsidRPr="00FD6165">
        <w:rPr>
          <w:rFonts w:cs="Times New Roman"/>
          <w:i/>
          <w:iCs/>
          <w:sz w:val="26"/>
          <w:szCs w:val="26"/>
        </w:rPr>
        <w:t>B</w:t>
      </w:r>
      <w:r w:rsidRPr="00FD6165">
        <w:rPr>
          <w:rFonts w:cs="Times New Roman"/>
          <w:sz w:val="26"/>
          <w:szCs w:val="26"/>
        </w:rPr>
        <w:t xml:space="preserve">, then the first method of refutation is to argue that, in another relevant respect, </w:t>
      </w:r>
      <w:r w:rsidRPr="00FD6165">
        <w:rPr>
          <w:rFonts w:cs="Times New Roman"/>
          <w:i/>
          <w:iCs/>
          <w:sz w:val="26"/>
          <w:szCs w:val="26"/>
        </w:rPr>
        <w:t xml:space="preserve">A </w:t>
      </w:r>
      <w:r w:rsidRPr="00FD6165">
        <w:rPr>
          <w:rFonts w:cs="Times New Roman"/>
          <w:sz w:val="26"/>
          <w:szCs w:val="26"/>
        </w:rPr>
        <w:t xml:space="preserve">is different from (or less stringent than) </w:t>
      </w:r>
      <w:r w:rsidRPr="00FD6165">
        <w:rPr>
          <w:rFonts w:cs="Times New Roman"/>
          <w:i/>
          <w:iCs/>
          <w:sz w:val="26"/>
          <w:szCs w:val="26"/>
        </w:rPr>
        <w:t>B</w:t>
      </w:r>
      <w:r w:rsidRPr="00FD6165">
        <w:rPr>
          <w:rFonts w:cs="Times New Roman"/>
          <w:sz w:val="26"/>
          <w:szCs w:val="26"/>
        </w:rPr>
        <w:t xml:space="preserve">. The second method of refutation is external to the </w:t>
      </w:r>
      <w:r w:rsidRPr="00FD6165">
        <w:rPr>
          <w:rFonts w:cs="Times New Roman"/>
          <w:i/>
          <w:iCs/>
          <w:sz w:val="26"/>
          <w:szCs w:val="26"/>
        </w:rPr>
        <w:t>din</w:t>
      </w:r>
      <w:r w:rsidRPr="00FD6165">
        <w:rPr>
          <w:rFonts w:cs="Times New Roman"/>
          <w:sz w:val="26"/>
          <w:szCs w:val="26"/>
        </w:rPr>
        <w:t xml:space="preserve">. It introduces a third case </w:t>
      </w:r>
      <w:r w:rsidRPr="00FD6165">
        <w:rPr>
          <w:rFonts w:cs="Times New Roman"/>
          <w:i/>
          <w:iCs/>
          <w:sz w:val="26"/>
          <w:szCs w:val="26"/>
        </w:rPr>
        <w:t>C</w:t>
      </w:r>
      <w:r w:rsidRPr="00FD6165">
        <w:rPr>
          <w:rFonts w:cs="Times New Roman"/>
          <w:sz w:val="26"/>
          <w:szCs w:val="26"/>
        </w:rPr>
        <w:t xml:space="preserve">, where the rule in question does not apply, and argues that </w:t>
      </w:r>
      <w:r w:rsidRPr="00FD6165">
        <w:rPr>
          <w:rFonts w:cs="Times New Roman"/>
          <w:i/>
          <w:iCs/>
          <w:sz w:val="26"/>
          <w:szCs w:val="26"/>
        </w:rPr>
        <w:t>C</w:t>
      </w:r>
      <w:r w:rsidRPr="00FD6165">
        <w:rPr>
          <w:rFonts w:cs="Times New Roman"/>
          <w:sz w:val="26"/>
          <w:szCs w:val="26"/>
        </w:rPr>
        <w:t xml:space="preserve"> is at least as </w:t>
      </w:r>
      <w:proofErr w:type="gramStart"/>
      <w:r w:rsidRPr="00FD6165">
        <w:rPr>
          <w:rFonts w:cs="Times New Roman"/>
          <w:sz w:val="26"/>
          <w:szCs w:val="26"/>
        </w:rPr>
        <w:t>similar to</w:t>
      </w:r>
      <w:proofErr w:type="gramEnd"/>
      <w:r w:rsidRPr="00FD6165">
        <w:rPr>
          <w:rFonts w:cs="Times New Roman"/>
          <w:sz w:val="26"/>
          <w:szCs w:val="26"/>
        </w:rPr>
        <w:t xml:space="preserve"> </w:t>
      </w:r>
      <w:r w:rsidRPr="00FD6165">
        <w:rPr>
          <w:rFonts w:cs="Times New Roman"/>
          <w:i/>
          <w:iCs/>
          <w:sz w:val="26"/>
          <w:szCs w:val="26"/>
        </w:rPr>
        <w:t>B</w:t>
      </w:r>
      <w:r w:rsidRPr="00FD6165">
        <w:rPr>
          <w:rFonts w:cs="Times New Roman"/>
          <w:sz w:val="26"/>
          <w:szCs w:val="26"/>
        </w:rPr>
        <w:t xml:space="preserve"> as </w:t>
      </w:r>
      <w:r w:rsidRPr="00FD6165">
        <w:rPr>
          <w:rFonts w:cs="Times New Roman"/>
          <w:i/>
          <w:iCs/>
          <w:sz w:val="26"/>
          <w:szCs w:val="26"/>
        </w:rPr>
        <w:t>A</w:t>
      </w:r>
      <w:r w:rsidRPr="00FD6165">
        <w:rPr>
          <w:rFonts w:cs="Times New Roman"/>
          <w:sz w:val="26"/>
          <w:szCs w:val="26"/>
        </w:rPr>
        <w:t xml:space="preserve"> is to </w:t>
      </w:r>
      <w:r w:rsidRPr="00FD6165">
        <w:rPr>
          <w:rFonts w:cs="Times New Roman"/>
          <w:i/>
          <w:iCs/>
          <w:sz w:val="26"/>
          <w:szCs w:val="26"/>
        </w:rPr>
        <w:t>B</w:t>
      </w:r>
      <w:r w:rsidRPr="00FD6165">
        <w:rPr>
          <w:rFonts w:cs="Times New Roman"/>
          <w:sz w:val="26"/>
          <w:szCs w:val="26"/>
        </w:rPr>
        <w:t xml:space="preserve">, hence the rule should not apply to </w:t>
      </w:r>
      <w:r w:rsidRPr="00FD6165">
        <w:rPr>
          <w:rFonts w:cs="Times New Roman"/>
          <w:i/>
          <w:iCs/>
          <w:sz w:val="26"/>
          <w:szCs w:val="26"/>
        </w:rPr>
        <w:t>B</w:t>
      </w:r>
      <w:r w:rsidRPr="00FD6165">
        <w:rPr>
          <w:rFonts w:cs="Times New Roman"/>
          <w:sz w:val="26"/>
          <w:szCs w:val="26"/>
        </w:rPr>
        <w:t xml:space="preserve">, just as it does not apply to </w:t>
      </w:r>
      <w:r w:rsidRPr="00FD6165">
        <w:rPr>
          <w:rFonts w:cs="Times New Roman"/>
          <w:i/>
          <w:iCs/>
          <w:sz w:val="26"/>
          <w:szCs w:val="26"/>
        </w:rPr>
        <w:t>C</w:t>
      </w:r>
      <w:r w:rsidRPr="00FD6165">
        <w:rPr>
          <w:rFonts w:cs="Times New Roman"/>
          <w:sz w:val="26"/>
          <w:szCs w:val="26"/>
        </w:rPr>
        <w:t xml:space="preserve">. The general term in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literature for a challenge to a </w:t>
      </w:r>
      <w:r w:rsidRPr="00FD6165">
        <w:rPr>
          <w:rFonts w:cs="Times New Roman"/>
          <w:i/>
          <w:iCs/>
          <w:sz w:val="26"/>
          <w:szCs w:val="26"/>
        </w:rPr>
        <w:lastRenderedPageBreak/>
        <w:t>din</w:t>
      </w:r>
      <w:r w:rsidRPr="00FD6165">
        <w:rPr>
          <w:rFonts w:cs="Times New Roman"/>
          <w:sz w:val="26"/>
          <w:szCs w:val="26"/>
        </w:rPr>
        <w:t xml:space="preserve"> is </w:t>
      </w:r>
      <w:proofErr w:type="spellStart"/>
      <w:r w:rsidRPr="00FD6165">
        <w:rPr>
          <w:rFonts w:cs="Times New Roman"/>
          <w:i/>
          <w:iCs/>
          <w:sz w:val="26"/>
          <w:szCs w:val="26"/>
        </w:rPr>
        <w:t>teshuvah</w:t>
      </w:r>
      <w:proofErr w:type="spellEnd"/>
      <w:r w:rsidRPr="00FD6165">
        <w:rPr>
          <w:rFonts w:cs="Times New Roman"/>
          <w:sz w:val="26"/>
          <w:szCs w:val="26"/>
        </w:rPr>
        <w:t xml:space="preserve"> (“response”).</w:t>
      </w:r>
      <w:r w:rsidRPr="00FD6165">
        <w:rPr>
          <w:rStyle w:val="FootnoteCharacters"/>
          <w:rFonts w:cs="Times New Roman"/>
          <w:sz w:val="26"/>
          <w:szCs w:val="26"/>
        </w:rPr>
        <w:footnoteReference w:id="4"/>
      </w:r>
      <w:r w:rsidRPr="00FD6165">
        <w:rPr>
          <w:rFonts w:cs="Times New Roman"/>
          <w:sz w:val="26"/>
          <w:szCs w:val="26"/>
        </w:rPr>
        <w:t xml:space="preserve"> For reasons that will become clear below, we shall refer to the first sort of </w:t>
      </w:r>
      <w:proofErr w:type="spellStart"/>
      <w:r w:rsidRPr="00FD6165">
        <w:rPr>
          <w:rFonts w:cs="Times New Roman"/>
          <w:i/>
          <w:iCs/>
          <w:sz w:val="26"/>
          <w:szCs w:val="26"/>
        </w:rPr>
        <w:t>teshuvah</w:t>
      </w:r>
      <w:proofErr w:type="spellEnd"/>
      <w:r w:rsidRPr="00FD6165">
        <w:rPr>
          <w:rFonts w:cs="Times New Roman"/>
          <w:sz w:val="26"/>
          <w:szCs w:val="26"/>
        </w:rPr>
        <w:t xml:space="preserve"> as a </w:t>
      </w:r>
      <w:proofErr w:type="spellStart"/>
      <w:r w:rsidRPr="00FD6165">
        <w:rPr>
          <w:rFonts w:cs="Times New Roman"/>
          <w:i/>
          <w:iCs/>
          <w:sz w:val="26"/>
          <w:szCs w:val="26"/>
        </w:rPr>
        <w:t>to’mar</w:t>
      </w:r>
      <w:proofErr w:type="spellEnd"/>
      <w:r w:rsidRPr="00FD6165">
        <w:rPr>
          <w:rFonts w:cs="Times New Roman"/>
          <w:sz w:val="26"/>
          <w:szCs w:val="26"/>
        </w:rPr>
        <w:t xml:space="preserve"> (“you will say”) response, or simply a say-argument.</w:t>
      </w:r>
      <w:r w:rsidRPr="00FD6165">
        <w:rPr>
          <w:rStyle w:val="FootnoteCharacters"/>
          <w:rFonts w:cs="Times New Roman"/>
          <w:sz w:val="26"/>
          <w:szCs w:val="26"/>
        </w:rPr>
        <w:footnoteReference w:id="5"/>
      </w:r>
      <w:r w:rsidRPr="00FD6165">
        <w:rPr>
          <w:rFonts w:cs="Times New Roman"/>
          <w:sz w:val="26"/>
          <w:szCs w:val="26"/>
        </w:rPr>
        <w:t xml:space="preserve"> The second we shall call a </w:t>
      </w:r>
      <w:proofErr w:type="spellStart"/>
      <w:r w:rsidRPr="00FD6165">
        <w:rPr>
          <w:rFonts w:cs="Times New Roman"/>
          <w:i/>
          <w:iCs/>
          <w:sz w:val="26"/>
          <w:szCs w:val="26"/>
        </w:rPr>
        <w:t>yokia</w:t>
      </w:r>
      <w:r w:rsidR="00315B90" w:rsidRPr="00315B90">
        <w:rPr>
          <w:rFonts w:cs="Times New Roman"/>
          <w:i/>
          <w:iCs/>
          <w:sz w:val="26"/>
          <w:szCs w:val="26"/>
        </w:rPr>
        <w:t>ḥ</w:t>
      </w:r>
      <w:proofErr w:type="spellEnd"/>
      <w:r w:rsidRPr="00FD6165">
        <w:rPr>
          <w:rFonts w:cs="Times New Roman"/>
          <w:sz w:val="26"/>
          <w:szCs w:val="26"/>
        </w:rPr>
        <w:t xml:space="preserve"> (“prove”) response, or a prove-argument.</w:t>
      </w:r>
      <w:r w:rsidRPr="00FD6165">
        <w:rPr>
          <w:rStyle w:val="FootnoteCharacters"/>
          <w:rFonts w:cs="Times New Roman"/>
          <w:sz w:val="26"/>
          <w:szCs w:val="26"/>
        </w:rPr>
        <w:footnoteReference w:id="6"/>
      </w:r>
      <w:r w:rsidRPr="00FD6165">
        <w:rPr>
          <w:rFonts w:cs="Times New Roman"/>
          <w:sz w:val="26"/>
          <w:szCs w:val="26"/>
        </w:rPr>
        <w:t xml:space="preserve"> Each of the two arguments, in addition to responding to an original </w:t>
      </w:r>
      <w:r w:rsidRPr="00FD6165">
        <w:rPr>
          <w:rFonts w:cs="Times New Roman"/>
          <w:i/>
          <w:iCs/>
          <w:sz w:val="26"/>
          <w:szCs w:val="26"/>
        </w:rPr>
        <w:t>din</w:t>
      </w:r>
      <w:r w:rsidRPr="00FD6165">
        <w:rPr>
          <w:rFonts w:cs="Times New Roman"/>
          <w:sz w:val="26"/>
          <w:szCs w:val="26"/>
        </w:rPr>
        <w:t>, can also respond to the other.</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Let us return now to the second and third dialectical paths within category 1. The second refutes the </w:t>
      </w:r>
      <w:r w:rsidRPr="00FD6165">
        <w:rPr>
          <w:rFonts w:cs="Times New Roman"/>
          <w:i/>
          <w:iCs/>
          <w:sz w:val="26"/>
          <w:szCs w:val="26"/>
        </w:rPr>
        <w:t>din</w:t>
      </w:r>
      <w:r w:rsidRPr="00FD6165">
        <w:rPr>
          <w:rFonts w:cs="Times New Roman"/>
          <w:sz w:val="26"/>
          <w:szCs w:val="26"/>
        </w:rPr>
        <w:t xml:space="preserve"> with a say-argument, and buttresses it with a prove-argument. The third refutes it with a prove-argument, and buttresses it with a say-argument. In the second path, which we shall call category 1a, the final stage before the prooftext, i.e., the stage that establishes </w:t>
      </w:r>
      <w:r w:rsidRPr="00FD6165">
        <w:rPr>
          <w:rFonts w:cs="Times New Roman"/>
          <w:i/>
          <w:iCs/>
          <w:sz w:val="26"/>
          <w:szCs w:val="26"/>
        </w:rPr>
        <w:t>–x</w:t>
      </w:r>
      <w:r w:rsidRPr="00FD6165">
        <w:rPr>
          <w:rFonts w:cs="Times New Roman"/>
          <w:sz w:val="26"/>
          <w:szCs w:val="26"/>
        </w:rPr>
        <w:t>, is a prove-argument. In the third path, which we shall call category 1b, the final stage before the prooftext is a say-argument.</w:t>
      </w:r>
    </w:p>
    <w:p w:rsidR="008C5B42" w:rsidRDefault="008C5B42" w:rsidP="00E21EDE">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In category 2, the </w:t>
      </w:r>
      <w:r w:rsidRPr="00FD6165">
        <w:rPr>
          <w:rFonts w:cs="Times New Roman"/>
          <w:i/>
          <w:iCs/>
          <w:sz w:val="26"/>
          <w:szCs w:val="26"/>
        </w:rPr>
        <w:t>din</w:t>
      </w:r>
      <w:r w:rsidRPr="00FD6165">
        <w:rPr>
          <w:rFonts w:cs="Times New Roman"/>
          <w:sz w:val="26"/>
          <w:szCs w:val="26"/>
        </w:rPr>
        <w:t xml:space="preserve"> argues for </w:t>
      </w:r>
      <w:r w:rsidRPr="00FD6165">
        <w:rPr>
          <w:rFonts w:cs="Times New Roman"/>
          <w:i/>
          <w:iCs/>
          <w:sz w:val="26"/>
          <w:szCs w:val="26"/>
        </w:rPr>
        <w:t>x</w:t>
      </w:r>
      <w:r w:rsidRPr="00FD6165">
        <w:rPr>
          <w:rFonts w:cs="Times New Roman"/>
          <w:sz w:val="26"/>
          <w:szCs w:val="26"/>
        </w:rPr>
        <w:t xml:space="preserve">, and the dialectic that (necessarily) follows aims to refute it. As in category 1, the dialectic can begin either with a say-argument (category 2a), or with a prove-argument (category 2b), which establishes </w:t>
      </w:r>
      <w:r w:rsidRPr="00FD6165">
        <w:rPr>
          <w:rFonts w:cs="Times New Roman"/>
          <w:i/>
          <w:iCs/>
          <w:sz w:val="26"/>
          <w:szCs w:val="26"/>
        </w:rPr>
        <w:t>–x</w:t>
      </w:r>
      <w:r w:rsidRPr="00FD6165">
        <w:rPr>
          <w:rFonts w:cs="Times New Roman"/>
          <w:sz w:val="26"/>
          <w:szCs w:val="26"/>
        </w:rPr>
        <w:t xml:space="preserve">. The dialectic can end after this first argument, and </w:t>
      </w:r>
      <w:r w:rsidR="00E21EDE">
        <w:rPr>
          <w:rFonts w:cs="Times New Roman"/>
          <w:sz w:val="26"/>
          <w:szCs w:val="26"/>
        </w:rPr>
        <w:t>turn t</w:t>
      </w:r>
      <w:r w:rsidRPr="00FD6165">
        <w:rPr>
          <w:rFonts w:cs="Times New Roman"/>
          <w:sz w:val="26"/>
          <w:szCs w:val="26"/>
        </w:rPr>
        <w:t xml:space="preserve">o the verse, which teaches </w:t>
      </w:r>
      <w:r w:rsidRPr="00FD6165">
        <w:rPr>
          <w:rFonts w:cs="Times New Roman"/>
          <w:i/>
          <w:iCs/>
          <w:sz w:val="26"/>
          <w:szCs w:val="26"/>
        </w:rPr>
        <w:t>x</w:t>
      </w:r>
      <w:r w:rsidRPr="00FD6165">
        <w:rPr>
          <w:rFonts w:cs="Times New Roman"/>
          <w:sz w:val="26"/>
          <w:szCs w:val="26"/>
        </w:rPr>
        <w:t xml:space="preserve">. Alternatively, the dialectic can continue with paired arguments, the first of which rebuts the challenge and thus restores the integrity of the original </w:t>
      </w:r>
      <w:r w:rsidRPr="00FD6165">
        <w:rPr>
          <w:rFonts w:cs="Times New Roman"/>
          <w:i/>
          <w:iCs/>
          <w:sz w:val="26"/>
          <w:szCs w:val="26"/>
        </w:rPr>
        <w:t>din</w:t>
      </w:r>
      <w:r w:rsidRPr="00FD6165">
        <w:rPr>
          <w:rFonts w:cs="Times New Roman"/>
          <w:sz w:val="26"/>
          <w:szCs w:val="26"/>
        </w:rPr>
        <w:t xml:space="preserve">, and so of </w:t>
      </w:r>
      <w:r w:rsidRPr="00FD6165">
        <w:rPr>
          <w:rFonts w:cs="Times New Roman"/>
          <w:i/>
          <w:iCs/>
          <w:sz w:val="26"/>
          <w:szCs w:val="26"/>
        </w:rPr>
        <w:t>x</w:t>
      </w:r>
      <w:r w:rsidRPr="00FD6165">
        <w:rPr>
          <w:rFonts w:cs="Times New Roman"/>
          <w:sz w:val="26"/>
          <w:szCs w:val="26"/>
        </w:rPr>
        <w:t>, and the second of which responds to the rebuttal, thus reestablish</w:t>
      </w:r>
      <w:r>
        <w:rPr>
          <w:rFonts w:cs="Times New Roman"/>
          <w:sz w:val="26"/>
          <w:szCs w:val="26"/>
        </w:rPr>
        <w:t>ing</w:t>
      </w:r>
      <w:r w:rsidRPr="00FD6165">
        <w:rPr>
          <w:rFonts w:cs="Times New Roman"/>
          <w:sz w:val="26"/>
          <w:szCs w:val="26"/>
        </w:rPr>
        <w:t xml:space="preserve"> </w:t>
      </w:r>
      <w:r w:rsidRPr="00FD6165">
        <w:rPr>
          <w:rFonts w:cs="Times New Roman"/>
          <w:i/>
          <w:iCs/>
          <w:sz w:val="26"/>
          <w:szCs w:val="26"/>
        </w:rPr>
        <w:t>–x</w:t>
      </w:r>
      <w:r w:rsidRPr="00FD6165">
        <w:rPr>
          <w:rFonts w:cs="Times New Roman"/>
          <w:sz w:val="26"/>
          <w:szCs w:val="26"/>
        </w:rPr>
        <w:t xml:space="preserve">. In category 2a, because the original refutation of the </w:t>
      </w:r>
      <w:r w:rsidRPr="00FD6165">
        <w:rPr>
          <w:rFonts w:cs="Times New Roman"/>
          <w:i/>
          <w:iCs/>
          <w:sz w:val="26"/>
          <w:szCs w:val="26"/>
        </w:rPr>
        <w:t>din</w:t>
      </w:r>
      <w:r w:rsidRPr="00FD6165">
        <w:rPr>
          <w:rFonts w:cs="Times New Roman"/>
          <w:sz w:val="26"/>
          <w:szCs w:val="26"/>
        </w:rPr>
        <w:t xml:space="preserve"> comes through a say-argument, the pair that (optionally) follows consists of a prove-argument, followed by a say-argument, while in category 2b, where the dialectic begins with a prove-argument, the pair consists of a say-argument, followed by a prove-argument. In category 2a, as in category 1b, the final stage before the prooftext is a say-argument, while the dialectic in category 2b ends, as in category 1a, with a prove-argument. The following chart summarizes the four permutations</w:t>
      </w:r>
      <w:r>
        <w:rPr>
          <w:rFonts w:cs="Times New Roman"/>
          <w:sz w:val="26"/>
          <w:szCs w:val="26"/>
        </w:rPr>
        <w:t>:</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p>
    <w:tbl>
      <w:tblPr>
        <w:tblW w:w="7380" w:type="dxa"/>
        <w:tblInd w:w="108" w:type="dxa"/>
        <w:tblLayout w:type="fixed"/>
        <w:tblLook w:val="0000" w:firstRow="0" w:lastRow="0" w:firstColumn="0" w:lastColumn="0" w:noHBand="0" w:noVBand="0"/>
      </w:tblPr>
      <w:tblGrid>
        <w:gridCol w:w="1985"/>
        <w:gridCol w:w="2875"/>
        <w:gridCol w:w="2520"/>
      </w:tblGrid>
      <w:tr w:rsidR="008C5B42" w:rsidRPr="00FD6165" w:rsidTr="0084162B">
        <w:tc>
          <w:tcPr>
            <w:tcW w:w="1985"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keepNext/>
              <w:snapToGrid w:val="0"/>
              <w:spacing w:before="0" w:after="0" w:line="300" w:lineRule="exact"/>
              <w:jc w:val="both"/>
              <w:rPr>
                <w:rFonts w:cs="Times New Roman"/>
                <w:i/>
                <w:iCs/>
                <w:sz w:val="26"/>
                <w:szCs w:val="26"/>
              </w:rPr>
            </w:pPr>
            <w:bookmarkStart w:id="0" w:name="_GoBack" w:colFirst="0" w:colLast="3"/>
          </w:p>
        </w:tc>
        <w:tc>
          <w:tcPr>
            <w:tcW w:w="2875" w:type="dxa"/>
            <w:tcBorders>
              <w:top w:val="single" w:sz="4" w:space="0" w:color="000000"/>
              <w:left w:val="single" w:sz="4" w:space="0" w:color="000000"/>
              <w:bottom w:val="single" w:sz="4" w:space="0" w:color="000000"/>
            </w:tcBorders>
            <w:shd w:val="clear" w:color="auto" w:fill="auto"/>
          </w:tcPr>
          <w:p w:rsidR="008C5B42" w:rsidRDefault="008C5B42" w:rsidP="008C5B42">
            <w:pPr>
              <w:pStyle w:val="11"/>
              <w:keepNext/>
              <w:tabs>
                <w:tab w:val="left" w:pos="288"/>
              </w:tabs>
              <w:snapToGrid w:val="0"/>
              <w:spacing w:before="0" w:after="0" w:line="300" w:lineRule="exact"/>
              <w:jc w:val="both"/>
              <w:rPr>
                <w:rFonts w:cs="Times New Roman"/>
                <w:sz w:val="26"/>
                <w:szCs w:val="26"/>
              </w:rPr>
            </w:pPr>
            <w:r w:rsidRPr="00FD6165">
              <w:rPr>
                <w:rFonts w:cs="Times New Roman"/>
                <w:sz w:val="26"/>
                <w:szCs w:val="26"/>
              </w:rPr>
              <w:t>Category 1:</w:t>
            </w:r>
          </w:p>
          <w:p w:rsidR="008C5B42" w:rsidRPr="00FD6165" w:rsidRDefault="008C5B42" w:rsidP="008C5B42">
            <w:pPr>
              <w:pStyle w:val="11"/>
              <w:keepNext/>
              <w:tabs>
                <w:tab w:val="left" w:pos="288"/>
              </w:tabs>
              <w:snapToGrid w:val="0"/>
              <w:spacing w:before="0" w:after="0" w:line="300" w:lineRule="exact"/>
              <w:jc w:val="both"/>
              <w:rPr>
                <w:rFonts w:cs="Times New Roman"/>
                <w:i/>
                <w:iCs/>
                <w:sz w:val="26"/>
                <w:szCs w:val="26"/>
              </w:rPr>
            </w:pPr>
            <w:r w:rsidRPr="00FD6165">
              <w:rPr>
                <w:rFonts w:cs="Times New Roman"/>
                <w:i/>
                <w:iCs/>
                <w:sz w:val="26"/>
                <w:szCs w:val="26"/>
              </w:rPr>
              <w:t xml:space="preserve">Din </w:t>
            </w:r>
            <w:r w:rsidRPr="00FD6165">
              <w:rPr>
                <w:rFonts w:cs="Times New Roman"/>
                <w:sz w:val="26"/>
                <w:szCs w:val="26"/>
              </w:rPr>
              <w:t xml:space="preserve">establishes </w:t>
            </w:r>
            <w:r w:rsidRPr="00FD6165">
              <w:rPr>
                <w:rFonts w:cs="Times New Roman"/>
                <w:i/>
                <w:iCs/>
                <w:sz w:val="26"/>
                <w:szCs w:val="26"/>
              </w:rPr>
              <w:t>–x</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C5B42" w:rsidRDefault="008C5B42" w:rsidP="008C5B42">
            <w:pPr>
              <w:pStyle w:val="11"/>
              <w:keepNext/>
              <w:tabs>
                <w:tab w:val="left" w:pos="288"/>
              </w:tabs>
              <w:snapToGrid w:val="0"/>
              <w:spacing w:before="0" w:after="0" w:line="300" w:lineRule="exact"/>
              <w:jc w:val="both"/>
              <w:rPr>
                <w:rFonts w:cs="Times New Roman"/>
                <w:sz w:val="26"/>
                <w:szCs w:val="26"/>
              </w:rPr>
            </w:pPr>
            <w:r w:rsidRPr="00FD6165">
              <w:rPr>
                <w:rFonts w:cs="Times New Roman"/>
                <w:sz w:val="26"/>
                <w:szCs w:val="26"/>
              </w:rPr>
              <w:t>Category 2:</w:t>
            </w:r>
          </w:p>
          <w:p w:rsidR="008C5B42" w:rsidRPr="00FD6165" w:rsidRDefault="008C5B42" w:rsidP="008C5B42">
            <w:pPr>
              <w:pStyle w:val="11"/>
              <w:keepNext/>
              <w:tabs>
                <w:tab w:val="left" w:pos="288"/>
              </w:tabs>
              <w:snapToGrid w:val="0"/>
              <w:spacing w:before="0" w:after="0" w:line="300" w:lineRule="exact"/>
              <w:jc w:val="both"/>
              <w:rPr>
                <w:rFonts w:cs="Times New Roman"/>
                <w:i/>
                <w:iCs/>
                <w:sz w:val="26"/>
                <w:szCs w:val="26"/>
              </w:rPr>
            </w:pPr>
            <w:r w:rsidRPr="00FD6165">
              <w:rPr>
                <w:rFonts w:cs="Times New Roman"/>
                <w:i/>
                <w:iCs/>
                <w:sz w:val="26"/>
                <w:szCs w:val="26"/>
              </w:rPr>
              <w:t xml:space="preserve">Din </w:t>
            </w:r>
            <w:r w:rsidRPr="00FD6165">
              <w:rPr>
                <w:rFonts w:cs="Times New Roman"/>
                <w:sz w:val="26"/>
                <w:szCs w:val="26"/>
              </w:rPr>
              <w:t xml:space="preserve">establishes </w:t>
            </w:r>
            <w:r w:rsidRPr="00FD6165">
              <w:rPr>
                <w:rFonts w:cs="Times New Roman"/>
                <w:i/>
                <w:iCs/>
                <w:sz w:val="26"/>
                <w:szCs w:val="26"/>
              </w:rPr>
              <w:t>x</w:t>
            </w:r>
          </w:p>
        </w:tc>
      </w:tr>
      <w:tr w:rsidR="008C5B42" w:rsidRPr="00FD6165" w:rsidTr="0084162B">
        <w:tc>
          <w:tcPr>
            <w:tcW w:w="1985"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sz w:val="26"/>
                <w:szCs w:val="26"/>
              </w:rPr>
            </w:pPr>
            <w:r w:rsidRPr="00FD6165">
              <w:rPr>
                <w:rFonts w:cs="Times New Roman"/>
                <w:sz w:val="26"/>
                <w:szCs w:val="26"/>
              </w:rPr>
              <w:t>Subcategory a: initial refutation through say-argument</w:t>
            </w:r>
          </w:p>
        </w:tc>
        <w:tc>
          <w:tcPr>
            <w:tcW w:w="2875"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b/>
                <w:bCs/>
                <w:sz w:val="26"/>
                <w:szCs w:val="26"/>
              </w:rPr>
            </w:pPr>
            <w:r w:rsidRPr="00FD6165">
              <w:rPr>
                <w:rFonts w:cs="Times New Roman"/>
                <w:i/>
                <w:iCs/>
                <w:sz w:val="26"/>
                <w:szCs w:val="26"/>
              </w:rPr>
              <w:t>din</w:t>
            </w:r>
            <w:r w:rsidRPr="00FD6165">
              <w:rPr>
                <w:rFonts w:cs="Times New Roman"/>
                <w:sz w:val="26"/>
                <w:szCs w:val="26"/>
              </w:rPr>
              <w:t>; say-argument; prove-argument; [say-argument; prove-argument] (</w:t>
            </w:r>
            <w:r w:rsidRPr="00FD6165">
              <w:rPr>
                <w:rFonts w:cs="Times New Roman"/>
                <w:b/>
                <w:bCs/>
                <w:sz w:val="26"/>
                <w:szCs w:val="26"/>
              </w:rPr>
              <w:t>category 1a)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sz w:val="26"/>
                <w:szCs w:val="26"/>
              </w:rPr>
            </w:pPr>
            <w:r w:rsidRPr="00FD6165">
              <w:rPr>
                <w:rFonts w:cs="Times New Roman"/>
                <w:i/>
                <w:iCs/>
                <w:sz w:val="26"/>
                <w:szCs w:val="26"/>
              </w:rPr>
              <w:t>din</w:t>
            </w:r>
            <w:r w:rsidRPr="00FD6165">
              <w:rPr>
                <w:rFonts w:cs="Times New Roman"/>
                <w:sz w:val="26"/>
                <w:szCs w:val="26"/>
              </w:rPr>
              <w:t>; say-argument; [prove-argument; say-argument] (</w:t>
            </w:r>
            <w:r w:rsidRPr="00FD6165">
              <w:rPr>
                <w:rFonts w:cs="Times New Roman"/>
                <w:b/>
                <w:bCs/>
                <w:sz w:val="26"/>
                <w:szCs w:val="26"/>
              </w:rPr>
              <w:t>category 2a</w:t>
            </w:r>
            <w:r w:rsidRPr="00FD6165">
              <w:rPr>
                <w:rFonts w:cs="Times New Roman"/>
                <w:sz w:val="26"/>
                <w:szCs w:val="26"/>
              </w:rPr>
              <w:t>)</w:t>
            </w:r>
          </w:p>
        </w:tc>
      </w:tr>
      <w:tr w:rsidR="008C5B42" w:rsidRPr="00FD6165" w:rsidTr="0084162B">
        <w:tc>
          <w:tcPr>
            <w:tcW w:w="1985"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sz w:val="26"/>
                <w:szCs w:val="26"/>
              </w:rPr>
            </w:pPr>
            <w:r w:rsidRPr="00FD6165">
              <w:rPr>
                <w:rFonts w:cs="Times New Roman"/>
                <w:sz w:val="26"/>
                <w:szCs w:val="26"/>
              </w:rPr>
              <w:t>Subcategory b: initial refutation through prove-argument</w:t>
            </w:r>
          </w:p>
        </w:tc>
        <w:tc>
          <w:tcPr>
            <w:tcW w:w="2875"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sz w:val="26"/>
                <w:szCs w:val="26"/>
              </w:rPr>
            </w:pPr>
            <w:r w:rsidRPr="00FD6165">
              <w:rPr>
                <w:rFonts w:cs="Times New Roman"/>
                <w:i/>
                <w:iCs/>
                <w:sz w:val="26"/>
                <w:szCs w:val="26"/>
              </w:rPr>
              <w:t>din</w:t>
            </w:r>
            <w:r w:rsidRPr="00FD6165">
              <w:rPr>
                <w:rFonts w:cs="Times New Roman"/>
                <w:sz w:val="26"/>
                <w:szCs w:val="26"/>
              </w:rPr>
              <w:t>; prove-argument; say-argument; [prove-argument; say-argument] (</w:t>
            </w:r>
            <w:r w:rsidRPr="00FD6165">
              <w:rPr>
                <w:rFonts w:cs="Times New Roman"/>
                <w:b/>
                <w:bCs/>
                <w:sz w:val="26"/>
                <w:szCs w:val="26"/>
              </w:rPr>
              <w:t>category 1b</w:t>
            </w:r>
            <w:r w:rsidRPr="00FD6165">
              <w:rPr>
                <w:rFonts w:cs="Times New Roman"/>
                <w:sz w:val="26"/>
                <w:szCs w:val="26"/>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pStyle w:val="11"/>
              <w:tabs>
                <w:tab w:val="left" w:pos="288"/>
              </w:tabs>
              <w:snapToGrid w:val="0"/>
              <w:spacing w:before="0" w:after="0" w:line="300" w:lineRule="exact"/>
              <w:rPr>
                <w:rFonts w:cs="Times New Roman"/>
                <w:sz w:val="26"/>
                <w:szCs w:val="26"/>
              </w:rPr>
            </w:pPr>
            <w:r w:rsidRPr="00FD6165">
              <w:rPr>
                <w:rFonts w:cs="Times New Roman"/>
                <w:i/>
                <w:iCs/>
                <w:sz w:val="26"/>
                <w:szCs w:val="26"/>
              </w:rPr>
              <w:t>din</w:t>
            </w:r>
            <w:r w:rsidRPr="00FD6165">
              <w:rPr>
                <w:rFonts w:cs="Times New Roman"/>
                <w:sz w:val="26"/>
                <w:szCs w:val="26"/>
              </w:rPr>
              <w:t>; prove-argument; [say-argument; prove-argument] (</w:t>
            </w:r>
            <w:r w:rsidRPr="00FD6165">
              <w:rPr>
                <w:rFonts w:cs="Times New Roman"/>
                <w:b/>
                <w:bCs/>
                <w:sz w:val="26"/>
                <w:szCs w:val="26"/>
              </w:rPr>
              <w:t>category 2b</w:t>
            </w:r>
            <w:r w:rsidRPr="00FD6165">
              <w:rPr>
                <w:rFonts w:cs="Times New Roman"/>
                <w:sz w:val="26"/>
                <w:szCs w:val="26"/>
              </w:rPr>
              <w:t>)</w:t>
            </w:r>
          </w:p>
        </w:tc>
      </w:tr>
      <w:bookmarkEnd w:id="0"/>
    </w:tbl>
    <w:p w:rsidR="008C5B42" w:rsidRDefault="008C5B42" w:rsidP="008C5B42">
      <w:pPr>
        <w:pStyle w:val="11"/>
        <w:tabs>
          <w:tab w:val="left" w:pos="288"/>
        </w:tabs>
        <w:spacing w:before="0" w:after="0" w:line="300" w:lineRule="exact"/>
        <w:ind w:firstLine="288"/>
        <w:jc w:val="both"/>
        <w:rPr>
          <w:rFonts w:cs="Times New Roman"/>
          <w:b/>
          <w:bCs/>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 xml:space="preserve">2. Patterns in </w:t>
      </w:r>
      <w:proofErr w:type="spellStart"/>
      <w:r w:rsidRPr="00FD6165">
        <w:rPr>
          <w:rFonts w:cs="Times New Roman"/>
          <w:b/>
          <w:bCs/>
          <w:sz w:val="26"/>
          <w:szCs w:val="26"/>
        </w:rPr>
        <w:t>Akivan</w:t>
      </w:r>
      <w:proofErr w:type="spellEnd"/>
      <w:r w:rsidRPr="00FD6165">
        <w:rPr>
          <w:rFonts w:cs="Times New Roman"/>
          <w:b/>
          <w:bCs/>
          <w:sz w:val="26"/>
          <w:szCs w:val="26"/>
        </w:rPr>
        <w:t xml:space="preserve"> Technical Terminology</w:t>
      </w:r>
    </w:p>
    <w:p w:rsidR="008C5B42"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The following dialectic (</w:t>
      </w:r>
      <w:proofErr w:type="spellStart"/>
      <w:r w:rsidRPr="00FD6165">
        <w:rPr>
          <w:rFonts w:cs="Times New Roman"/>
          <w:sz w:val="26"/>
          <w:szCs w:val="26"/>
        </w:rPr>
        <w:t>Sifra</w:t>
      </w:r>
      <w:proofErr w:type="spellEnd"/>
      <w:r w:rsidRPr="00FD6165">
        <w:rPr>
          <w:rFonts w:cs="Times New Roman"/>
          <w:sz w:val="26"/>
          <w:szCs w:val="26"/>
        </w:rPr>
        <w:t xml:space="preserve"> </w:t>
      </w:r>
      <w:proofErr w:type="spellStart"/>
      <w:r w:rsidRPr="00FD6165">
        <w:rPr>
          <w:rFonts w:cs="Times New Roman"/>
          <w:i/>
          <w:iCs/>
          <w:sz w:val="26"/>
          <w:szCs w:val="26"/>
        </w:rPr>
        <w:t>Nedava</w:t>
      </w:r>
      <w:proofErr w:type="spellEnd"/>
      <w:r w:rsidRPr="00FD6165">
        <w:rPr>
          <w:rFonts w:cs="Times New Roman"/>
          <w:i/>
          <w:iCs/>
          <w:sz w:val="26"/>
          <w:szCs w:val="26"/>
        </w:rPr>
        <w:t xml:space="preserve"> </w:t>
      </w:r>
      <w:r w:rsidRPr="00FD6165">
        <w:rPr>
          <w:rFonts w:cs="Times New Roman"/>
          <w:sz w:val="26"/>
          <w:szCs w:val="26"/>
        </w:rPr>
        <w:t xml:space="preserve">9:2 [Weiss ed., 9d]) represents a typical instance of category 1a in the school of R. </w:t>
      </w:r>
      <w:proofErr w:type="spellStart"/>
      <w:r w:rsidRPr="00FD6165">
        <w:rPr>
          <w:rFonts w:cs="Times New Roman"/>
          <w:sz w:val="26"/>
          <w:szCs w:val="26"/>
        </w:rPr>
        <w:t>Akiva</w:t>
      </w:r>
      <w:proofErr w:type="spellEnd"/>
      <w:r w:rsidRPr="00FD6165">
        <w:rPr>
          <w:rFonts w:cs="Times New Roman"/>
          <w:sz w:val="26"/>
          <w:szCs w:val="26"/>
        </w:rPr>
        <w:t>.</w:t>
      </w:r>
      <w:r w:rsidRPr="00FD6165">
        <w:rPr>
          <w:rStyle w:val="FootnoteCharacters"/>
          <w:rFonts w:cs="Times New Roman"/>
          <w:sz w:val="26"/>
          <w:szCs w:val="26"/>
        </w:rPr>
        <w:footnoteReference w:id="7"/>
      </w:r>
    </w:p>
    <w:p w:rsidR="008C5B42" w:rsidRPr="00FD6165" w:rsidRDefault="008C5B42" w:rsidP="008C5B42">
      <w:pPr>
        <w:pStyle w:val="11"/>
        <w:tabs>
          <w:tab w:val="left" w:pos="288"/>
        </w:tabs>
        <w:spacing w:before="0" w:after="0" w:line="300" w:lineRule="exact"/>
        <w:ind w:firstLine="288"/>
        <w:jc w:val="both"/>
        <w:rPr>
          <w:rFonts w:cs="Times New Roman"/>
          <w:b/>
          <w:bCs/>
          <w:sz w:val="26"/>
          <w:szCs w:val="26"/>
        </w:rPr>
      </w:pPr>
    </w:p>
    <w:p w:rsidR="008C5B42" w:rsidRPr="008679A8" w:rsidRDefault="008C5B42" w:rsidP="008C5B42">
      <w:pPr>
        <w:pStyle w:val="11"/>
        <w:keepNext/>
        <w:tabs>
          <w:tab w:val="left" w:pos="288"/>
        </w:tabs>
        <w:spacing w:before="0" w:after="0" w:line="300" w:lineRule="exact"/>
        <w:ind w:right="1440"/>
        <w:jc w:val="both"/>
        <w:rPr>
          <w:rFonts w:cs="Times New Roman"/>
          <w:b/>
          <w:bCs/>
          <w:i/>
          <w:iCs/>
          <w:sz w:val="26"/>
          <w:szCs w:val="26"/>
        </w:rPr>
      </w:pPr>
      <w:r w:rsidRPr="008679A8">
        <w:rPr>
          <w:rFonts w:cs="Times New Roman"/>
          <w:b/>
          <w:bCs/>
          <w:i/>
          <w:iCs/>
          <w:sz w:val="26"/>
          <w:szCs w:val="26"/>
        </w:rPr>
        <w:t>Case 1</w:t>
      </w:r>
    </w:p>
    <w:tbl>
      <w:tblPr>
        <w:tblW w:w="7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068"/>
        <w:gridCol w:w="2862"/>
      </w:tblGrid>
      <w:tr w:rsidR="008C5B42" w:rsidRPr="00C33D00" w:rsidTr="0084162B">
        <w:tc>
          <w:tcPr>
            <w:tcW w:w="468"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1.</w:t>
            </w:r>
          </w:p>
        </w:tc>
        <w:tc>
          <w:tcPr>
            <w:tcW w:w="4068" w:type="dxa"/>
          </w:tcPr>
          <w:p w:rsidR="008C5B42" w:rsidRPr="00C33D00" w:rsidRDefault="008C5B42" w:rsidP="008C5B42">
            <w:pPr>
              <w:pStyle w:val="11"/>
              <w:tabs>
                <w:tab w:val="left" w:pos="288"/>
              </w:tabs>
              <w:spacing w:before="0" w:after="0" w:line="300" w:lineRule="exact"/>
              <w:ind w:right="72"/>
              <w:rPr>
                <w:rFonts w:cs="Times New Roman"/>
                <w:sz w:val="26"/>
                <w:szCs w:val="26"/>
              </w:rPr>
            </w:pPr>
            <w:r w:rsidRPr="00C33D00">
              <w:rPr>
                <w:rFonts w:cs="Times New Roman"/>
                <w:sz w:val="26"/>
                <w:szCs w:val="26"/>
              </w:rPr>
              <w:t>“His offering” (Lev 2:1): The individual brings a freewill meal offering; partners do not bring a freewill meal offering.</w:t>
            </w:r>
          </w:p>
          <w:p w:rsidR="008C5B42" w:rsidRPr="00C33D00" w:rsidRDefault="008C5B42" w:rsidP="008C5B42">
            <w:pPr>
              <w:pStyle w:val="11"/>
              <w:tabs>
                <w:tab w:val="left" w:pos="288"/>
              </w:tabs>
              <w:spacing w:before="0" w:after="0" w:line="300" w:lineRule="exact"/>
              <w:ind w:right="72"/>
              <w:rPr>
                <w:rFonts w:cs="Times New Roman"/>
                <w:sz w:val="26"/>
                <w:szCs w:val="26"/>
              </w:rPr>
            </w:pPr>
          </w:p>
        </w:tc>
        <w:tc>
          <w:tcPr>
            <w:tcW w:w="2862" w:type="dxa"/>
          </w:tcPr>
          <w:p w:rsidR="008C5B42" w:rsidRPr="00C33D00" w:rsidRDefault="008C5B42" w:rsidP="008C5B42">
            <w:pPr>
              <w:pStyle w:val="11"/>
              <w:tabs>
                <w:tab w:val="left" w:pos="288"/>
                <w:tab w:val="left" w:pos="1826"/>
              </w:tabs>
              <w:spacing w:before="0" w:after="0" w:line="300" w:lineRule="exact"/>
              <w:ind w:right="72"/>
              <w:jc w:val="right"/>
              <w:rPr>
                <w:rFonts w:cs="Times New Roman"/>
                <w:sz w:val="26"/>
                <w:szCs w:val="26"/>
              </w:rPr>
            </w:pPr>
            <w:r w:rsidRPr="00C33D00">
              <w:rPr>
                <w:rFonts w:cs="Times New Roman"/>
                <w:sz w:val="26"/>
                <w:szCs w:val="26"/>
                <w:rtl/>
              </w:rPr>
              <w:t>קורבנו היחיד מיביא מנחה נדבה אין השותפים מביאים מנחה נדבה</w:t>
            </w:r>
          </w:p>
        </w:tc>
      </w:tr>
      <w:tr w:rsidR="008C5B42" w:rsidRPr="00C33D00" w:rsidTr="0084162B">
        <w:tc>
          <w:tcPr>
            <w:tcW w:w="468"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2.</w:t>
            </w:r>
          </w:p>
        </w:tc>
        <w:tc>
          <w:tcPr>
            <w:tcW w:w="4068" w:type="dxa"/>
          </w:tcPr>
          <w:p w:rsidR="008C5B42" w:rsidRPr="00C33D00" w:rsidRDefault="008C5B42" w:rsidP="0084162B">
            <w:pPr>
              <w:pStyle w:val="11"/>
              <w:tabs>
                <w:tab w:val="left" w:pos="288"/>
              </w:tabs>
              <w:spacing w:before="0" w:after="0" w:line="300" w:lineRule="exact"/>
              <w:ind w:right="162"/>
              <w:rPr>
                <w:rFonts w:cs="Times New Roman"/>
                <w:sz w:val="26"/>
                <w:szCs w:val="26"/>
              </w:rPr>
            </w:pPr>
            <w:r w:rsidRPr="00C33D00">
              <w:rPr>
                <w:rFonts w:cs="Times New Roman"/>
                <w:sz w:val="26"/>
                <w:szCs w:val="26"/>
              </w:rPr>
              <w:t xml:space="preserve">Is it not a </w:t>
            </w:r>
            <w:r w:rsidRPr="00C33D00">
              <w:rPr>
                <w:rFonts w:cs="Times New Roman"/>
                <w:i/>
                <w:iCs/>
                <w:sz w:val="26"/>
                <w:szCs w:val="26"/>
              </w:rPr>
              <w:t>din</w:t>
            </w:r>
            <w:r w:rsidRPr="00C33D00">
              <w:rPr>
                <w:rFonts w:cs="Times New Roman"/>
                <w:sz w:val="26"/>
                <w:szCs w:val="26"/>
              </w:rPr>
              <w:t xml:space="preserve">? The animal whole offering comes as a vow and as a freewill offering, and the meal offering comes as a vow and as a freewill offering. Just as the animal whole offering, which comes as a vow and as a freewill offering, comes as a freewill offering of two, so the meal offering, which comes as a vow and as a freewill </w:t>
            </w:r>
            <w:r w:rsidRPr="00C33D00">
              <w:rPr>
                <w:rFonts w:cs="Times New Roman"/>
                <w:sz w:val="26"/>
                <w:szCs w:val="26"/>
              </w:rPr>
              <w:lastRenderedPageBreak/>
              <w:t>offering, should come as a freewill offering of two.</w:t>
            </w:r>
          </w:p>
        </w:tc>
        <w:tc>
          <w:tcPr>
            <w:tcW w:w="2862" w:type="dxa"/>
          </w:tcPr>
          <w:p w:rsidR="008C5B42" w:rsidRPr="00C33D00" w:rsidRDefault="008C5B42" w:rsidP="008C5B42">
            <w:pPr>
              <w:pStyle w:val="11"/>
              <w:tabs>
                <w:tab w:val="left" w:pos="288"/>
              </w:tabs>
              <w:spacing w:before="0" w:after="0" w:line="300" w:lineRule="exact"/>
              <w:ind w:right="72"/>
              <w:jc w:val="right"/>
              <w:rPr>
                <w:rFonts w:cs="Times New Roman"/>
                <w:sz w:val="26"/>
                <w:szCs w:val="26"/>
              </w:rPr>
            </w:pPr>
            <w:r w:rsidRPr="00C33D00">
              <w:rPr>
                <w:rFonts w:cs="Times New Roman"/>
                <w:sz w:val="26"/>
                <w:szCs w:val="26"/>
                <w:rtl/>
              </w:rPr>
              <w:lastRenderedPageBreak/>
              <w:t>הלא דין הוא עולת בהמה באה בנדר ובנדבה ומנחה באה בנדר ובנדבה מה עולת בהמה שהיא באה בנדר ובנדבה הרי היא באה נדבת שנים אף מנחה שהיא באה בנדר ובנדבה תבוא נדבת שנים</w:t>
            </w:r>
          </w:p>
        </w:tc>
      </w:tr>
      <w:tr w:rsidR="008C5B42" w:rsidRPr="00C33D00" w:rsidTr="0084162B">
        <w:tc>
          <w:tcPr>
            <w:tcW w:w="468"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3.</w:t>
            </w:r>
          </w:p>
        </w:tc>
        <w:tc>
          <w:tcPr>
            <w:tcW w:w="4068" w:type="dxa"/>
          </w:tcPr>
          <w:p w:rsidR="008C5B42" w:rsidRPr="00C33D00" w:rsidRDefault="008C5B42" w:rsidP="008C5B42">
            <w:pPr>
              <w:pStyle w:val="11"/>
              <w:tabs>
                <w:tab w:val="left" w:pos="288"/>
              </w:tabs>
              <w:spacing w:before="0" w:after="0" w:line="300" w:lineRule="exact"/>
              <w:ind w:right="162"/>
              <w:rPr>
                <w:rFonts w:cs="Times New Roman"/>
                <w:sz w:val="26"/>
                <w:szCs w:val="26"/>
              </w:rPr>
            </w:pPr>
            <w:r w:rsidRPr="00C33D00">
              <w:rPr>
                <w:rFonts w:cs="Times New Roman"/>
                <w:sz w:val="26"/>
                <w:szCs w:val="26"/>
              </w:rPr>
              <w:t>No. If you say concerning the animal whole offering, which comes as a freewill offering of the congregation, will you say concerning the meal offering, which does not come as a freewill offering of the congregation?</w:t>
            </w:r>
          </w:p>
          <w:p w:rsidR="008C5B42" w:rsidRPr="00C33D00" w:rsidRDefault="008C5B42" w:rsidP="008C5B42">
            <w:pPr>
              <w:pStyle w:val="11"/>
              <w:tabs>
                <w:tab w:val="left" w:pos="288"/>
              </w:tabs>
              <w:spacing w:before="0" w:after="0" w:line="300" w:lineRule="exact"/>
              <w:ind w:right="162"/>
              <w:rPr>
                <w:rFonts w:cs="Times New Roman"/>
                <w:sz w:val="26"/>
                <w:szCs w:val="26"/>
              </w:rPr>
            </w:pPr>
          </w:p>
        </w:tc>
        <w:tc>
          <w:tcPr>
            <w:tcW w:w="2862" w:type="dxa"/>
          </w:tcPr>
          <w:p w:rsidR="008C5B42" w:rsidRPr="00C33D00" w:rsidRDefault="008C5B42" w:rsidP="008C5B42">
            <w:pPr>
              <w:pStyle w:val="11"/>
              <w:tabs>
                <w:tab w:val="left" w:pos="288"/>
              </w:tabs>
              <w:spacing w:before="0" w:after="0" w:line="300" w:lineRule="exact"/>
              <w:ind w:right="72"/>
              <w:jc w:val="right"/>
              <w:rPr>
                <w:rFonts w:cs="Times New Roman"/>
                <w:sz w:val="26"/>
                <w:szCs w:val="26"/>
              </w:rPr>
            </w:pPr>
            <w:r w:rsidRPr="00C33D00">
              <w:rPr>
                <w:rFonts w:cs="Times New Roman"/>
                <w:sz w:val="26"/>
                <w:szCs w:val="26"/>
                <w:rtl/>
              </w:rPr>
              <w:t>לא אם אמרתה בעולת בהמה שהיא באה נדבת ציבור תאמר במנחה שאינה באה נדבת ציבור</w:t>
            </w:r>
          </w:p>
        </w:tc>
      </w:tr>
      <w:tr w:rsidR="008C5B42" w:rsidRPr="00C33D00" w:rsidTr="0084162B">
        <w:tc>
          <w:tcPr>
            <w:tcW w:w="468"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4.</w:t>
            </w:r>
          </w:p>
        </w:tc>
        <w:tc>
          <w:tcPr>
            <w:tcW w:w="4068" w:type="dxa"/>
          </w:tcPr>
          <w:p w:rsidR="008C5B42" w:rsidRPr="00C33D00" w:rsidRDefault="008C5B42" w:rsidP="008C5B42">
            <w:pPr>
              <w:pStyle w:val="11"/>
              <w:tabs>
                <w:tab w:val="left" w:pos="288"/>
              </w:tabs>
              <w:spacing w:before="0" w:after="0" w:line="300" w:lineRule="exact"/>
              <w:ind w:right="162"/>
              <w:rPr>
                <w:rFonts w:cs="Times New Roman"/>
                <w:sz w:val="26"/>
                <w:szCs w:val="26"/>
              </w:rPr>
            </w:pPr>
            <w:r w:rsidRPr="00C33D00">
              <w:rPr>
                <w:rFonts w:cs="Times New Roman"/>
                <w:sz w:val="26"/>
                <w:szCs w:val="26"/>
              </w:rPr>
              <w:t xml:space="preserve">The bird whole offering will prove, for it does not come as a freewill offering of the congregation, but it comes as a freewill offering of two. </w:t>
            </w:r>
            <w:proofErr w:type="gramStart"/>
            <w:r w:rsidRPr="00C33D00">
              <w:rPr>
                <w:rFonts w:cs="Times New Roman"/>
                <w:sz w:val="26"/>
                <w:szCs w:val="26"/>
              </w:rPr>
              <w:t>So</w:t>
            </w:r>
            <w:proofErr w:type="gramEnd"/>
            <w:r w:rsidRPr="00C33D00">
              <w:rPr>
                <w:rFonts w:cs="Times New Roman"/>
                <w:sz w:val="26"/>
                <w:szCs w:val="26"/>
              </w:rPr>
              <w:t xml:space="preserve"> you should not wonder about the meal offering, that even though it does not come as a freewill offering of the congregation, it should come as a freewill offering of two.</w:t>
            </w:r>
          </w:p>
          <w:p w:rsidR="008C5B42" w:rsidRPr="00C33D00" w:rsidRDefault="008C5B42" w:rsidP="008C5B42">
            <w:pPr>
              <w:pStyle w:val="11"/>
              <w:tabs>
                <w:tab w:val="left" w:pos="288"/>
              </w:tabs>
              <w:spacing w:before="0" w:after="0" w:line="300" w:lineRule="exact"/>
              <w:ind w:right="162"/>
              <w:rPr>
                <w:rFonts w:cs="Times New Roman"/>
                <w:sz w:val="26"/>
                <w:szCs w:val="26"/>
              </w:rPr>
            </w:pPr>
          </w:p>
        </w:tc>
        <w:tc>
          <w:tcPr>
            <w:tcW w:w="2862" w:type="dxa"/>
          </w:tcPr>
          <w:p w:rsidR="008C5B42" w:rsidRPr="00C33D00" w:rsidRDefault="008C5B42" w:rsidP="008C5B42">
            <w:pPr>
              <w:pStyle w:val="11"/>
              <w:tabs>
                <w:tab w:val="left" w:pos="288"/>
              </w:tabs>
              <w:spacing w:before="0" w:after="0" w:line="300" w:lineRule="exact"/>
              <w:ind w:right="72"/>
              <w:jc w:val="right"/>
              <w:rPr>
                <w:rFonts w:cs="Times New Roman"/>
                <w:sz w:val="26"/>
                <w:szCs w:val="26"/>
              </w:rPr>
            </w:pPr>
            <w:r w:rsidRPr="00C33D00">
              <w:rPr>
                <w:rFonts w:cs="Times New Roman"/>
                <w:sz w:val="26"/>
                <w:szCs w:val="26"/>
                <w:rtl/>
              </w:rPr>
              <w:t>עולת העוף תוכיח שאינה באה נדבת צבור ובאה נדבת שניים אף אתה אל תתמה על המנחה שאף על פי שאינה באה נדבת ציבור תבוא נדבת שנים</w:t>
            </w:r>
          </w:p>
        </w:tc>
      </w:tr>
      <w:tr w:rsidR="008C5B42" w:rsidRPr="00C33D00" w:rsidTr="0084162B">
        <w:tc>
          <w:tcPr>
            <w:tcW w:w="468"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5.</w:t>
            </w:r>
          </w:p>
        </w:tc>
        <w:tc>
          <w:tcPr>
            <w:tcW w:w="4068" w:type="dxa"/>
          </w:tcPr>
          <w:p w:rsidR="008C5B42" w:rsidRDefault="008C5B42" w:rsidP="008C5B42">
            <w:pPr>
              <w:pStyle w:val="11"/>
              <w:tabs>
                <w:tab w:val="left" w:pos="288"/>
              </w:tabs>
              <w:spacing w:before="0" w:after="0" w:line="300" w:lineRule="exact"/>
              <w:ind w:right="162"/>
              <w:rPr>
                <w:rFonts w:cs="Times New Roman"/>
                <w:sz w:val="26"/>
                <w:szCs w:val="26"/>
              </w:rPr>
            </w:pPr>
            <w:r w:rsidRPr="00C33D00">
              <w:rPr>
                <w:rFonts w:cs="Times New Roman"/>
                <w:sz w:val="26"/>
                <w:szCs w:val="26"/>
              </w:rPr>
              <w:t>Hence it says, “his offering”: the individual brings a freewill meal offering; partners do not bring a freewill meal offering.</w:t>
            </w:r>
          </w:p>
          <w:p w:rsidR="008C5B42" w:rsidRPr="00C33D00" w:rsidRDefault="008C5B42" w:rsidP="008C5B42">
            <w:pPr>
              <w:pStyle w:val="11"/>
              <w:tabs>
                <w:tab w:val="left" w:pos="288"/>
              </w:tabs>
              <w:spacing w:before="0" w:after="0" w:line="300" w:lineRule="exact"/>
              <w:ind w:right="162"/>
              <w:rPr>
                <w:rFonts w:cs="Times New Roman"/>
                <w:sz w:val="26"/>
                <w:szCs w:val="26"/>
              </w:rPr>
            </w:pPr>
          </w:p>
        </w:tc>
        <w:tc>
          <w:tcPr>
            <w:tcW w:w="2862" w:type="dxa"/>
          </w:tcPr>
          <w:p w:rsidR="008C5B42" w:rsidRPr="00C33D00" w:rsidRDefault="008C5B42" w:rsidP="008C5B42">
            <w:pPr>
              <w:pStyle w:val="11"/>
              <w:tabs>
                <w:tab w:val="left" w:pos="288"/>
              </w:tabs>
              <w:spacing w:before="0" w:after="0" w:line="300" w:lineRule="exact"/>
              <w:ind w:right="72"/>
              <w:jc w:val="right"/>
              <w:rPr>
                <w:rFonts w:cs="Times New Roman"/>
                <w:sz w:val="26"/>
                <w:szCs w:val="26"/>
              </w:rPr>
            </w:pPr>
            <w:r w:rsidRPr="00C33D00">
              <w:rPr>
                <w:rFonts w:cs="Times New Roman"/>
                <w:sz w:val="26"/>
                <w:szCs w:val="26"/>
                <w:rtl/>
              </w:rPr>
              <w:t>תל' לו' קורבנו היחיד מיביא מנחה נדבה אין השותפים מביאים מנחה נדבה</w:t>
            </w:r>
          </w:p>
        </w:tc>
      </w:tr>
    </w:tbl>
    <w:p w:rsidR="008C5B42" w:rsidRPr="00FD6165" w:rsidRDefault="008C5B42" w:rsidP="008C5B42">
      <w:pPr>
        <w:pStyle w:val="11"/>
        <w:tabs>
          <w:tab w:val="left" w:pos="288"/>
        </w:tabs>
        <w:spacing w:before="0" w:after="0" w:line="300" w:lineRule="exact"/>
        <w:ind w:right="1440"/>
        <w:jc w:val="both"/>
        <w:rPr>
          <w:rFonts w:cs="Times New Roman"/>
          <w:b/>
          <w:bCs/>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From the singular pronominal suffix “his” in Lev 2:1, the </w:t>
      </w:r>
      <w:proofErr w:type="spellStart"/>
      <w:r w:rsidRPr="00FD6165">
        <w:rPr>
          <w:rFonts w:cs="Times New Roman"/>
          <w:sz w:val="26"/>
          <w:szCs w:val="26"/>
        </w:rPr>
        <w:t>Sifra</w:t>
      </w:r>
      <w:proofErr w:type="spellEnd"/>
      <w:r w:rsidRPr="00FD6165">
        <w:rPr>
          <w:rFonts w:cs="Times New Roman"/>
          <w:sz w:val="26"/>
          <w:szCs w:val="26"/>
        </w:rPr>
        <w:t xml:space="preserve"> deduces that only an individual, not two partners, can make a freewill meal offering (stage 1). This deduction is challenged: the logical inference (</w:t>
      </w:r>
      <w:r w:rsidRPr="00FD6165">
        <w:rPr>
          <w:rFonts w:cs="Times New Roman"/>
          <w:i/>
          <w:iCs/>
          <w:sz w:val="26"/>
          <w:szCs w:val="26"/>
        </w:rPr>
        <w:t>din</w:t>
      </w:r>
      <w:r w:rsidRPr="00FD6165">
        <w:rPr>
          <w:rFonts w:cs="Times New Roman"/>
          <w:sz w:val="26"/>
          <w:szCs w:val="26"/>
        </w:rPr>
        <w:t xml:space="preserve">) from the case of the animal whole-offering is that partners </w:t>
      </w:r>
      <w:r w:rsidRPr="00FD6165">
        <w:rPr>
          <w:rFonts w:cs="Times New Roman"/>
          <w:i/>
          <w:iCs/>
          <w:sz w:val="26"/>
          <w:szCs w:val="26"/>
        </w:rPr>
        <w:t>can</w:t>
      </w:r>
      <w:r w:rsidRPr="00FD6165">
        <w:rPr>
          <w:rFonts w:cs="Times New Roman"/>
          <w:sz w:val="26"/>
          <w:szCs w:val="26"/>
        </w:rPr>
        <w:t xml:space="preserve"> make a freewill meal offering (stage 2). The dialectic might have ended at this point, because the </w:t>
      </w:r>
      <w:r w:rsidRPr="00FD6165">
        <w:rPr>
          <w:rFonts w:cs="Times New Roman"/>
          <w:i/>
          <w:iCs/>
          <w:sz w:val="26"/>
          <w:szCs w:val="26"/>
        </w:rPr>
        <w:t>din</w:t>
      </w:r>
      <w:r w:rsidRPr="00FD6165">
        <w:rPr>
          <w:rFonts w:cs="Times New Roman"/>
          <w:sz w:val="26"/>
          <w:szCs w:val="26"/>
        </w:rPr>
        <w:t xml:space="preserve"> explains the necessity for the verse’s teaching. But the </w:t>
      </w:r>
      <w:proofErr w:type="spellStart"/>
      <w:r w:rsidRPr="00FD6165">
        <w:rPr>
          <w:rFonts w:cs="Times New Roman"/>
          <w:sz w:val="26"/>
          <w:szCs w:val="26"/>
        </w:rPr>
        <w:t>Sifra</w:t>
      </w:r>
      <w:proofErr w:type="spellEnd"/>
      <w:r w:rsidRPr="00FD6165">
        <w:rPr>
          <w:rFonts w:cs="Times New Roman"/>
          <w:sz w:val="26"/>
          <w:szCs w:val="26"/>
        </w:rPr>
        <w:t xml:space="preserve"> chooses to interrogate the </w:t>
      </w:r>
      <w:r w:rsidRPr="00FD6165">
        <w:rPr>
          <w:rFonts w:cs="Times New Roman"/>
          <w:i/>
          <w:iCs/>
          <w:sz w:val="26"/>
          <w:szCs w:val="26"/>
        </w:rPr>
        <w:t>din</w:t>
      </w:r>
      <w:r w:rsidRPr="00FD6165">
        <w:rPr>
          <w:rFonts w:cs="Times New Roman"/>
          <w:sz w:val="26"/>
          <w:szCs w:val="26"/>
        </w:rPr>
        <w:t xml:space="preserve">. Stage 3 rebuts the </w:t>
      </w:r>
      <w:r w:rsidRPr="00FD6165">
        <w:rPr>
          <w:rFonts w:cs="Times New Roman"/>
          <w:i/>
          <w:iCs/>
          <w:sz w:val="26"/>
          <w:szCs w:val="26"/>
        </w:rPr>
        <w:t>din</w:t>
      </w:r>
      <w:r w:rsidRPr="00FD6165">
        <w:rPr>
          <w:rFonts w:cs="Times New Roman"/>
          <w:sz w:val="26"/>
          <w:szCs w:val="26"/>
        </w:rPr>
        <w:t xml:space="preserve"> with a say-argument, and stage 4 defends it with a prove-argument. Having thus preserved the viability of the </w:t>
      </w:r>
      <w:r w:rsidRPr="00FD6165">
        <w:rPr>
          <w:rFonts w:cs="Times New Roman"/>
          <w:i/>
          <w:iCs/>
          <w:sz w:val="26"/>
          <w:szCs w:val="26"/>
        </w:rPr>
        <w:t>din</w:t>
      </w:r>
      <w:r w:rsidRPr="00FD6165">
        <w:rPr>
          <w:rFonts w:cs="Times New Roman"/>
          <w:sz w:val="26"/>
          <w:szCs w:val="26"/>
        </w:rPr>
        <w:t xml:space="preserve">, the </w:t>
      </w:r>
      <w:proofErr w:type="spellStart"/>
      <w:r w:rsidRPr="00FD6165">
        <w:rPr>
          <w:rFonts w:cs="Times New Roman"/>
          <w:sz w:val="26"/>
          <w:szCs w:val="26"/>
        </w:rPr>
        <w:t>Sifra</w:t>
      </w:r>
      <w:proofErr w:type="spellEnd"/>
      <w:r w:rsidRPr="00FD6165">
        <w:rPr>
          <w:rFonts w:cs="Times New Roman"/>
          <w:sz w:val="26"/>
          <w:szCs w:val="26"/>
        </w:rPr>
        <w:t xml:space="preserve"> (stage 5) introduces the verse’s teaching again as a refutation of the </w:t>
      </w:r>
      <w:r w:rsidRPr="00FD6165">
        <w:rPr>
          <w:rFonts w:cs="Times New Roman"/>
          <w:i/>
          <w:iCs/>
          <w:sz w:val="26"/>
          <w:szCs w:val="26"/>
        </w:rPr>
        <w:t>din</w:t>
      </w:r>
      <w:r w:rsidRPr="00FD6165">
        <w:rPr>
          <w:rFonts w:cs="Times New Roman"/>
          <w:sz w:val="26"/>
          <w:szCs w:val="26"/>
        </w:rPr>
        <w:t>.</w:t>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Consider now an instance of the dialectical path that we have called category 1b, again from the school of R. </w:t>
      </w:r>
      <w:proofErr w:type="spellStart"/>
      <w:r w:rsidRPr="00FD6165">
        <w:rPr>
          <w:rFonts w:cs="Times New Roman"/>
          <w:sz w:val="26"/>
          <w:szCs w:val="26"/>
        </w:rPr>
        <w:t>Akiva</w:t>
      </w:r>
      <w:proofErr w:type="spellEnd"/>
      <w:r w:rsidRPr="00FD6165">
        <w:rPr>
          <w:rFonts w:cs="Times New Roman"/>
          <w:sz w:val="26"/>
          <w:szCs w:val="26"/>
        </w:rPr>
        <w:t xml:space="preserve"> (</w:t>
      </w:r>
      <w:proofErr w:type="spellStart"/>
      <w:r w:rsidRPr="00FD6165">
        <w:rPr>
          <w:rFonts w:cs="Times New Roman"/>
          <w:sz w:val="26"/>
          <w:szCs w:val="26"/>
        </w:rPr>
        <w:t>Sifra</w:t>
      </w:r>
      <w:proofErr w:type="spellEnd"/>
      <w:r w:rsidRPr="00FD6165">
        <w:rPr>
          <w:rFonts w:cs="Times New Roman"/>
          <w:sz w:val="26"/>
          <w:szCs w:val="26"/>
        </w:rPr>
        <w:t xml:space="preserve"> </w:t>
      </w:r>
      <w:proofErr w:type="spellStart"/>
      <w:r w:rsidRPr="00FD6165">
        <w:rPr>
          <w:rFonts w:cs="Times New Roman"/>
          <w:i/>
          <w:iCs/>
          <w:sz w:val="26"/>
          <w:szCs w:val="26"/>
        </w:rPr>
        <w:t>Nedava</w:t>
      </w:r>
      <w:proofErr w:type="spellEnd"/>
      <w:r w:rsidRPr="00FD6165">
        <w:rPr>
          <w:rFonts w:cs="Times New Roman"/>
          <w:i/>
          <w:iCs/>
          <w:sz w:val="26"/>
          <w:szCs w:val="26"/>
        </w:rPr>
        <w:t xml:space="preserve"> </w:t>
      </w:r>
      <w:r w:rsidRPr="00FD6165">
        <w:rPr>
          <w:rFonts w:cs="Times New Roman"/>
          <w:sz w:val="26"/>
          <w:szCs w:val="26"/>
        </w:rPr>
        <w:t>7:1 [Weiss ed., 8b]).</w:t>
      </w:r>
    </w:p>
    <w:p w:rsidR="008C5B42" w:rsidRDefault="008C5B42" w:rsidP="008C5B42">
      <w:pPr>
        <w:pStyle w:val="11"/>
        <w:tabs>
          <w:tab w:val="left" w:pos="288"/>
        </w:tabs>
        <w:spacing w:before="0" w:after="0" w:line="300" w:lineRule="exact"/>
        <w:ind w:firstLine="720"/>
        <w:jc w:val="both"/>
        <w:rPr>
          <w:rFonts w:cs="Times New Roman"/>
          <w:sz w:val="26"/>
          <w:szCs w:val="26"/>
        </w:rPr>
      </w:pPr>
    </w:p>
    <w:p w:rsidR="008C5B42" w:rsidRPr="008679A8" w:rsidRDefault="008C5B42" w:rsidP="008C5B42">
      <w:pPr>
        <w:pStyle w:val="11"/>
        <w:keepNext/>
        <w:tabs>
          <w:tab w:val="left" w:pos="288"/>
        </w:tabs>
        <w:spacing w:before="0" w:after="0" w:line="300" w:lineRule="exact"/>
        <w:jc w:val="both"/>
        <w:rPr>
          <w:rFonts w:cs="Times New Roman"/>
          <w:b/>
          <w:bCs/>
          <w:i/>
          <w:iCs/>
          <w:sz w:val="26"/>
          <w:szCs w:val="26"/>
        </w:rPr>
      </w:pPr>
      <w:r w:rsidRPr="008679A8">
        <w:rPr>
          <w:rFonts w:cs="Times New Roman"/>
          <w:b/>
          <w:bCs/>
          <w:i/>
          <w:iCs/>
          <w:sz w:val="26"/>
          <w:szCs w:val="26"/>
        </w:rPr>
        <w:lastRenderedPageBreak/>
        <w:t>Case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3709"/>
        <w:gridCol w:w="3131"/>
      </w:tblGrid>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1.</w:t>
            </w:r>
          </w:p>
        </w:tc>
        <w:tc>
          <w:tcPr>
            <w:tcW w:w="3781" w:type="dxa"/>
          </w:tcPr>
          <w:p w:rsidR="008C5B42" w:rsidRPr="00C33D00" w:rsidRDefault="008C5B42" w:rsidP="008C5B42">
            <w:pPr>
              <w:pStyle w:val="11"/>
              <w:tabs>
                <w:tab w:val="left" w:pos="288"/>
              </w:tabs>
              <w:spacing w:before="0" w:after="0" w:line="300" w:lineRule="exact"/>
              <w:ind w:left="2"/>
              <w:rPr>
                <w:rFonts w:cs="Times New Roman"/>
                <w:sz w:val="26"/>
                <w:szCs w:val="26"/>
              </w:rPr>
            </w:pPr>
            <w:r w:rsidRPr="00C33D00">
              <w:rPr>
                <w:rFonts w:cs="Times New Roman"/>
                <w:sz w:val="26"/>
                <w:szCs w:val="26"/>
              </w:rPr>
              <w:t>“His offering” (Lev 1:14): the individual brings a bird; the congregation does not bring a bird.</w:t>
            </w:r>
          </w:p>
          <w:p w:rsidR="008C5B42" w:rsidRPr="00C33D00" w:rsidRDefault="008C5B42" w:rsidP="008C5B42">
            <w:pPr>
              <w:pStyle w:val="11"/>
              <w:tabs>
                <w:tab w:val="left" w:pos="288"/>
              </w:tabs>
              <w:spacing w:before="0" w:after="0" w:line="300" w:lineRule="exact"/>
              <w:rPr>
                <w:rFonts w:cs="Times New Roman"/>
                <w:sz w:val="26"/>
                <w:szCs w:val="26"/>
                <w:rtl/>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קורבנו היחיד מיביא עוף אין הציבור מיביא עוף</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2.</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 xml:space="preserve">Is it not a </w:t>
            </w:r>
            <w:r w:rsidRPr="00C33D00">
              <w:rPr>
                <w:rFonts w:cs="Times New Roman"/>
                <w:i/>
                <w:iCs/>
                <w:sz w:val="26"/>
                <w:szCs w:val="26"/>
              </w:rPr>
              <w:t>din</w:t>
            </w:r>
            <w:r w:rsidRPr="00C33D00">
              <w:rPr>
                <w:rFonts w:cs="Times New Roman"/>
                <w:sz w:val="26"/>
                <w:szCs w:val="26"/>
              </w:rPr>
              <w:t>? The animal whole offering comes as a vow and as a freewill offering, and the bird whole offering comes as a vow and as a freewill offering. Just as the animal whole offering, which comes as a vow and as a freewill offering, comes as a freewill offering of the congregation, so the bird whole offering, which comes as a vow and as a freewill offering, should come as a freewill offering of the congregation.</w:t>
            </w:r>
          </w:p>
          <w:p w:rsidR="008C5B42" w:rsidRPr="00C33D00" w:rsidRDefault="008C5B42" w:rsidP="008C5B42">
            <w:pPr>
              <w:pStyle w:val="11"/>
              <w:tabs>
                <w:tab w:val="left" w:pos="288"/>
              </w:tabs>
              <w:spacing w:before="0" w:after="0" w:line="300" w:lineRule="exact"/>
              <w:rPr>
                <w:rFonts w:cs="Times New Roman"/>
                <w:sz w:val="26"/>
                <w:szCs w:val="26"/>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הלא דין הוא עולת בהמה באה בנדר ונדבה ועולת העוף באה בנדר ונדבה מה עולת בהמה שהיא באה בנדר ובנדבה הרי היא באה נידבת צבור אף עולת העוף שהיא באה בנדר ונדבה תבוא נדבת ציבור</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3.</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The meal offering will prove, for it comes as a vow and as a freewill offering, but it does not come as a freewill offering of the congregation.</w:t>
            </w:r>
          </w:p>
          <w:p w:rsidR="008C5B42" w:rsidRPr="00C33D00" w:rsidRDefault="008C5B42" w:rsidP="008C5B42">
            <w:pPr>
              <w:pStyle w:val="11"/>
              <w:tabs>
                <w:tab w:val="left" w:pos="288"/>
              </w:tabs>
              <w:spacing w:before="0" w:after="0" w:line="300" w:lineRule="exact"/>
              <w:rPr>
                <w:rFonts w:cs="Times New Roman"/>
                <w:sz w:val="26"/>
                <w:szCs w:val="26"/>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מנחה תוכיח שהיא באה בנדר ונדבה ואינה באה נדבת ציבור</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4.</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No. If you say concerning the meal offering, which does not come as a freewill offering of two, will you say concerning the bird whole offering, which does come as a freewill offering of two?</w:t>
            </w:r>
          </w:p>
          <w:p w:rsidR="008C5B42" w:rsidRPr="00C33D00" w:rsidRDefault="008C5B42" w:rsidP="008C5B42">
            <w:pPr>
              <w:pStyle w:val="11"/>
              <w:tabs>
                <w:tab w:val="left" w:pos="288"/>
              </w:tabs>
              <w:spacing w:before="0" w:after="0" w:line="300" w:lineRule="exact"/>
              <w:rPr>
                <w:rFonts w:cs="Times New Roman"/>
                <w:sz w:val="26"/>
                <w:szCs w:val="26"/>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לא אם אמרתה במנחה שאינה באה נדבת שנים תאמר בעולת העוף שהיא באה נדבת שניים</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5.</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The peace offering will prove, for it comes as a freewill offering of two, but it does not come as a freewill offering of a congregation.</w:t>
            </w:r>
          </w:p>
          <w:p w:rsidR="008C5B42" w:rsidRPr="00C33D00" w:rsidRDefault="008C5B42" w:rsidP="008C5B42">
            <w:pPr>
              <w:pStyle w:val="11"/>
              <w:tabs>
                <w:tab w:val="left" w:pos="288"/>
              </w:tabs>
              <w:spacing w:before="0" w:after="0" w:line="300" w:lineRule="exact"/>
              <w:rPr>
                <w:rFonts w:cs="Times New Roman"/>
                <w:sz w:val="26"/>
                <w:szCs w:val="26"/>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שלמים יוכיחו שהן באין נדבת שנים ואינן באים נדבת ציבור</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lastRenderedPageBreak/>
              <w:t>6.</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Though the peace offering does not come as a freewill offering of a congregation, it is limited with respect to being whole and male.</w:t>
            </w:r>
            <w:r w:rsidRPr="00C33D00">
              <w:rPr>
                <w:rStyle w:val="FootnoteCharacters"/>
                <w:rFonts w:cs="Times New Roman"/>
                <w:sz w:val="26"/>
                <w:szCs w:val="26"/>
              </w:rPr>
              <w:footnoteReference w:id="8"/>
            </w:r>
            <w:r w:rsidRPr="00C33D00">
              <w:rPr>
                <w:rFonts w:cs="Times New Roman"/>
                <w:sz w:val="26"/>
                <w:szCs w:val="26"/>
              </w:rPr>
              <w:t xml:space="preserve"> Will you say that the bird should not come as a freewill offering of the congregation, when it is not limited with respect to being whole and male? Since it is not limited with respect to being whole and male, it should come </w:t>
            </w:r>
            <w:proofErr w:type="gramStart"/>
            <w:r w:rsidRPr="00C33D00">
              <w:rPr>
                <w:rFonts w:cs="Times New Roman"/>
                <w:sz w:val="26"/>
                <w:szCs w:val="26"/>
              </w:rPr>
              <w:t>as a whole offering</w:t>
            </w:r>
            <w:proofErr w:type="gramEnd"/>
            <w:r w:rsidRPr="00C33D00">
              <w:rPr>
                <w:rFonts w:cs="Times New Roman"/>
                <w:sz w:val="26"/>
                <w:szCs w:val="26"/>
              </w:rPr>
              <w:t xml:space="preserve"> of the congregation.</w:t>
            </w:r>
          </w:p>
          <w:p w:rsidR="008C5B42" w:rsidRPr="00C33D00" w:rsidRDefault="008C5B42" w:rsidP="008C5B42">
            <w:pPr>
              <w:pStyle w:val="11"/>
              <w:tabs>
                <w:tab w:val="left" w:pos="288"/>
              </w:tabs>
              <w:spacing w:before="0" w:after="0" w:line="300" w:lineRule="exact"/>
              <w:rPr>
                <w:rFonts w:cs="Times New Roman"/>
                <w:sz w:val="26"/>
                <w:szCs w:val="26"/>
              </w:rPr>
            </w:pP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מה לשלמים שאינן באים נידב(ו)ת ציבור שהרי ניתמעטו בתמות ובזיכרות תאמר שלא יבוא עוף נדבת ציבור שהרי ניתרבה בתמות ובזיכרות הואיל וניתרבה בתמות ובזיכרות יבוא נידבת ציבור</w:t>
            </w:r>
          </w:p>
        </w:tc>
      </w:tr>
      <w:tr w:rsidR="008C5B42" w:rsidRPr="00C33D00" w:rsidTr="006F0259">
        <w:tc>
          <w:tcPr>
            <w:tcW w:w="411" w:type="dxa"/>
          </w:tcPr>
          <w:p w:rsidR="008C5B42" w:rsidRPr="00C33D00" w:rsidRDefault="008C5B42" w:rsidP="008C5B42">
            <w:pPr>
              <w:pStyle w:val="11"/>
              <w:tabs>
                <w:tab w:val="left" w:pos="288"/>
              </w:tabs>
              <w:spacing w:before="0" w:after="0" w:line="300" w:lineRule="exact"/>
              <w:jc w:val="both"/>
              <w:rPr>
                <w:rFonts w:cs="Times New Roman"/>
                <w:sz w:val="26"/>
                <w:szCs w:val="26"/>
              </w:rPr>
            </w:pPr>
            <w:r w:rsidRPr="00C33D00">
              <w:rPr>
                <w:rFonts w:cs="Times New Roman"/>
                <w:sz w:val="26"/>
                <w:szCs w:val="26"/>
              </w:rPr>
              <w:t>7.</w:t>
            </w:r>
          </w:p>
        </w:tc>
        <w:tc>
          <w:tcPr>
            <w:tcW w:w="3781" w:type="dxa"/>
          </w:tcPr>
          <w:p w:rsidR="008C5B42" w:rsidRPr="00C33D00" w:rsidRDefault="008C5B42" w:rsidP="008C5B42">
            <w:pPr>
              <w:pStyle w:val="11"/>
              <w:tabs>
                <w:tab w:val="left" w:pos="288"/>
              </w:tabs>
              <w:spacing w:before="0" w:after="0" w:line="300" w:lineRule="exact"/>
              <w:rPr>
                <w:rFonts w:cs="Times New Roman"/>
                <w:sz w:val="26"/>
                <w:szCs w:val="26"/>
              </w:rPr>
            </w:pPr>
            <w:r w:rsidRPr="00C33D00">
              <w:rPr>
                <w:rFonts w:cs="Times New Roman"/>
                <w:sz w:val="26"/>
                <w:szCs w:val="26"/>
              </w:rPr>
              <w:t>Hence it says, “his offering”: The individual brings a bird; the congregation does not bring a bird.</w:t>
            </w:r>
          </w:p>
        </w:tc>
        <w:tc>
          <w:tcPr>
            <w:tcW w:w="3206" w:type="dxa"/>
          </w:tcPr>
          <w:p w:rsidR="008C5B42" w:rsidRPr="00C33D00" w:rsidRDefault="008C5B42" w:rsidP="008C5B42">
            <w:pPr>
              <w:pStyle w:val="11"/>
              <w:tabs>
                <w:tab w:val="left" w:pos="288"/>
              </w:tabs>
              <w:spacing w:before="0" w:after="0" w:line="300" w:lineRule="exact"/>
              <w:jc w:val="right"/>
              <w:rPr>
                <w:rFonts w:cs="Times New Roman"/>
                <w:sz w:val="26"/>
                <w:szCs w:val="26"/>
              </w:rPr>
            </w:pPr>
            <w:r w:rsidRPr="00C33D00">
              <w:rPr>
                <w:rFonts w:cs="Times New Roman"/>
                <w:sz w:val="26"/>
                <w:szCs w:val="26"/>
                <w:rtl/>
              </w:rPr>
              <w:t>תל' לו' קורבנו היחיד מיביא עוף אין הציבור מיביא עוף</w:t>
            </w:r>
          </w:p>
        </w:tc>
      </w:tr>
    </w:tbl>
    <w:p w:rsidR="008C5B42" w:rsidRDefault="008C5B42" w:rsidP="008C5B42">
      <w:pPr>
        <w:pStyle w:val="11"/>
        <w:tabs>
          <w:tab w:val="left" w:pos="288"/>
        </w:tabs>
        <w:spacing w:before="0" w:after="0" w:line="300" w:lineRule="exact"/>
        <w:jc w:val="both"/>
        <w:rPr>
          <w:rFonts w:cs="Times New Roman"/>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From the singular pronominal suffix “his” in Lev 1:14, the </w:t>
      </w:r>
      <w:proofErr w:type="spellStart"/>
      <w:r w:rsidRPr="00FD6165">
        <w:rPr>
          <w:rFonts w:cs="Times New Roman"/>
          <w:sz w:val="26"/>
          <w:szCs w:val="26"/>
        </w:rPr>
        <w:t>Sifra</w:t>
      </w:r>
      <w:proofErr w:type="spellEnd"/>
      <w:r w:rsidRPr="00FD6165">
        <w:rPr>
          <w:rFonts w:cs="Times New Roman"/>
          <w:sz w:val="26"/>
          <w:szCs w:val="26"/>
        </w:rPr>
        <w:t xml:space="preserve"> deduces that only an individual, not the congregation, can make a freewill bird whole offering (stage 1). Stage 2 introduces a </w:t>
      </w:r>
      <w:r w:rsidRPr="00FD6165">
        <w:rPr>
          <w:rFonts w:cs="Times New Roman"/>
          <w:i/>
          <w:iCs/>
          <w:sz w:val="26"/>
          <w:szCs w:val="26"/>
        </w:rPr>
        <w:t>din</w:t>
      </w:r>
      <w:r w:rsidRPr="00FD6165">
        <w:rPr>
          <w:rFonts w:cs="Times New Roman"/>
          <w:sz w:val="26"/>
          <w:szCs w:val="26"/>
        </w:rPr>
        <w:t xml:space="preserve"> that suggests otherwise. This time the attack on the </w:t>
      </w:r>
      <w:r w:rsidRPr="00FD6165">
        <w:rPr>
          <w:rFonts w:cs="Times New Roman"/>
          <w:i/>
          <w:iCs/>
          <w:sz w:val="26"/>
          <w:szCs w:val="26"/>
        </w:rPr>
        <w:t>din</w:t>
      </w:r>
      <w:r w:rsidRPr="00FD6165">
        <w:rPr>
          <w:rFonts w:cs="Times New Roman"/>
          <w:sz w:val="26"/>
          <w:szCs w:val="26"/>
        </w:rPr>
        <w:t xml:space="preserve"> begins with a prove-argument (stage 3), which is parried by a say-argument (stage 4). The dialectic repeats, with another prove-argument (stage 5), and, in response, another say-argument (stage 6). This last say-argument defends the </w:t>
      </w:r>
      <w:r w:rsidRPr="00FD6165">
        <w:rPr>
          <w:rFonts w:cs="Times New Roman"/>
          <w:i/>
          <w:iCs/>
          <w:sz w:val="26"/>
          <w:szCs w:val="26"/>
        </w:rPr>
        <w:t>din</w:t>
      </w:r>
      <w:r w:rsidRPr="00FD6165">
        <w:rPr>
          <w:rFonts w:cs="Times New Roman"/>
          <w:sz w:val="26"/>
          <w:szCs w:val="26"/>
        </w:rPr>
        <w:t xml:space="preserve">, and thus yields to the prooftext (stage 7), which refutes the </w:t>
      </w:r>
      <w:r w:rsidRPr="00FD6165">
        <w:rPr>
          <w:rFonts w:cs="Times New Roman"/>
          <w:i/>
          <w:iCs/>
          <w:sz w:val="26"/>
          <w:szCs w:val="26"/>
        </w:rPr>
        <w:t>din</w:t>
      </w:r>
      <w:r w:rsidRPr="00FD6165">
        <w:rPr>
          <w:rFonts w:cs="Times New Roman"/>
          <w:sz w:val="26"/>
          <w:szCs w:val="26"/>
        </w:rPr>
        <w:t>.</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A comparison between the say-argument of stage 4 and that of stage 6 reveals that only in stage 6 is the implication of the say-argument clarified with an addendum: “Since it is not limited, etc.” The absence of such an addendum at stage 4 confirms that, from a logical standpoint, </w:t>
      </w:r>
      <w:r w:rsidRPr="00FD6165">
        <w:rPr>
          <w:rFonts w:cs="Times New Roman"/>
          <w:sz w:val="26"/>
          <w:szCs w:val="26"/>
        </w:rPr>
        <w:lastRenderedPageBreak/>
        <w:t>it is superfluous. In case 1, at stage 3, which also features a say-argument, the addendum is likewise absent. As the “since” clause occurs as a non-obligatory addendum to the say-argument, so the prove-argument in case 1, at stage 4, is extended by a rhetorical conclusion that restates its conclusion: “So you should not wonder about the floor offering, etc.” This addendum does not occur in either of the prove-arguments in case 2, at stages 3 and 5. The distribution of both addenda, which we shall call the since-addendum and the wonder-addendum, is clear: they only occur when the argument to which they attach is in final position, immediately prior to the prooftext. Hence, the since-addendum can occur only in dialectical paths of the categories 1b and 2a, and the wonder-addendum only in those of categories 1a and 2b.</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Not surprisingly, when, as on rare instances of category 1a, two prove-arguments occur, only the second contains the wonder-addendum. The following case (</w:t>
      </w:r>
      <w:proofErr w:type="spellStart"/>
      <w:r w:rsidRPr="00FD6165">
        <w:rPr>
          <w:rFonts w:cs="Times New Roman"/>
          <w:sz w:val="26"/>
          <w:szCs w:val="26"/>
        </w:rPr>
        <w:t>Sifra</w:t>
      </w:r>
      <w:proofErr w:type="spellEnd"/>
      <w:r w:rsidRPr="00FD6165">
        <w:rPr>
          <w:rFonts w:cs="Times New Roman"/>
          <w:sz w:val="26"/>
          <w:szCs w:val="26"/>
        </w:rPr>
        <w:t xml:space="preserve"> </w:t>
      </w:r>
      <w:proofErr w:type="spellStart"/>
      <w:r w:rsidRPr="00FD6165">
        <w:rPr>
          <w:rFonts w:cs="Times New Roman"/>
          <w:i/>
          <w:iCs/>
          <w:sz w:val="26"/>
          <w:szCs w:val="26"/>
        </w:rPr>
        <w:t>Nedava</w:t>
      </w:r>
      <w:proofErr w:type="spellEnd"/>
      <w:r w:rsidRPr="00FD6165">
        <w:rPr>
          <w:rFonts w:cs="Times New Roman"/>
          <w:sz w:val="26"/>
          <w:szCs w:val="26"/>
        </w:rPr>
        <w:t xml:space="preserve"> 3:2 [Weiss ed., 5a) is illustrative.</w:t>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Pr="00017AC2" w:rsidRDefault="008C5B42" w:rsidP="008C5B42">
      <w:pPr>
        <w:pStyle w:val="11"/>
        <w:keepNext/>
        <w:tabs>
          <w:tab w:val="left" w:pos="288"/>
        </w:tabs>
        <w:spacing w:before="0" w:after="0" w:line="300" w:lineRule="exact"/>
        <w:jc w:val="both"/>
        <w:rPr>
          <w:rFonts w:cs="Times New Roman"/>
          <w:b/>
          <w:bCs/>
          <w:i/>
          <w:iCs/>
          <w:sz w:val="26"/>
          <w:szCs w:val="26"/>
        </w:rPr>
      </w:pPr>
      <w:r w:rsidRPr="00017AC2">
        <w:rPr>
          <w:rFonts w:cs="Times New Roman"/>
          <w:b/>
          <w:bCs/>
          <w:i/>
          <w:iCs/>
          <w:sz w:val="26"/>
          <w:szCs w:val="26"/>
        </w:rPr>
        <w:t>Case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451"/>
        <w:gridCol w:w="2389"/>
      </w:tblGrid>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“Your offering” (Lev 1:2): This teaches that it (the animal whole offering) comes as a freewill offering of the community</w:t>
            </w:r>
            <w:r>
              <w:rPr>
                <w:rFonts w:cs="Times New Roman"/>
                <w:sz w:val="26"/>
                <w:szCs w:val="26"/>
              </w:rPr>
              <w:t>.</w:t>
            </w:r>
          </w:p>
          <w:p w:rsidR="008C5B42" w:rsidRPr="002F64DD" w:rsidRDefault="008C5B42" w:rsidP="008C5B42">
            <w:pPr>
              <w:pStyle w:val="11"/>
              <w:tabs>
                <w:tab w:val="left" w:pos="288"/>
              </w:tabs>
              <w:spacing w:before="0" w:after="0" w:line="300" w:lineRule="exact"/>
              <w:rPr>
                <w:rFonts w:cs="Times New Roman" w:hint="cs"/>
                <w:sz w:val="26"/>
                <w:szCs w:val="26"/>
                <w:rtl/>
              </w:rPr>
            </w:pPr>
            <w:r w:rsidRPr="002F64DD">
              <w:rPr>
                <w:rFonts w:cs="Times New Roman"/>
                <w:sz w:val="26"/>
                <w:szCs w:val="26"/>
                <w:rtl/>
              </w:rPr>
              <w:t xml:space="preserve"> </w:t>
            </w: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קרבנכם מלמד שהיא באה נדבת ציבור</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But is it (the inverse) not a </w:t>
            </w:r>
            <w:r w:rsidRPr="00FD6165">
              <w:rPr>
                <w:rFonts w:cs="Times New Roman"/>
                <w:i/>
                <w:iCs/>
                <w:sz w:val="26"/>
                <w:szCs w:val="26"/>
              </w:rPr>
              <w:t>din</w:t>
            </w:r>
            <w:r w:rsidRPr="00FD6165">
              <w:rPr>
                <w:rFonts w:cs="Times New Roman"/>
                <w:sz w:val="26"/>
                <w:szCs w:val="26"/>
              </w:rPr>
              <w:t>? The meal offering comes as a vow and as a freewill offering, and the animal whole offering comes as a vow and as a freewill offering.  Just as the meal offering, which comes as a vow and as a freewill offering, does not come as a freewill offering of the congregation, so the animal whole offering, which comes as a vow and as a freewill offering, should not come as a freewill offering of the congregation.</w:t>
            </w:r>
          </w:p>
          <w:p w:rsidR="008C5B42" w:rsidRPr="002F64DD" w:rsidRDefault="008C5B42" w:rsidP="008C5B42">
            <w:pPr>
              <w:pStyle w:val="11"/>
              <w:tabs>
                <w:tab w:val="left" w:pos="288"/>
              </w:tabs>
              <w:spacing w:before="0" w:after="0" w:line="300" w:lineRule="exact"/>
              <w:rPr>
                <w:rFonts w:cs="Times New Roman"/>
                <w:sz w:val="26"/>
                <w:szCs w:val="26"/>
              </w:rPr>
            </w:pP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והלא דין הוא מנחה באה בנדר ונדבה ועולת בהמה באה בנדר ונדבה מה מנחה שהיא באה בנדר ונדבה אינה באה נדבת ציבור אף עולת בהמה שהיא באה בנדר ונדבה לא תבא נדבת ציבור</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809" w:type="dxa"/>
          </w:tcPr>
          <w:p w:rsidR="008C5B42" w:rsidRPr="002F64DD" w:rsidRDefault="008C5B42" w:rsidP="0084162B">
            <w:pPr>
              <w:pStyle w:val="11"/>
              <w:tabs>
                <w:tab w:val="left" w:pos="288"/>
              </w:tabs>
              <w:spacing w:before="0" w:after="0" w:line="300" w:lineRule="exact"/>
              <w:rPr>
                <w:rFonts w:cs="Times New Roman"/>
                <w:sz w:val="26"/>
                <w:szCs w:val="26"/>
              </w:rPr>
            </w:pPr>
            <w:r w:rsidRPr="00FD6165">
              <w:rPr>
                <w:rFonts w:cs="Times New Roman"/>
                <w:sz w:val="26"/>
                <w:szCs w:val="26"/>
              </w:rPr>
              <w:t xml:space="preserve">No. If you say concerning the meal offering, which does not come as a freewill offering of two, will you say concerning the animal whole offering, </w:t>
            </w:r>
            <w:r w:rsidRPr="00FD6165">
              <w:rPr>
                <w:rFonts w:cs="Times New Roman"/>
                <w:sz w:val="26"/>
                <w:szCs w:val="26"/>
              </w:rPr>
              <w:lastRenderedPageBreak/>
              <w:t>which does come as a freewill offering of two?</w:t>
            </w: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lastRenderedPageBreak/>
              <w:t>לא אם אמרת במנחה שאינה באה נדבת שנים תאמר בעולת בהמה שהיא באה נדבת שנים</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The bird whole offering will prove, for it comes as a freewill offering of two but it does not come as a freewill offering of the community.</w:t>
            </w:r>
          </w:p>
          <w:p w:rsidR="008C5B42" w:rsidRPr="002F64DD" w:rsidRDefault="008C5B42" w:rsidP="008C5B42">
            <w:pPr>
              <w:pStyle w:val="11"/>
              <w:tabs>
                <w:tab w:val="left" w:pos="288"/>
              </w:tabs>
              <w:spacing w:before="0" w:after="0" w:line="300" w:lineRule="exact"/>
              <w:rPr>
                <w:rFonts w:cs="Times New Roman"/>
                <w:sz w:val="26"/>
                <w:szCs w:val="26"/>
              </w:rPr>
            </w:pP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עולת העוף תוכיח שהיא באה נדבת שנים ואינה באה נדבת ציבור</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5</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No. If you say of the bird whole offering, which does not come in fulfillment of a community obligation, will you say concerning the animal whole offering, which does come in fulfillment of a community obligation?</w:t>
            </w:r>
          </w:p>
          <w:p w:rsidR="008C5B42" w:rsidRPr="002F64DD" w:rsidRDefault="008C5B42" w:rsidP="008C5B42">
            <w:pPr>
              <w:pStyle w:val="11"/>
              <w:tabs>
                <w:tab w:val="left" w:pos="288"/>
              </w:tabs>
              <w:spacing w:before="0" w:after="0" w:line="300" w:lineRule="exact"/>
              <w:rPr>
                <w:rFonts w:cs="Times New Roman"/>
                <w:sz w:val="26"/>
                <w:szCs w:val="26"/>
              </w:rPr>
            </w:pP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לא אם אמרת בעולת העוף שאינה באה חובת ציבור תאמר בעולת בהמה שהיא באה חובת ציבור</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6</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The peace offering will prove, for it comes in fulfillment of an obligation of the community but it does not come as a freewill offering of the community.</w:t>
            </w:r>
            <w:r w:rsidR="00EA590F">
              <w:rPr>
                <w:rFonts w:cs="Times New Roman"/>
                <w:sz w:val="26"/>
                <w:szCs w:val="26"/>
              </w:rPr>
              <w:t xml:space="preserve"> </w:t>
            </w:r>
            <w:proofErr w:type="gramStart"/>
            <w:r w:rsidRPr="00FD6165">
              <w:rPr>
                <w:rFonts w:cs="Times New Roman"/>
                <w:sz w:val="26"/>
                <w:szCs w:val="26"/>
              </w:rPr>
              <w:t>So</w:t>
            </w:r>
            <w:proofErr w:type="gramEnd"/>
            <w:r w:rsidRPr="00FD6165">
              <w:rPr>
                <w:rFonts w:cs="Times New Roman"/>
                <w:sz w:val="26"/>
                <w:szCs w:val="26"/>
              </w:rPr>
              <w:t xml:space="preserve"> you should not wonder about the animal whole offering, that even though it comes in fulfillment of an obligation of the community, it should not come as a freewill offering of the community.</w:t>
            </w:r>
          </w:p>
          <w:p w:rsidR="008C5B42" w:rsidRPr="002F64DD" w:rsidRDefault="008C5B42" w:rsidP="008C5B42">
            <w:pPr>
              <w:pStyle w:val="11"/>
              <w:tabs>
                <w:tab w:val="left" w:pos="288"/>
              </w:tabs>
              <w:spacing w:before="0" w:after="0" w:line="300" w:lineRule="exact"/>
              <w:rPr>
                <w:rFonts w:cs="Times New Roman"/>
                <w:sz w:val="26"/>
                <w:szCs w:val="26"/>
              </w:rPr>
            </w:pP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שלמים יוכיחו שהן באין חובת ציבור ואינן באין נדבת ציבור אף אתה אל תתמה על עולת בהמה שאף על פי שהיא באה חובת ציבור לא תבוא נדבת צבור</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7</w:t>
            </w:r>
            <w:r>
              <w:rPr>
                <w:rFonts w:cs="Times New Roman"/>
                <w:sz w:val="26"/>
                <w:szCs w:val="26"/>
              </w:rPr>
              <w:t>.</w:t>
            </w:r>
          </w:p>
        </w:tc>
        <w:tc>
          <w:tcPr>
            <w:tcW w:w="480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“your offering”: This teaches that it comes as a freewill offering of the community.</w:t>
            </w:r>
          </w:p>
          <w:p w:rsidR="008C5B42" w:rsidRPr="002F64DD" w:rsidRDefault="008C5B42" w:rsidP="008C5B42">
            <w:pPr>
              <w:pStyle w:val="11"/>
              <w:tabs>
                <w:tab w:val="left" w:pos="288"/>
              </w:tabs>
              <w:spacing w:before="0" w:after="0" w:line="300" w:lineRule="exact"/>
              <w:rPr>
                <w:rFonts w:cs="Times New Roman"/>
                <w:sz w:val="26"/>
                <w:szCs w:val="26"/>
              </w:rPr>
            </w:pPr>
          </w:p>
        </w:tc>
        <w:tc>
          <w:tcPr>
            <w:tcW w:w="257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תל' לו' קרבנכם מלמ' שהיא באה נדבת ציבור</w:t>
            </w:r>
          </w:p>
        </w:tc>
      </w:tr>
    </w:tbl>
    <w:p w:rsidR="008C5B42" w:rsidRPr="00FD6165" w:rsidRDefault="008C5B42" w:rsidP="008C5B42">
      <w:pPr>
        <w:pStyle w:val="11"/>
        <w:tabs>
          <w:tab w:val="left" w:pos="288"/>
        </w:tabs>
        <w:spacing w:before="0" w:after="0" w:line="300" w:lineRule="exact"/>
        <w:ind w:left="1440" w:right="1440" w:firstLine="288"/>
        <w:jc w:val="both"/>
        <w:rPr>
          <w:rFonts w:cs="Times New Roman"/>
          <w:b/>
          <w:bCs/>
          <w:sz w:val="26"/>
          <w:szCs w:val="26"/>
        </w:rPr>
      </w:pPr>
      <w:r w:rsidRPr="00FD6165">
        <w:rPr>
          <w:rFonts w:cs="Times New Roman"/>
          <w:b/>
          <w:bCs/>
          <w:sz w:val="26"/>
          <w:szCs w:val="26"/>
        </w:rPr>
        <w:t xml:space="preserve"> </w:t>
      </w:r>
    </w:p>
    <w:p w:rsidR="008C5B42" w:rsidRPr="00FD6165" w:rsidRDefault="008C5B42" w:rsidP="001D7CCE">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The </w:t>
      </w:r>
      <w:r w:rsidRPr="00FD6165">
        <w:rPr>
          <w:rFonts w:cs="Times New Roman"/>
          <w:i/>
          <w:iCs/>
          <w:sz w:val="26"/>
          <w:szCs w:val="26"/>
        </w:rPr>
        <w:t>din</w:t>
      </w:r>
      <w:r w:rsidRPr="00FD6165">
        <w:rPr>
          <w:rFonts w:cs="Times New Roman"/>
          <w:sz w:val="26"/>
          <w:szCs w:val="26"/>
        </w:rPr>
        <w:t xml:space="preserve"> reaches a conclusion opposite to that which the verse will teach. The aim of the dialectic that follows is to uphold the </w:t>
      </w:r>
      <w:r w:rsidRPr="00FD6165">
        <w:rPr>
          <w:rFonts w:cs="Times New Roman"/>
          <w:i/>
          <w:iCs/>
          <w:sz w:val="26"/>
          <w:szCs w:val="26"/>
        </w:rPr>
        <w:t>din</w:t>
      </w:r>
      <w:r w:rsidRPr="00FD6165">
        <w:rPr>
          <w:rFonts w:cs="Times New Roman"/>
          <w:sz w:val="26"/>
          <w:szCs w:val="26"/>
        </w:rPr>
        <w:t xml:space="preserve">. The </w:t>
      </w:r>
      <w:proofErr w:type="spellStart"/>
      <w:r w:rsidRPr="00FD6165">
        <w:rPr>
          <w:rFonts w:cs="Times New Roman"/>
          <w:sz w:val="26"/>
          <w:szCs w:val="26"/>
        </w:rPr>
        <w:t>Sifra</w:t>
      </w:r>
      <w:proofErr w:type="spellEnd"/>
      <w:r w:rsidRPr="00FD6165">
        <w:rPr>
          <w:rFonts w:cs="Times New Roman"/>
          <w:sz w:val="26"/>
          <w:szCs w:val="26"/>
        </w:rPr>
        <w:t xml:space="preserve"> first challenges the </w:t>
      </w:r>
      <w:r w:rsidRPr="00FD6165">
        <w:rPr>
          <w:rFonts w:cs="Times New Roman"/>
          <w:i/>
          <w:iCs/>
          <w:sz w:val="26"/>
          <w:szCs w:val="26"/>
        </w:rPr>
        <w:t>din</w:t>
      </w:r>
      <w:r w:rsidRPr="00FD6165">
        <w:rPr>
          <w:rFonts w:cs="Times New Roman"/>
          <w:sz w:val="26"/>
          <w:szCs w:val="26"/>
        </w:rPr>
        <w:t xml:space="preserve"> with a say-argument (stage 3), then rebuts the latter with a prove-argument (stage 4), then introduces another challenge, and the response thereto, in stages 5 and 6. Of the two prove-arguments, in stages 4 and 6, only the second, immediately prior to the prooftext (in stage 7), includes the wonder-addendum. In neither of the two say-arguments (stages 3 and 5) does the since-addendum occur, because neither represents the final stage of the dialectic.</w:t>
      </w:r>
      <w:r w:rsidRPr="00FD6165">
        <w:rPr>
          <w:rStyle w:val="FootnoteCharacters"/>
          <w:rFonts w:cs="Times New Roman"/>
          <w:sz w:val="26"/>
          <w:szCs w:val="26"/>
        </w:rPr>
        <w:footnoteReference w:id="9"/>
      </w:r>
      <w:r w:rsidRPr="00FD6165">
        <w:rPr>
          <w:rFonts w:cs="Times New Roman"/>
          <w:sz w:val="26"/>
          <w:szCs w:val="26"/>
        </w:rPr>
        <w:t xml:space="preserve"> A review of </w:t>
      </w:r>
      <w:proofErr w:type="gramStart"/>
      <w:r w:rsidRPr="00FD6165">
        <w:rPr>
          <w:rFonts w:cs="Times New Roman"/>
          <w:sz w:val="26"/>
          <w:szCs w:val="26"/>
        </w:rPr>
        <w:t>all of</w:t>
      </w:r>
      <w:proofErr w:type="gramEnd"/>
      <w:r w:rsidRPr="00FD6165">
        <w:rPr>
          <w:rFonts w:cs="Times New Roman"/>
          <w:sz w:val="26"/>
          <w:szCs w:val="26"/>
        </w:rPr>
        <w:t xml:space="preserve"> the </w:t>
      </w:r>
      <w:r w:rsidRPr="00FD6165">
        <w:rPr>
          <w:rFonts w:cs="Times New Roman"/>
          <w:sz w:val="26"/>
          <w:szCs w:val="26"/>
        </w:rPr>
        <w:lastRenderedPageBreak/>
        <w:t xml:space="preserve">say-arguments and prove-arguments in the first two sections of the </w:t>
      </w:r>
      <w:proofErr w:type="spellStart"/>
      <w:r w:rsidRPr="00FD6165">
        <w:rPr>
          <w:rFonts w:cs="Times New Roman"/>
          <w:sz w:val="26"/>
          <w:szCs w:val="26"/>
        </w:rPr>
        <w:t>Sifra</w:t>
      </w:r>
      <w:proofErr w:type="spellEnd"/>
      <w:r w:rsidRPr="00FD6165">
        <w:rPr>
          <w:rFonts w:cs="Times New Roman"/>
          <w:sz w:val="26"/>
          <w:szCs w:val="26"/>
        </w:rPr>
        <w:t xml:space="preserve"> suggests that the inverse of the addenda constraint also holds: if a say-argument or prove-argument is not supplemented by its respective addendum, then it does not occur in final (pre-prooftext) position.</w:t>
      </w:r>
    </w:p>
    <w:p w:rsidR="008C5B42" w:rsidRPr="00FD6165" w:rsidRDefault="008C5B42" w:rsidP="008C5B42">
      <w:pPr>
        <w:pStyle w:val="11"/>
        <w:tabs>
          <w:tab w:val="left" w:pos="288"/>
        </w:tabs>
        <w:spacing w:before="0" w:after="0" w:line="300" w:lineRule="exact"/>
        <w:ind w:firstLine="288"/>
        <w:jc w:val="both"/>
        <w:rPr>
          <w:rFonts w:cs="Times New Roman"/>
          <w:b/>
          <w:bCs/>
          <w:sz w:val="26"/>
          <w:szCs w:val="26"/>
        </w:rPr>
      </w:pPr>
      <w:r w:rsidRPr="00FD6165">
        <w:rPr>
          <w:rFonts w:cs="Times New Roman"/>
          <w:sz w:val="26"/>
          <w:szCs w:val="26"/>
        </w:rPr>
        <w:t xml:space="preserve">Before reflecting on the significance of the restriction of the addenda to dialectic-final position, let us take note of the distribution of the addenda in the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corpus. Both occur most commonly, by far, in </w:t>
      </w:r>
      <w:proofErr w:type="spellStart"/>
      <w:r w:rsidRPr="00FD6165">
        <w:rPr>
          <w:rFonts w:cs="Times New Roman"/>
          <w:sz w:val="26"/>
          <w:szCs w:val="26"/>
        </w:rPr>
        <w:t>Akivan</w:t>
      </w:r>
      <w:proofErr w:type="spellEnd"/>
      <w:r w:rsidRPr="00FD6165">
        <w:rPr>
          <w:rFonts w:cs="Times New Roman"/>
          <w:sz w:val="26"/>
          <w:szCs w:val="26"/>
        </w:rPr>
        <w:t xml:space="preserve"> sections of the </w:t>
      </w:r>
      <w:proofErr w:type="spellStart"/>
      <w:r w:rsidRPr="00FD6165">
        <w:rPr>
          <w:rFonts w:cs="Times New Roman"/>
          <w:sz w:val="26"/>
          <w:szCs w:val="26"/>
        </w:rPr>
        <w:t>Sifra</w:t>
      </w:r>
      <w:proofErr w:type="spellEnd"/>
      <w:r w:rsidRPr="00FD6165">
        <w:rPr>
          <w:rFonts w:cs="Times New Roman"/>
          <w:sz w:val="26"/>
          <w:szCs w:val="26"/>
        </w:rPr>
        <w:t xml:space="preserve">. Scattered occurrences of one or the other addendum, or both, in the Mishnah, and in the other works of </w:t>
      </w:r>
      <w:proofErr w:type="spellStart"/>
      <w:r w:rsidRPr="00FD6165">
        <w:rPr>
          <w:rFonts w:cs="Times New Roman"/>
          <w:sz w:val="26"/>
          <w:szCs w:val="26"/>
        </w:rPr>
        <w:t>Akivan</w:t>
      </w:r>
      <w:proofErr w:type="spellEnd"/>
      <w:r w:rsidRPr="00FD6165">
        <w:rPr>
          <w:rFonts w:cs="Times New Roman"/>
          <w:sz w:val="26"/>
          <w:szCs w:val="26"/>
        </w:rPr>
        <w:t xml:space="preserve"> Midrash (</w:t>
      </w:r>
      <w:proofErr w:type="spellStart"/>
      <w:r w:rsidRPr="00FD6165">
        <w:rPr>
          <w:rFonts w:cs="Times New Roman"/>
          <w:sz w:val="26"/>
          <w:szCs w:val="26"/>
        </w:rPr>
        <w:t>Mek</w:t>
      </w:r>
      <w:proofErr w:type="spellEnd"/>
      <w:r w:rsidRPr="00FD6165">
        <w:rPr>
          <w:rFonts w:cs="Times New Roman"/>
          <w:sz w:val="26"/>
          <w:szCs w:val="26"/>
        </w:rPr>
        <w:t xml:space="preserve">. R. Shimon; </w:t>
      </w:r>
      <w:proofErr w:type="spellStart"/>
      <w:r w:rsidRPr="00FD6165">
        <w:rPr>
          <w:rFonts w:cs="Times New Roman"/>
          <w:sz w:val="26"/>
          <w:szCs w:val="26"/>
        </w:rPr>
        <w:t>Sifre</w:t>
      </w:r>
      <w:proofErr w:type="spellEnd"/>
      <w:r w:rsidRPr="00FD6165">
        <w:rPr>
          <w:rFonts w:cs="Times New Roman"/>
          <w:sz w:val="26"/>
          <w:szCs w:val="26"/>
        </w:rPr>
        <w:t xml:space="preserve"> </w:t>
      </w:r>
      <w:proofErr w:type="spellStart"/>
      <w:r w:rsidRPr="00FD6165">
        <w:rPr>
          <w:rFonts w:cs="Times New Roman"/>
          <w:sz w:val="26"/>
          <w:szCs w:val="26"/>
        </w:rPr>
        <w:t>Zuta</w:t>
      </w:r>
      <w:proofErr w:type="spellEnd"/>
      <w:r w:rsidRPr="00FD6165">
        <w:rPr>
          <w:rFonts w:cs="Times New Roman"/>
          <w:sz w:val="26"/>
          <w:szCs w:val="26"/>
        </w:rPr>
        <w:t xml:space="preserve"> Numbers; </w:t>
      </w:r>
      <w:proofErr w:type="spellStart"/>
      <w:r w:rsidRPr="00FD6165">
        <w:rPr>
          <w:rFonts w:cs="Times New Roman"/>
          <w:sz w:val="26"/>
          <w:szCs w:val="26"/>
        </w:rPr>
        <w:t>Sifre</w:t>
      </w:r>
      <w:proofErr w:type="spellEnd"/>
      <w:r w:rsidRPr="00FD6165">
        <w:rPr>
          <w:rFonts w:cs="Times New Roman"/>
          <w:sz w:val="26"/>
          <w:szCs w:val="26"/>
        </w:rPr>
        <w:t xml:space="preserve"> Deuteronomy) confirm that the addenda are characteristically </w:t>
      </w:r>
      <w:proofErr w:type="spellStart"/>
      <w:r w:rsidRPr="00FD6165">
        <w:rPr>
          <w:rFonts w:cs="Times New Roman"/>
          <w:sz w:val="26"/>
          <w:szCs w:val="26"/>
        </w:rPr>
        <w:t>Akivan</w:t>
      </w:r>
      <w:proofErr w:type="spellEnd"/>
      <w:r w:rsidRPr="00FD6165">
        <w:rPr>
          <w:rFonts w:cs="Times New Roman"/>
          <w:sz w:val="26"/>
          <w:szCs w:val="26"/>
        </w:rPr>
        <w:t>.</w:t>
      </w:r>
      <w:r w:rsidRPr="00FD6165">
        <w:rPr>
          <w:rStyle w:val="FootnoteCharacters"/>
          <w:rFonts w:cs="Times New Roman"/>
          <w:sz w:val="26"/>
          <w:szCs w:val="26"/>
        </w:rPr>
        <w:footnoteReference w:id="10"/>
      </w:r>
      <w:r w:rsidRPr="00FD6165">
        <w:rPr>
          <w:rFonts w:cs="Times New Roman"/>
          <w:sz w:val="26"/>
          <w:szCs w:val="26"/>
        </w:rPr>
        <w:t xml:space="preserve"> Notably, however, long, anonymous dialectical chains occur only in the </w:t>
      </w:r>
      <w:proofErr w:type="spellStart"/>
      <w:r w:rsidRPr="00FD6165">
        <w:rPr>
          <w:rFonts w:cs="Times New Roman"/>
          <w:sz w:val="26"/>
          <w:szCs w:val="26"/>
        </w:rPr>
        <w:t>Sifra</w:t>
      </w:r>
      <w:proofErr w:type="spellEnd"/>
      <w:r w:rsidRPr="00FD6165">
        <w:rPr>
          <w:rFonts w:cs="Times New Roman"/>
          <w:sz w:val="26"/>
          <w:szCs w:val="26"/>
        </w:rPr>
        <w:t xml:space="preserve">, not in other works of </w:t>
      </w:r>
      <w:proofErr w:type="spellStart"/>
      <w:r w:rsidRPr="00FD6165">
        <w:rPr>
          <w:rFonts w:cs="Times New Roman"/>
          <w:sz w:val="26"/>
          <w:szCs w:val="26"/>
        </w:rPr>
        <w:t>Akivan</w:t>
      </w:r>
      <w:proofErr w:type="spellEnd"/>
      <w:r w:rsidRPr="00FD6165">
        <w:rPr>
          <w:rFonts w:cs="Times New Roman"/>
          <w:sz w:val="26"/>
          <w:szCs w:val="26"/>
        </w:rPr>
        <w:t xml:space="preserve"> Midrash.</w:t>
      </w:r>
      <w:r w:rsidRPr="00FD6165">
        <w:rPr>
          <w:rStyle w:val="FootnoteCharacters"/>
          <w:rFonts w:cs="Times New Roman"/>
          <w:sz w:val="26"/>
          <w:szCs w:val="26"/>
        </w:rPr>
        <w:footnoteReference w:id="11"/>
      </w:r>
      <w:r w:rsidRPr="00FD6165">
        <w:rPr>
          <w:rFonts w:cs="Times New Roman"/>
          <w:sz w:val="26"/>
          <w:szCs w:val="26"/>
        </w:rPr>
        <w:t xml:space="preserve"> The </w:t>
      </w:r>
      <w:proofErr w:type="spellStart"/>
      <w:r w:rsidRPr="00FD6165">
        <w:rPr>
          <w:rFonts w:cs="Times New Roman"/>
          <w:sz w:val="26"/>
          <w:szCs w:val="26"/>
        </w:rPr>
        <w:t>Akivan</w:t>
      </w:r>
      <w:proofErr w:type="spellEnd"/>
      <w:r w:rsidRPr="00FD6165">
        <w:rPr>
          <w:rFonts w:cs="Times New Roman"/>
          <w:sz w:val="26"/>
          <w:szCs w:val="26"/>
        </w:rPr>
        <w:t xml:space="preserve"> character of the addenda finds additional confirmation in the occurrence in exegetical works from the school of R. Ishmael of structurally equivalent addenda that differ terminologically and </w:t>
      </w:r>
      <w:proofErr w:type="spellStart"/>
      <w:r w:rsidRPr="00FD6165">
        <w:rPr>
          <w:rFonts w:cs="Times New Roman"/>
          <w:sz w:val="26"/>
          <w:szCs w:val="26"/>
        </w:rPr>
        <w:t>distributionally</w:t>
      </w:r>
      <w:proofErr w:type="spellEnd"/>
      <w:r w:rsidRPr="00FD6165">
        <w:rPr>
          <w:rFonts w:cs="Times New Roman"/>
          <w:sz w:val="26"/>
          <w:szCs w:val="26"/>
        </w:rPr>
        <w:t xml:space="preserve"> from their </w:t>
      </w:r>
      <w:proofErr w:type="spellStart"/>
      <w:r w:rsidRPr="00FD6165">
        <w:rPr>
          <w:rFonts w:cs="Times New Roman"/>
          <w:sz w:val="26"/>
          <w:szCs w:val="26"/>
        </w:rPr>
        <w:t>Akivan</w:t>
      </w:r>
      <w:proofErr w:type="spellEnd"/>
      <w:r w:rsidRPr="00FD6165">
        <w:rPr>
          <w:rFonts w:cs="Times New Roman"/>
          <w:sz w:val="26"/>
          <w:szCs w:val="26"/>
        </w:rPr>
        <w:t xml:space="preserve"> counterparts. Most importantly, for the current purposes, they occur throughout the dialectic, not specifically in final position. We will return to these </w:t>
      </w:r>
      <w:proofErr w:type="spellStart"/>
      <w:r w:rsidRPr="00FD6165">
        <w:rPr>
          <w:rFonts w:cs="Times New Roman"/>
          <w:sz w:val="26"/>
          <w:szCs w:val="26"/>
        </w:rPr>
        <w:t>Ishmaelian</w:t>
      </w:r>
      <w:proofErr w:type="spellEnd"/>
      <w:r w:rsidRPr="00FD6165">
        <w:rPr>
          <w:rFonts w:cs="Times New Roman"/>
          <w:sz w:val="26"/>
          <w:szCs w:val="26"/>
        </w:rPr>
        <w:t xml:space="preserve"> terms in section four.</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Within the school of R. </w:t>
      </w:r>
      <w:proofErr w:type="spellStart"/>
      <w:r w:rsidRPr="00FD6165">
        <w:rPr>
          <w:rFonts w:cs="Times New Roman"/>
          <w:sz w:val="26"/>
          <w:szCs w:val="26"/>
        </w:rPr>
        <w:t>Akiva</w:t>
      </w:r>
      <w:proofErr w:type="spellEnd"/>
      <w:r w:rsidRPr="00FD6165">
        <w:rPr>
          <w:rFonts w:cs="Times New Roman"/>
          <w:sz w:val="26"/>
          <w:szCs w:val="26"/>
        </w:rPr>
        <w:t xml:space="preserve">, the only significant variation occurs in </w:t>
      </w:r>
      <w:proofErr w:type="spellStart"/>
      <w:r w:rsidRPr="00FD6165">
        <w:rPr>
          <w:rFonts w:cs="Times New Roman"/>
          <w:sz w:val="26"/>
          <w:szCs w:val="26"/>
        </w:rPr>
        <w:t>Sifre</w:t>
      </w:r>
      <w:proofErr w:type="spellEnd"/>
      <w:r w:rsidRPr="00FD6165">
        <w:rPr>
          <w:rFonts w:cs="Times New Roman"/>
          <w:sz w:val="26"/>
          <w:szCs w:val="26"/>
        </w:rPr>
        <w:t xml:space="preserve"> </w:t>
      </w:r>
      <w:proofErr w:type="spellStart"/>
      <w:r w:rsidRPr="00FD6165">
        <w:rPr>
          <w:rFonts w:cs="Times New Roman"/>
          <w:sz w:val="26"/>
          <w:szCs w:val="26"/>
        </w:rPr>
        <w:t>Zuta</w:t>
      </w:r>
      <w:proofErr w:type="spellEnd"/>
      <w:r w:rsidRPr="00FD6165">
        <w:rPr>
          <w:rFonts w:cs="Times New Roman"/>
          <w:sz w:val="26"/>
          <w:szCs w:val="26"/>
        </w:rPr>
        <w:t xml:space="preserve"> Numbers, which includes three instances of the wonder-</w:t>
      </w:r>
      <w:r w:rsidRPr="00FD6165">
        <w:rPr>
          <w:rFonts w:cs="Times New Roman"/>
          <w:sz w:val="26"/>
          <w:szCs w:val="26"/>
        </w:rPr>
        <w:lastRenderedPageBreak/>
        <w:t>addendum. Of these, two (</w:t>
      </w:r>
      <w:r w:rsidRPr="00FD6165">
        <w:rPr>
          <w:rFonts w:cs="Times New Roman"/>
          <w:i/>
          <w:iCs/>
          <w:sz w:val="26"/>
          <w:szCs w:val="26"/>
        </w:rPr>
        <w:t xml:space="preserve">ad </w:t>
      </w:r>
      <w:r w:rsidRPr="00FD6165">
        <w:rPr>
          <w:rFonts w:cs="Times New Roman"/>
          <w:sz w:val="26"/>
          <w:szCs w:val="26"/>
        </w:rPr>
        <w:t>Num 19:4 and 19:11 [Horovitz ed., 302, 307]) involve debate between named parties, a permutation that we will take up below, but one (</w:t>
      </w:r>
      <w:r w:rsidRPr="00FD6165">
        <w:rPr>
          <w:rFonts w:cs="Times New Roman"/>
          <w:i/>
          <w:iCs/>
          <w:sz w:val="26"/>
          <w:szCs w:val="26"/>
        </w:rPr>
        <w:t xml:space="preserve">ad </w:t>
      </w:r>
      <w:r w:rsidRPr="00FD6165">
        <w:rPr>
          <w:rFonts w:cs="Times New Roman"/>
          <w:sz w:val="26"/>
          <w:szCs w:val="26"/>
        </w:rPr>
        <w:t xml:space="preserve">Num 6:3 [Horovitz ed., 240) involves anonymous dialectic. It differs from the cases that we have examined above in two respects. First, </w:t>
      </w:r>
      <w:r w:rsidRPr="00FD6165">
        <w:rPr>
          <w:rFonts w:cs="Times New Roman"/>
          <w:sz w:val="26"/>
          <w:szCs w:val="26"/>
          <w:rtl/>
        </w:rPr>
        <w:t>וכן</w:t>
      </w:r>
      <w:r w:rsidRPr="00FD6165">
        <w:rPr>
          <w:rFonts w:cs="Times New Roman"/>
          <w:sz w:val="26"/>
          <w:szCs w:val="26"/>
          <w:cs/>
        </w:rPr>
        <w:t xml:space="preserve"> </w:t>
      </w:r>
      <w:r w:rsidRPr="00FD6165">
        <w:rPr>
          <w:rFonts w:cs="Times New Roman"/>
          <w:sz w:val="26"/>
          <w:szCs w:val="26"/>
        </w:rPr>
        <w:t xml:space="preserve">occurs instead of </w:t>
      </w:r>
      <w:r w:rsidRPr="00FD6165">
        <w:rPr>
          <w:rFonts w:cs="Times New Roman"/>
          <w:sz w:val="26"/>
          <w:szCs w:val="26"/>
          <w:rtl/>
        </w:rPr>
        <w:t>אף</w:t>
      </w:r>
      <w:r w:rsidRPr="00FD6165">
        <w:rPr>
          <w:rFonts w:cs="Times New Roman"/>
          <w:sz w:val="26"/>
          <w:szCs w:val="26"/>
        </w:rPr>
        <w:t>.</w:t>
      </w:r>
      <w:r w:rsidRPr="00FD6165">
        <w:rPr>
          <w:rStyle w:val="FootnoteCharacters"/>
          <w:rFonts w:cs="Times New Roman"/>
          <w:sz w:val="26"/>
          <w:szCs w:val="26"/>
        </w:rPr>
        <w:footnoteReference w:id="12"/>
      </w:r>
      <w:r w:rsidRPr="00FD6165">
        <w:rPr>
          <w:rFonts w:cs="Times New Roman"/>
          <w:sz w:val="26"/>
          <w:szCs w:val="26"/>
        </w:rPr>
        <w:t xml:space="preserve"> Second, and for our purposes more importantly, </w:t>
      </w:r>
      <w:proofErr w:type="spellStart"/>
      <w:r w:rsidRPr="00FD6165">
        <w:rPr>
          <w:rFonts w:cs="Times New Roman"/>
          <w:sz w:val="26"/>
          <w:szCs w:val="26"/>
        </w:rPr>
        <w:t>Sifre</w:t>
      </w:r>
      <w:proofErr w:type="spellEnd"/>
      <w:r w:rsidRPr="00FD6165">
        <w:rPr>
          <w:rFonts w:cs="Times New Roman"/>
          <w:sz w:val="26"/>
          <w:szCs w:val="26"/>
        </w:rPr>
        <w:t xml:space="preserve"> </w:t>
      </w:r>
      <w:proofErr w:type="spellStart"/>
      <w:r w:rsidRPr="00FD6165">
        <w:rPr>
          <w:rFonts w:cs="Times New Roman"/>
          <w:sz w:val="26"/>
          <w:szCs w:val="26"/>
        </w:rPr>
        <w:t>Zuta</w:t>
      </w:r>
      <w:proofErr w:type="spellEnd"/>
      <w:r w:rsidRPr="00FD6165">
        <w:rPr>
          <w:rFonts w:cs="Times New Roman"/>
          <w:sz w:val="26"/>
          <w:szCs w:val="26"/>
        </w:rPr>
        <w:t xml:space="preserve"> Num. </w:t>
      </w:r>
      <w:r w:rsidRPr="00FD6165">
        <w:rPr>
          <w:rFonts w:cs="Times New Roman"/>
          <w:i/>
          <w:iCs/>
          <w:sz w:val="26"/>
          <w:szCs w:val="26"/>
        </w:rPr>
        <w:t xml:space="preserve">ad </w:t>
      </w:r>
      <w:r w:rsidRPr="00FD6165">
        <w:rPr>
          <w:rFonts w:cs="Times New Roman"/>
          <w:sz w:val="26"/>
          <w:szCs w:val="26"/>
        </w:rPr>
        <w:t>Num 6:3 represents the only case of anonymous dialectic in which the wonder-appendix occurs before the ultimate dialectical stage</w:t>
      </w:r>
      <w:proofErr w:type="gramStart"/>
      <w:r w:rsidRPr="00FD6165">
        <w:rPr>
          <w:rFonts w:cs="Times New Roman"/>
          <w:sz w:val="26"/>
          <w:szCs w:val="26"/>
        </w:rPr>
        <w:t>, in particular, in</w:t>
      </w:r>
      <w:proofErr w:type="gramEnd"/>
      <w:r w:rsidRPr="00FD6165">
        <w:rPr>
          <w:rFonts w:cs="Times New Roman"/>
          <w:sz w:val="26"/>
          <w:szCs w:val="26"/>
        </w:rPr>
        <w:t xml:space="preserve"> the penultimate one. That this exceptional usage pairs with a distinctive terminological form and occurs in a work that in many other ways sets itself apart from the </w:t>
      </w:r>
      <w:proofErr w:type="spellStart"/>
      <w:r w:rsidRPr="00FD6165">
        <w:rPr>
          <w:rFonts w:cs="Times New Roman"/>
          <w:sz w:val="26"/>
          <w:szCs w:val="26"/>
        </w:rPr>
        <w:t>Akivan</w:t>
      </w:r>
      <w:proofErr w:type="spellEnd"/>
      <w:r w:rsidRPr="00FD6165">
        <w:rPr>
          <w:rFonts w:cs="Times New Roman"/>
          <w:sz w:val="26"/>
          <w:szCs w:val="26"/>
        </w:rPr>
        <w:t xml:space="preserve"> mainstream confirms the general rule.</w:t>
      </w:r>
      <w:r w:rsidRPr="00FD6165">
        <w:rPr>
          <w:rStyle w:val="FootnoteCharacters"/>
          <w:rFonts w:cs="Times New Roman"/>
          <w:sz w:val="26"/>
          <w:szCs w:val="26"/>
        </w:rPr>
        <w:footnoteReference w:id="13"/>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In works of the school of R. Ishmael, the wonder-addendum occurs no more than twice, and the since-addendum, in two or possibly three </w:t>
      </w:r>
      <w:proofErr w:type="spellStart"/>
      <w:r w:rsidRPr="00FD6165">
        <w:rPr>
          <w:rFonts w:cs="Times New Roman"/>
          <w:sz w:val="26"/>
          <w:szCs w:val="26"/>
        </w:rPr>
        <w:t>pericopes</w:t>
      </w:r>
      <w:proofErr w:type="spellEnd"/>
      <w:r w:rsidRPr="00FD6165">
        <w:rPr>
          <w:rFonts w:cs="Times New Roman"/>
          <w:sz w:val="26"/>
          <w:szCs w:val="26"/>
        </w:rPr>
        <w:t xml:space="preserve">. Of the five instances, four are from </w:t>
      </w:r>
      <w:proofErr w:type="spellStart"/>
      <w:r w:rsidRPr="00FD6165">
        <w:rPr>
          <w:rFonts w:cs="Times New Roman"/>
          <w:sz w:val="26"/>
          <w:szCs w:val="26"/>
        </w:rPr>
        <w:t>Sifre</w:t>
      </w:r>
      <w:proofErr w:type="spellEnd"/>
      <w:r w:rsidRPr="00FD6165">
        <w:rPr>
          <w:rFonts w:cs="Times New Roman"/>
          <w:sz w:val="26"/>
          <w:szCs w:val="26"/>
        </w:rPr>
        <w:t xml:space="preserve"> Numbers, and the fifth appears to be connected to it as well.</w:t>
      </w:r>
      <w:r w:rsidRPr="00FD6165">
        <w:rPr>
          <w:rStyle w:val="FootnoteCharacters"/>
          <w:rFonts w:cs="Times New Roman"/>
          <w:sz w:val="26"/>
          <w:szCs w:val="26"/>
        </w:rPr>
        <w:footnoteReference w:id="14"/>
      </w:r>
      <w:r w:rsidRPr="00FD6165">
        <w:rPr>
          <w:rFonts w:cs="Times New Roman"/>
          <w:sz w:val="26"/>
          <w:szCs w:val="26"/>
        </w:rPr>
        <w:t xml:space="preserve"> Below we will take note of other affinities between </w:t>
      </w:r>
      <w:proofErr w:type="spellStart"/>
      <w:r w:rsidRPr="00FD6165">
        <w:rPr>
          <w:rFonts w:cs="Times New Roman"/>
          <w:sz w:val="26"/>
          <w:szCs w:val="26"/>
        </w:rPr>
        <w:t>Sifre</w:t>
      </w:r>
      <w:proofErr w:type="spellEnd"/>
      <w:r w:rsidRPr="00FD6165">
        <w:rPr>
          <w:rFonts w:cs="Times New Roman"/>
          <w:sz w:val="26"/>
          <w:szCs w:val="26"/>
        </w:rPr>
        <w:t xml:space="preserve"> Numbers and the school of R. </w:t>
      </w:r>
      <w:proofErr w:type="spellStart"/>
      <w:r w:rsidRPr="00FD6165">
        <w:rPr>
          <w:rFonts w:cs="Times New Roman"/>
          <w:sz w:val="26"/>
          <w:szCs w:val="26"/>
        </w:rPr>
        <w:t>Akiva</w:t>
      </w:r>
      <w:proofErr w:type="spellEnd"/>
      <w:r w:rsidRPr="00FD6165">
        <w:rPr>
          <w:rFonts w:cs="Times New Roman"/>
          <w:sz w:val="26"/>
          <w:szCs w:val="26"/>
        </w:rPr>
        <w:t xml:space="preserve"> (first </w:t>
      </w:r>
      <w:r w:rsidRPr="00FD6165">
        <w:rPr>
          <w:rFonts w:cs="Times New Roman"/>
          <w:sz w:val="26"/>
          <w:szCs w:val="26"/>
        </w:rPr>
        <w:lastRenderedPageBreak/>
        <w:t xml:space="preserve">and foremost, the </w:t>
      </w:r>
      <w:proofErr w:type="spellStart"/>
      <w:r w:rsidRPr="00FD6165">
        <w:rPr>
          <w:rFonts w:cs="Times New Roman"/>
          <w:sz w:val="26"/>
          <w:szCs w:val="26"/>
        </w:rPr>
        <w:t>Sifra</w:t>
      </w:r>
      <w:proofErr w:type="spellEnd"/>
      <w:r w:rsidRPr="00FD6165">
        <w:rPr>
          <w:rFonts w:cs="Times New Roman"/>
          <w:sz w:val="26"/>
          <w:szCs w:val="26"/>
        </w:rPr>
        <w:t xml:space="preserve">) </w:t>
      </w:r>
      <w:proofErr w:type="gramStart"/>
      <w:r w:rsidRPr="00FD6165">
        <w:rPr>
          <w:rFonts w:cs="Times New Roman"/>
          <w:sz w:val="26"/>
          <w:szCs w:val="26"/>
        </w:rPr>
        <w:t>in connection with</w:t>
      </w:r>
      <w:proofErr w:type="gramEnd"/>
      <w:r w:rsidRPr="00FD6165">
        <w:rPr>
          <w:rFonts w:cs="Times New Roman"/>
          <w:sz w:val="26"/>
          <w:szCs w:val="26"/>
        </w:rPr>
        <w:t xml:space="preserve"> the dialectical patterns under discussion. </w:t>
      </w:r>
    </w:p>
    <w:p w:rsidR="008C5B42" w:rsidRDefault="008C5B42" w:rsidP="008C5B42">
      <w:pPr>
        <w:pStyle w:val="11"/>
        <w:tabs>
          <w:tab w:val="left" w:pos="288"/>
        </w:tabs>
        <w:spacing w:before="0" w:after="0" w:line="300" w:lineRule="exact"/>
        <w:ind w:firstLine="288"/>
        <w:jc w:val="both"/>
        <w:rPr>
          <w:rFonts w:cs="Times New Roman"/>
          <w:sz w:val="26"/>
          <w:szCs w:val="26"/>
        </w:rPr>
      </w:pPr>
    </w:p>
    <w:p w:rsidR="008C5B42"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3. Is There a Class in This Text?</w:t>
      </w:r>
    </w:p>
    <w:p w:rsidR="008C5B42" w:rsidRPr="002A75FA" w:rsidRDefault="008C5B42" w:rsidP="008C5B42">
      <w:pPr>
        <w:pStyle w:val="11"/>
        <w:tabs>
          <w:tab w:val="left" w:pos="288"/>
        </w:tabs>
        <w:spacing w:before="0" w:after="0" w:line="300" w:lineRule="exact"/>
        <w:jc w:val="both"/>
        <w:rPr>
          <w:rFonts w:cs="Times New Roman"/>
          <w:b/>
          <w:bCs/>
          <w:sz w:val="26"/>
          <w:szCs w:val="26"/>
        </w:rPr>
      </w:pPr>
      <w:r w:rsidRPr="00FD6165">
        <w:rPr>
          <w:rFonts w:cs="Times New Roman"/>
          <w:sz w:val="26"/>
          <w:szCs w:val="26"/>
        </w:rPr>
        <w:t xml:space="preserve">The distinctive distribution of the addenda in anonymous dialectic affords us insight into the rhetorical character of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or specifically </w:t>
      </w:r>
      <w:proofErr w:type="spellStart"/>
      <w:r w:rsidRPr="00FD6165">
        <w:rPr>
          <w:rFonts w:cs="Times New Roman"/>
          <w:sz w:val="26"/>
          <w:szCs w:val="26"/>
        </w:rPr>
        <w:t>Akivan</w:t>
      </w:r>
      <w:proofErr w:type="spellEnd"/>
      <w:r w:rsidRPr="00FD6165">
        <w:rPr>
          <w:rFonts w:cs="Times New Roman"/>
          <w:sz w:val="26"/>
          <w:szCs w:val="26"/>
        </w:rPr>
        <w:t xml:space="preserve">, Midrash. As Mordechai </w:t>
      </w:r>
      <w:proofErr w:type="spellStart"/>
      <w:r w:rsidRPr="00FD6165">
        <w:rPr>
          <w:rFonts w:cs="Times New Roman"/>
          <w:sz w:val="26"/>
          <w:szCs w:val="26"/>
        </w:rPr>
        <w:t>Mishor</w:t>
      </w:r>
      <w:proofErr w:type="spellEnd"/>
      <w:r w:rsidRPr="00FD6165">
        <w:rPr>
          <w:rFonts w:cs="Times New Roman"/>
          <w:sz w:val="26"/>
          <w:szCs w:val="26"/>
        </w:rPr>
        <w:t xml:space="preserve"> and others have observed, while the Mishnah and </w:t>
      </w:r>
      <w:proofErr w:type="spellStart"/>
      <w:r w:rsidRPr="00FD6165">
        <w:rPr>
          <w:rFonts w:cs="Times New Roman"/>
          <w:sz w:val="26"/>
          <w:szCs w:val="26"/>
        </w:rPr>
        <w:t>Akivan</w:t>
      </w:r>
      <w:proofErr w:type="spellEnd"/>
      <w:r w:rsidRPr="00FD6165">
        <w:rPr>
          <w:rFonts w:cs="Times New Roman"/>
          <w:sz w:val="26"/>
          <w:szCs w:val="26"/>
        </w:rPr>
        <w:t xml:space="preserve"> Midrash trace to the same circles, the anonymous voice of the Midrash is considerably more colloquial than that of the Mishnah, which speaks instead in a more formal or “official” register.</w:t>
      </w:r>
      <w:r w:rsidRPr="00FD6165">
        <w:rPr>
          <w:rStyle w:val="FootnoteCharacters"/>
          <w:rFonts w:cs="Times New Roman"/>
          <w:sz w:val="26"/>
          <w:szCs w:val="26"/>
        </w:rPr>
        <w:footnoteReference w:id="15"/>
      </w:r>
      <w:r w:rsidRPr="00FD6165">
        <w:rPr>
          <w:rFonts w:cs="Times New Roman"/>
          <w:sz w:val="26"/>
          <w:szCs w:val="26"/>
        </w:rPr>
        <w:t xml:space="preserve"> But the Midrashic texts do not, of course, represent verbal transcripts. They adopt but also transform the speech patterns of the academy. This section considers how, and to what end, they do so, by comparing the usage of the wonder-addendum in anonymous dialectic to its usage in dialectic involving named parties.</w:t>
      </w:r>
    </w:p>
    <w:p w:rsidR="008C5B42" w:rsidRPr="00FD6165" w:rsidRDefault="008C5B42" w:rsidP="00315B90">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Only once in </w:t>
      </w:r>
      <w:proofErr w:type="spellStart"/>
      <w:r w:rsidRPr="00FD6165">
        <w:rPr>
          <w:rFonts w:cs="Times New Roman"/>
          <w:sz w:val="26"/>
          <w:szCs w:val="26"/>
        </w:rPr>
        <w:t>Akivan</w:t>
      </w:r>
      <w:proofErr w:type="spellEnd"/>
      <w:r w:rsidRPr="00FD6165">
        <w:rPr>
          <w:rFonts w:cs="Times New Roman"/>
          <w:sz w:val="26"/>
          <w:szCs w:val="26"/>
        </w:rPr>
        <w:t xml:space="preserve"> Midrash does a named rabbi construct a dialectic of the sort surveyed in the previous section, where the dialectic is a handmaiden to the teaching of a verse: R. Eliezer, in </w:t>
      </w:r>
      <w:proofErr w:type="spellStart"/>
      <w:r w:rsidRPr="00FD6165">
        <w:rPr>
          <w:rFonts w:cs="Times New Roman"/>
          <w:sz w:val="26"/>
          <w:szCs w:val="26"/>
        </w:rPr>
        <w:t>Sifre</w:t>
      </w:r>
      <w:proofErr w:type="spellEnd"/>
      <w:r w:rsidRPr="00FD6165">
        <w:rPr>
          <w:rFonts w:cs="Times New Roman"/>
          <w:sz w:val="26"/>
          <w:szCs w:val="26"/>
        </w:rPr>
        <w:t xml:space="preserve"> Deut. 76 (Finkelstein ed., 142). In three cases in the Mishnah and the Tosefta (m. </w:t>
      </w:r>
      <w:proofErr w:type="spellStart"/>
      <w:r w:rsidRPr="00FD6165">
        <w:rPr>
          <w:rFonts w:cs="Times New Roman"/>
          <w:sz w:val="26"/>
          <w:szCs w:val="26"/>
        </w:rPr>
        <w:t>Pesa</w:t>
      </w:r>
      <w:r w:rsidR="00315B90">
        <w:rPr>
          <w:rFonts w:cs="Times New Roman"/>
          <w:sz w:val="26"/>
          <w:szCs w:val="26"/>
        </w:rPr>
        <w:t>ḥ</w:t>
      </w:r>
      <w:proofErr w:type="spellEnd"/>
      <w:r w:rsidRPr="00FD6165">
        <w:rPr>
          <w:rFonts w:cs="Times New Roman"/>
          <w:sz w:val="26"/>
          <w:szCs w:val="26"/>
        </w:rPr>
        <w:t xml:space="preserve">. 6:2; t. </w:t>
      </w:r>
      <w:proofErr w:type="spellStart"/>
      <w:r w:rsidRPr="00FD6165">
        <w:rPr>
          <w:rFonts w:cs="Times New Roman"/>
          <w:sz w:val="26"/>
          <w:szCs w:val="26"/>
        </w:rPr>
        <w:t>Pesa</w:t>
      </w:r>
      <w:r w:rsidR="00315B90">
        <w:rPr>
          <w:rFonts w:cs="Times New Roman"/>
          <w:sz w:val="26"/>
          <w:szCs w:val="26"/>
        </w:rPr>
        <w:t>ḥ</w:t>
      </w:r>
      <w:proofErr w:type="spellEnd"/>
      <w:r w:rsidRPr="00FD6165">
        <w:rPr>
          <w:rFonts w:cs="Times New Roman"/>
          <w:sz w:val="26"/>
          <w:szCs w:val="26"/>
        </w:rPr>
        <w:t xml:space="preserve">. 4:5-6 [Lieberman ed., 161-62]; and m. </w:t>
      </w:r>
      <w:proofErr w:type="spellStart"/>
      <w:r w:rsidRPr="00FD6165">
        <w:rPr>
          <w:rFonts w:cs="Times New Roman"/>
          <w:sz w:val="26"/>
          <w:szCs w:val="26"/>
        </w:rPr>
        <w:t>Zeba</w:t>
      </w:r>
      <w:r w:rsidR="00315B90">
        <w:rPr>
          <w:rFonts w:cs="Times New Roman"/>
          <w:sz w:val="26"/>
          <w:szCs w:val="26"/>
        </w:rPr>
        <w:t>ḥ</w:t>
      </w:r>
      <w:proofErr w:type="spellEnd"/>
      <w:r w:rsidRPr="00FD6165">
        <w:rPr>
          <w:rFonts w:cs="Times New Roman"/>
          <w:sz w:val="26"/>
          <w:szCs w:val="26"/>
        </w:rPr>
        <w:t xml:space="preserve">. 7:4, a longer version of which occurs in t. </w:t>
      </w:r>
      <w:proofErr w:type="spellStart"/>
      <w:r w:rsidRPr="00FD6165">
        <w:rPr>
          <w:rFonts w:cs="Times New Roman"/>
          <w:sz w:val="26"/>
          <w:szCs w:val="26"/>
        </w:rPr>
        <w:t>Zeba</w:t>
      </w:r>
      <w:r w:rsidR="00315B90">
        <w:rPr>
          <w:rFonts w:cs="Times New Roman"/>
          <w:sz w:val="26"/>
          <w:szCs w:val="26"/>
        </w:rPr>
        <w:t>ḥ</w:t>
      </w:r>
      <w:proofErr w:type="spellEnd"/>
      <w:r w:rsidRPr="00FD6165">
        <w:rPr>
          <w:rFonts w:cs="Times New Roman"/>
          <w:sz w:val="26"/>
          <w:szCs w:val="26"/>
        </w:rPr>
        <w:t>. 7:16-20 [</w:t>
      </w:r>
      <w:proofErr w:type="spellStart"/>
      <w:r w:rsidRPr="00FD6165">
        <w:rPr>
          <w:rFonts w:cs="Times New Roman"/>
          <w:sz w:val="26"/>
          <w:szCs w:val="26"/>
        </w:rPr>
        <w:t>Zuckermandel</w:t>
      </w:r>
      <w:proofErr w:type="spellEnd"/>
      <w:r w:rsidRPr="00FD6165">
        <w:rPr>
          <w:rFonts w:cs="Times New Roman"/>
          <w:sz w:val="26"/>
          <w:szCs w:val="26"/>
        </w:rPr>
        <w:t xml:space="preserve"> ed., 490]), the addenda occur in exchanges between named parties, R. Eliezer and R. Joshua. In these cases, the question is not how to justify the necessity of a verse, but the very law itself. In t. </w:t>
      </w:r>
      <w:proofErr w:type="spellStart"/>
      <w:r w:rsidRPr="00FD6165">
        <w:rPr>
          <w:rFonts w:cs="Times New Roman"/>
          <w:sz w:val="26"/>
          <w:szCs w:val="26"/>
        </w:rPr>
        <w:t>Zeba</w:t>
      </w:r>
      <w:r w:rsidR="00315B90">
        <w:rPr>
          <w:rFonts w:cs="Times New Roman"/>
          <w:sz w:val="26"/>
          <w:szCs w:val="26"/>
        </w:rPr>
        <w:t>ḥ</w:t>
      </w:r>
      <w:proofErr w:type="spellEnd"/>
      <w:r w:rsidRPr="00FD6165">
        <w:rPr>
          <w:rFonts w:cs="Times New Roman"/>
          <w:sz w:val="26"/>
          <w:szCs w:val="26"/>
        </w:rPr>
        <w:t xml:space="preserve">. 7:16-20, for example, the two rabbis debate about whether a certain bird whole offering is subject to the law of trespass. R. Eliezer defends his view with a </w:t>
      </w:r>
      <w:r w:rsidRPr="00FD6165">
        <w:rPr>
          <w:rFonts w:cs="Times New Roman"/>
          <w:i/>
          <w:iCs/>
          <w:sz w:val="26"/>
          <w:szCs w:val="26"/>
        </w:rPr>
        <w:t>din</w:t>
      </w:r>
      <w:r w:rsidRPr="00FD6165">
        <w:rPr>
          <w:rFonts w:cs="Times New Roman"/>
          <w:sz w:val="26"/>
          <w:szCs w:val="26"/>
        </w:rPr>
        <w:t>. R. Joshua challenges it with a say-argument, to which R. Eliezer responds with a prove-argument. R. Joshua advances another say-argument, and R. Eliezer parries with another prove-argument. There the argument ends. Both prove-arguments are accompanied by the wonder-addendum.</w:t>
      </w:r>
      <w:r w:rsidRPr="00FD6165">
        <w:rPr>
          <w:rStyle w:val="FootnoteCharacters"/>
          <w:rFonts w:cs="Times New Roman"/>
          <w:sz w:val="26"/>
          <w:szCs w:val="26"/>
        </w:rPr>
        <w:footnoteReference w:id="16"/>
      </w:r>
      <w:r w:rsidRPr="00FD6165">
        <w:rPr>
          <w:rFonts w:cs="Times New Roman"/>
          <w:sz w:val="26"/>
          <w:szCs w:val="26"/>
        </w:rPr>
        <w:t xml:space="preserve"> That the wonder-addendum does not occur </w:t>
      </w:r>
      <w:proofErr w:type="gramStart"/>
      <w:r w:rsidRPr="00FD6165">
        <w:rPr>
          <w:rFonts w:cs="Times New Roman"/>
          <w:sz w:val="26"/>
          <w:szCs w:val="26"/>
        </w:rPr>
        <w:t>in connection with</w:t>
      </w:r>
      <w:proofErr w:type="gramEnd"/>
      <w:r w:rsidRPr="00FD6165">
        <w:rPr>
          <w:rFonts w:cs="Times New Roman"/>
          <w:sz w:val="26"/>
          <w:szCs w:val="26"/>
        </w:rPr>
        <w:t xml:space="preserve"> the last prove-argument alone stands to reason. No dialectic-final restriction can apply in an actual dialectic between two </w:t>
      </w:r>
      <w:r w:rsidRPr="00FD6165">
        <w:rPr>
          <w:rFonts w:cs="Times New Roman"/>
          <w:sz w:val="26"/>
          <w:szCs w:val="26"/>
        </w:rPr>
        <w:lastRenderedPageBreak/>
        <w:t>parties, or in a dialectic that purports to verisimilitude, where the endpoint is unknown.</w:t>
      </w:r>
      <w:r w:rsidRPr="00FD6165">
        <w:rPr>
          <w:rStyle w:val="FootnoteCharacters"/>
          <w:rFonts w:cs="Times New Roman"/>
          <w:sz w:val="26"/>
          <w:szCs w:val="26"/>
        </w:rPr>
        <w:footnoteReference w:id="17"/>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In restricting the addenda to the ultimate stage of the dialectic, the anonymous </w:t>
      </w:r>
      <w:proofErr w:type="spellStart"/>
      <w:r w:rsidRPr="00FD6165">
        <w:rPr>
          <w:rFonts w:cs="Times New Roman"/>
          <w:sz w:val="26"/>
          <w:szCs w:val="26"/>
        </w:rPr>
        <w:t>Akivan</w:t>
      </w:r>
      <w:proofErr w:type="spellEnd"/>
      <w:r w:rsidRPr="00FD6165">
        <w:rPr>
          <w:rFonts w:cs="Times New Roman"/>
          <w:sz w:val="26"/>
          <w:szCs w:val="26"/>
        </w:rPr>
        <w:t xml:space="preserve"> editor appears to transform them into something like punctuation or italics. They inform the implicit audience (or class) that the argumentation is </w:t>
      </w:r>
      <w:proofErr w:type="gramStart"/>
      <w:r w:rsidRPr="00FD6165">
        <w:rPr>
          <w:rFonts w:cs="Times New Roman"/>
          <w:sz w:val="26"/>
          <w:szCs w:val="26"/>
        </w:rPr>
        <w:t>coming to a close</w:t>
      </w:r>
      <w:proofErr w:type="gramEnd"/>
      <w:r w:rsidRPr="00FD6165">
        <w:rPr>
          <w:rFonts w:cs="Times New Roman"/>
          <w:sz w:val="26"/>
          <w:szCs w:val="26"/>
        </w:rPr>
        <w:t xml:space="preserve">: that a decisive argument in support of </w:t>
      </w:r>
      <w:r w:rsidRPr="00FD6165">
        <w:rPr>
          <w:rFonts w:cs="Times New Roman"/>
          <w:i/>
          <w:iCs/>
          <w:sz w:val="26"/>
          <w:szCs w:val="26"/>
        </w:rPr>
        <w:t xml:space="preserve">–x </w:t>
      </w:r>
      <w:r w:rsidRPr="00FD6165">
        <w:rPr>
          <w:rFonts w:cs="Times New Roman"/>
          <w:sz w:val="26"/>
          <w:szCs w:val="26"/>
        </w:rPr>
        <w:t xml:space="preserve">has been articulated, and that a verse teaching </w:t>
      </w:r>
      <w:r w:rsidRPr="00FD6165">
        <w:rPr>
          <w:rFonts w:cs="Times New Roman"/>
          <w:i/>
          <w:iCs/>
          <w:sz w:val="26"/>
          <w:szCs w:val="26"/>
        </w:rPr>
        <w:t>x</w:t>
      </w:r>
      <w:r w:rsidRPr="00FD6165">
        <w:rPr>
          <w:rFonts w:cs="Times New Roman"/>
          <w:sz w:val="26"/>
          <w:szCs w:val="26"/>
        </w:rPr>
        <w:t xml:space="preserve"> will immediately follow. Conversely, the absence of an addendum in every earlier stage of the argument signals to the audience to expect a refutation, and perhaps even encourages the audience to search for one. The editor thus channels the rhetorical force of the addenda toward pedagogical ends.</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As they are employed by the </w:t>
      </w:r>
      <w:proofErr w:type="spellStart"/>
      <w:r w:rsidRPr="00FD6165">
        <w:rPr>
          <w:rFonts w:cs="Times New Roman"/>
          <w:sz w:val="26"/>
          <w:szCs w:val="26"/>
        </w:rPr>
        <w:t>Akivan</w:t>
      </w:r>
      <w:proofErr w:type="spellEnd"/>
      <w:r w:rsidRPr="00FD6165">
        <w:rPr>
          <w:rFonts w:cs="Times New Roman"/>
          <w:sz w:val="26"/>
          <w:szCs w:val="26"/>
        </w:rPr>
        <w:t xml:space="preserve"> editor, the addenda might be compared to free indirect discourse, the narratological mode in which the narrator of a story speaks from the perspective of a character, as in, for example, the sentence: </w:t>
      </w:r>
      <w:r w:rsidRPr="00FD6165">
        <w:rPr>
          <w:rFonts w:cs="Times New Roman"/>
          <w:i/>
          <w:iCs/>
          <w:sz w:val="26"/>
          <w:szCs w:val="26"/>
        </w:rPr>
        <w:t>When would he get his own chance?</w:t>
      </w:r>
      <w:r w:rsidRPr="00FD6165">
        <w:rPr>
          <w:rFonts w:cs="Times New Roman"/>
          <w:sz w:val="26"/>
          <w:szCs w:val="26"/>
        </w:rPr>
        <w:t xml:space="preserve"> While the desire is expressed in the narrator’s third-person voice, the emotive force of the direct question (</w:t>
      </w:r>
      <w:r w:rsidRPr="00FD6165">
        <w:rPr>
          <w:rFonts w:cs="Times New Roman"/>
          <w:i/>
          <w:iCs/>
          <w:sz w:val="26"/>
          <w:szCs w:val="26"/>
        </w:rPr>
        <w:t>When would he</w:t>
      </w:r>
      <w:r w:rsidRPr="00FD6165">
        <w:rPr>
          <w:rFonts w:cs="Times New Roman"/>
          <w:sz w:val="26"/>
          <w:szCs w:val="26"/>
        </w:rPr>
        <w:t xml:space="preserve">, not </w:t>
      </w:r>
      <w:r w:rsidRPr="00FD6165">
        <w:rPr>
          <w:rFonts w:cs="Times New Roman"/>
          <w:i/>
          <w:iCs/>
          <w:sz w:val="26"/>
          <w:szCs w:val="26"/>
        </w:rPr>
        <w:t>He wondered when he</w:t>
      </w:r>
      <w:r w:rsidRPr="00FD6165">
        <w:rPr>
          <w:rFonts w:cs="Times New Roman"/>
          <w:sz w:val="26"/>
          <w:szCs w:val="26"/>
        </w:rPr>
        <w:t xml:space="preserve">) belongs to the character, not to the narrator. The sentence thus belongs </w:t>
      </w:r>
      <w:r w:rsidRPr="00FD6165">
        <w:rPr>
          <w:rFonts w:cs="Times New Roman"/>
          <w:sz w:val="26"/>
          <w:szCs w:val="26"/>
        </w:rPr>
        <w:lastRenderedPageBreak/>
        <w:t>neither to the narrator nor to the character, but to both.</w:t>
      </w:r>
      <w:r w:rsidRPr="00FD6165">
        <w:rPr>
          <w:rStyle w:val="FootnoteCharacters"/>
          <w:rFonts w:cs="Times New Roman"/>
          <w:sz w:val="26"/>
          <w:szCs w:val="26"/>
        </w:rPr>
        <w:footnoteReference w:id="18"/>
      </w:r>
      <w:r w:rsidRPr="00FD6165">
        <w:rPr>
          <w:rFonts w:cs="Times New Roman"/>
          <w:sz w:val="26"/>
          <w:szCs w:val="26"/>
        </w:rPr>
        <w:t xml:space="preserve"> Analogously, the addenda represent “character” speech, but their restriction to dialectic-final position can only be attributed to the “narrator” (editor), insofar as only he knows where the dialectic will end. </w:t>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Whether the editorial strategy that I have isolated here</w:t>
      </w:r>
      <w:r>
        <w:rPr>
          <w:rFonts w:cs="Times New Roman"/>
          <w:sz w:val="26"/>
          <w:szCs w:val="26"/>
        </w:rPr>
        <w:t xml:space="preserve"> – </w:t>
      </w:r>
      <w:r w:rsidRPr="00FD6165">
        <w:rPr>
          <w:rFonts w:cs="Times New Roman"/>
          <w:sz w:val="26"/>
          <w:szCs w:val="26"/>
        </w:rPr>
        <w:t>the transformation of rhetoric into a structuring device (punctuation)</w:t>
      </w:r>
      <w:r>
        <w:rPr>
          <w:rFonts w:cs="Times New Roman"/>
          <w:sz w:val="26"/>
          <w:szCs w:val="26"/>
        </w:rPr>
        <w:t xml:space="preserve"> – </w:t>
      </w:r>
      <w:r w:rsidRPr="00FD6165">
        <w:rPr>
          <w:rFonts w:cs="Times New Roman"/>
          <w:sz w:val="26"/>
          <w:szCs w:val="26"/>
        </w:rPr>
        <w:t xml:space="preserve">occurs elsewhere in the representation of dialectic in </w:t>
      </w:r>
      <w:proofErr w:type="spellStart"/>
      <w:r>
        <w:rPr>
          <w:rFonts w:cs="Times New Roman"/>
          <w:sz w:val="26"/>
          <w:szCs w:val="26"/>
        </w:rPr>
        <w:t>t</w:t>
      </w:r>
      <w:r w:rsidRPr="00FD6165">
        <w:rPr>
          <w:rFonts w:cs="Times New Roman"/>
          <w:sz w:val="26"/>
          <w:szCs w:val="26"/>
        </w:rPr>
        <w:t>annaitic</w:t>
      </w:r>
      <w:proofErr w:type="spellEnd"/>
      <w:r w:rsidRPr="00FD6165">
        <w:rPr>
          <w:rFonts w:cs="Times New Roman"/>
          <w:sz w:val="26"/>
          <w:szCs w:val="26"/>
        </w:rPr>
        <w:t xml:space="preserve"> Midrash is a question that requires further study. We may, however, note here, first, that the </w:t>
      </w:r>
      <w:proofErr w:type="spellStart"/>
      <w:r w:rsidRPr="00FD6165">
        <w:rPr>
          <w:rFonts w:cs="Times New Roman"/>
          <w:sz w:val="26"/>
          <w:szCs w:val="26"/>
        </w:rPr>
        <w:t>Akivan</w:t>
      </w:r>
      <w:proofErr w:type="spellEnd"/>
      <w:r w:rsidRPr="00FD6165">
        <w:rPr>
          <w:rFonts w:cs="Times New Roman"/>
          <w:sz w:val="26"/>
          <w:szCs w:val="26"/>
        </w:rPr>
        <w:t xml:space="preserve"> editor appears to make distinctive dialectical use of another expression associated with surprise, “and is it possible to say thus?” (</w:t>
      </w:r>
      <w:r w:rsidRPr="00FD6165">
        <w:rPr>
          <w:rFonts w:cs="Times New Roman"/>
          <w:sz w:val="26"/>
          <w:szCs w:val="26"/>
          <w:rtl/>
        </w:rPr>
        <w:t>ואיפשר לומר כן</w:t>
      </w:r>
      <w:r w:rsidRPr="00FD6165">
        <w:rPr>
          <w:rFonts w:cs="Times New Roman"/>
          <w:sz w:val="26"/>
          <w:szCs w:val="26"/>
        </w:rPr>
        <w:t>).</w:t>
      </w:r>
      <w:r w:rsidRPr="00FD6165">
        <w:rPr>
          <w:rStyle w:val="FootnoteCharacters"/>
          <w:rFonts w:cs="Times New Roman"/>
          <w:sz w:val="26"/>
          <w:szCs w:val="26"/>
        </w:rPr>
        <w:footnoteReference w:id="19"/>
      </w:r>
      <w:r w:rsidRPr="00FD6165">
        <w:rPr>
          <w:rFonts w:cs="Times New Roman"/>
          <w:sz w:val="26"/>
          <w:szCs w:val="26"/>
        </w:rPr>
        <w:t xml:space="preserve"> Second, in the case at hand, of addenda to </w:t>
      </w:r>
      <w:r w:rsidRPr="00FD6165">
        <w:rPr>
          <w:rFonts w:cs="Times New Roman"/>
          <w:i/>
          <w:iCs/>
          <w:sz w:val="26"/>
          <w:szCs w:val="26"/>
        </w:rPr>
        <w:t>din</w:t>
      </w:r>
      <w:r w:rsidRPr="00FD6165">
        <w:rPr>
          <w:rFonts w:cs="Times New Roman"/>
          <w:sz w:val="26"/>
          <w:szCs w:val="26"/>
        </w:rPr>
        <w:t xml:space="preserve"> arguments, the school of R. Ishmael does not avail itself of the </w:t>
      </w:r>
      <w:proofErr w:type="spellStart"/>
      <w:r w:rsidRPr="00FD6165">
        <w:rPr>
          <w:rFonts w:cs="Times New Roman"/>
          <w:sz w:val="26"/>
          <w:szCs w:val="26"/>
        </w:rPr>
        <w:t>Akivan</w:t>
      </w:r>
      <w:proofErr w:type="spellEnd"/>
      <w:r w:rsidRPr="00FD6165">
        <w:rPr>
          <w:rFonts w:cs="Times New Roman"/>
          <w:sz w:val="26"/>
          <w:szCs w:val="26"/>
        </w:rPr>
        <w:t xml:space="preserve"> editor’s punctuation strategy. The next section establishes the latter claim.</w:t>
      </w:r>
    </w:p>
    <w:p w:rsidR="008C5B42" w:rsidRDefault="008C5B42" w:rsidP="008C5B42">
      <w:pPr>
        <w:pStyle w:val="11"/>
        <w:tabs>
          <w:tab w:val="left" w:pos="288"/>
        </w:tabs>
        <w:spacing w:before="0" w:after="0" w:line="300" w:lineRule="exact"/>
        <w:ind w:firstLine="288"/>
        <w:jc w:val="both"/>
        <w:rPr>
          <w:rFonts w:cs="Times New Roman"/>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4. Equivalents from the School of R. Ishmael</w:t>
      </w:r>
    </w:p>
    <w:p w:rsidR="008C5B42"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Dialectical paths </w:t>
      </w:r>
      <w:proofErr w:type="gramStart"/>
      <w:r w:rsidRPr="00FD6165">
        <w:rPr>
          <w:rFonts w:cs="Times New Roman"/>
          <w:sz w:val="26"/>
          <w:szCs w:val="26"/>
        </w:rPr>
        <w:t>similar to</w:t>
      </w:r>
      <w:proofErr w:type="gramEnd"/>
      <w:r w:rsidRPr="00FD6165">
        <w:rPr>
          <w:rFonts w:cs="Times New Roman"/>
          <w:sz w:val="26"/>
          <w:szCs w:val="26"/>
        </w:rPr>
        <w:t xml:space="preserve"> the ones in </w:t>
      </w:r>
      <w:proofErr w:type="spellStart"/>
      <w:r w:rsidRPr="00FD6165">
        <w:rPr>
          <w:rFonts w:cs="Times New Roman"/>
          <w:sz w:val="26"/>
          <w:szCs w:val="26"/>
        </w:rPr>
        <w:t>Akivan</w:t>
      </w:r>
      <w:proofErr w:type="spellEnd"/>
      <w:r w:rsidRPr="00FD6165">
        <w:rPr>
          <w:rFonts w:cs="Times New Roman"/>
          <w:sz w:val="26"/>
          <w:szCs w:val="26"/>
        </w:rPr>
        <w:t xml:space="preserve"> Midrash occur in works from the school of R. Ishmael. Category 1 is ordinarily introduced by the formula </w:t>
      </w:r>
      <w:r w:rsidRPr="00FD6165">
        <w:rPr>
          <w:rFonts w:cs="Times New Roman"/>
          <w:sz w:val="26"/>
          <w:szCs w:val="26"/>
          <w:rtl/>
        </w:rPr>
        <w:t>שהיה בדין</w:t>
      </w:r>
      <w:r w:rsidRPr="00FD6165">
        <w:rPr>
          <w:rFonts w:cs="Times New Roman"/>
          <w:sz w:val="26"/>
          <w:szCs w:val="26"/>
          <w:cs/>
        </w:rPr>
        <w:t xml:space="preserve"> “</w:t>
      </w:r>
      <w:r w:rsidRPr="00FD6165">
        <w:rPr>
          <w:rFonts w:cs="Times New Roman"/>
          <w:sz w:val="26"/>
          <w:szCs w:val="26"/>
        </w:rPr>
        <w:t xml:space="preserve">for by </w:t>
      </w:r>
      <w:r w:rsidRPr="00FD6165">
        <w:rPr>
          <w:rFonts w:cs="Times New Roman"/>
          <w:i/>
          <w:iCs/>
          <w:sz w:val="26"/>
          <w:szCs w:val="26"/>
        </w:rPr>
        <w:t>din</w:t>
      </w:r>
      <w:r w:rsidRPr="00FD6165">
        <w:rPr>
          <w:rFonts w:cs="Times New Roman"/>
          <w:sz w:val="26"/>
          <w:szCs w:val="26"/>
        </w:rPr>
        <w:t xml:space="preserve"> it should have been.” Cases of category 2 begin with some variant of the formula </w:t>
      </w:r>
      <w:r w:rsidRPr="00FD6165">
        <w:rPr>
          <w:rFonts w:cs="Times New Roman"/>
          <w:sz w:val="26"/>
          <w:szCs w:val="26"/>
          <w:rtl/>
        </w:rPr>
        <w:t>עד שלא יאמר יש לי בדין</w:t>
      </w:r>
      <w:r w:rsidRPr="00FD6165">
        <w:rPr>
          <w:rFonts w:cs="Times New Roman"/>
          <w:sz w:val="26"/>
          <w:szCs w:val="26"/>
          <w:cs/>
        </w:rPr>
        <w:t xml:space="preserve"> </w:t>
      </w:r>
      <w:proofErr w:type="gramStart"/>
      <w:r>
        <w:rPr>
          <w:rFonts w:cs="Times New Roman"/>
          <w:sz w:val="26"/>
          <w:szCs w:val="26"/>
          <w:cs/>
        </w:rPr>
        <w:t>–</w:t>
      </w:r>
      <w:r w:rsidRPr="00FD6165">
        <w:rPr>
          <w:rFonts w:cs="Times New Roman"/>
          <w:sz w:val="26"/>
          <w:szCs w:val="26"/>
          <w:cs/>
        </w:rPr>
        <w:t>“</w:t>
      </w:r>
      <w:proofErr w:type="gramEnd"/>
      <w:r w:rsidRPr="00FD6165">
        <w:rPr>
          <w:rFonts w:cs="Times New Roman"/>
          <w:sz w:val="26"/>
          <w:szCs w:val="26"/>
        </w:rPr>
        <w:t xml:space="preserve">before it says, I already have by </w:t>
      </w:r>
      <w:r w:rsidRPr="00FD6165">
        <w:rPr>
          <w:rFonts w:cs="Times New Roman"/>
          <w:i/>
          <w:iCs/>
          <w:sz w:val="26"/>
          <w:szCs w:val="26"/>
        </w:rPr>
        <w:t>din</w:t>
      </w:r>
      <w:r w:rsidRPr="00FD6165">
        <w:rPr>
          <w:rFonts w:cs="Times New Roman"/>
          <w:sz w:val="26"/>
          <w:szCs w:val="26"/>
        </w:rPr>
        <w:t xml:space="preserve">.” Let us consider two examples, one from </w:t>
      </w:r>
      <w:r w:rsidRPr="00FD6165">
        <w:rPr>
          <w:rFonts w:cs="Times New Roman"/>
          <w:sz w:val="26"/>
          <w:szCs w:val="26"/>
        </w:rPr>
        <w:lastRenderedPageBreak/>
        <w:t xml:space="preserve">each category. The first, from </w:t>
      </w:r>
      <w:proofErr w:type="spellStart"/>
      <w:r w:rsidRPr="00FD6165">
        <w:rPr>
          <w:rFonts w:cs="Times New Roman"/>
          <w:sz w:val="26"/>
          <w:szCs w:val="26"/>
        </w:rPr>
        <w:t>Sifre</w:t>
      </w:r>
      <w:proofErr w:type="spellEnd"/>
      <w:r w:rsidRPr="00FD6165">
        <w:rPr>
          <w:rFonts w:cs="Times New Roman"/>
          <w:sz w:val="26"/>
          <w:szCs w:val="26"/>
        </w:rPr>
        <w:t xml:space="preserve"> Num. 110 (Horovitz ed., 115), instantiates category 1a.</w:t>
      </w:r>
      <w:r w:rsidRPr="00FD6165">
        <w:rPr>
          <w:rStyle w:val="FootnoteCharacters"/>
          <w:rFonts w:cs="Times New Roman"/>
          <w:sz w:val="26"/>
          <w:szCs w:val="26"/>
        </w:rPr>
        <w:footnoteReference w:id="20"/>
      </w:r>
    </w:p>
    <w:p w:rsidR="008C5B42" w:rsidRPr="00FD6165" w:rsidRDefault="008C5B42" w:rsidP="008C5B42">
      <w:pPr>
        <w:pStyle w:val="11"/>
        <w:tabs>
          <w:tab w:val="left" w:pos="288"/>
        </w:tabs>
        <w:spacing w:before="0" w:after="0" w:line="300" w:lineRule="exact"/>
        <w:jc w:val="both"/>
        <w:rPr>
          <w:rFonts w:cs="Times New Roman"/>
          <w:b/>
          <w:bCs/>
          <w:sz w:val="26"/>
          <w:szCs w:val="26"/>
        </w:rPr>
      </w:pPr>
    </w:p>
    <w:p w:rsidR="008C5B42" w:rsidRPr="00017AC2" w:rsidRDefault="008C5B42" w:rsidP="008C5B42">
      <w:pPr>
        <w:pStyle w:val="11"/>
        <w:keepNext/>
        <w:tabs>
          <w:tab w:val="left" w:pos="288"/>
        </w:tabs>
        <w:spacing w:before="0" w:after="0" w:line="300" w:lineRule="exact"/>
        <w:jc w:val="both"/>
        <w:rPr>
          <w:rFonts w:cs="Times New Roman"/>
          <w:b/>
          <w:bCs/>
          <w:i/>
          <w:iCs/>
          <w:sz w:val="26"/>
          <w:szCs w:val="26"/>
        </w:rPr>
      </w:pPr>
      <w:r w:rsidRPr="00017AC2">
        <w:rPr>
          <w:rFonts w:cs="Times New Roman"/>
          <w:b/>
          <w:bCs/>
          <w:i/>
          <w:iCs/>
          <w:sz w:val="26"/>
          <w:szCs w:val="26"/>
        </w:rPr>
        <w:t xml:space="preserve">Case </w:t>
      </w:r>
      <w:r>
        <w:rPr>
          <w:rFonts w:cs="Times New Roman"/>
          <w:b/>
          <w:bCs/>
          <w:i/>
          <w:iCs/>
          <w:sz w:val="26"/>
          <w:szCs w:val="26"/>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362"/>
        <w:gridCol w:w="2478"/>
      </w:tblGrid>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“For your generations” (Num 15:21): To include dough of the sabbatical year such that it be obligated in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לדרתיכם להביא את עיסת שביעית שתהי חייבת בחלה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For by </w:t>
            </w:r>
            <w:r w:rsidRPr="00FD6165">
              <w:rPr>
                <w:rFonts w:cs="Times New Roman"/>
                <w:i/>
                <w:iCs/>
                <w:sz w:val="26"/>
                <w:szCs w:val="26"/>
              </w:rPr>
              <w:t xml:space="preserve">din </w:t>
            </w:r>
            <w:r w:rsidRPr="00FD6165">
              <w:rPr>
                <w:rFonts w:cs="Times New Roman"/>
                <w:sz w:val="26"/>
                <w:szCs w:val="26"/>
              </w:rPr>
              <w:t xml:space="preserve">it should have been: If other fruits that are obligated in tithes are exempt from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 xml:space="preserve">, then dough of the sabbatical year, which is exempt from tithes, should it not by </w:t>
            </w:r>
            <w:r w:rsidRPr="00FD6165">
              <w:rPr>
                <w:rFonts w:cs="Times New Roman"/>
                <w:i/>
                <w:iCs/>
                <w:sz w:val="26"/>
                <w:szCs w:val="26"/>
              </w:rPr>
              <w:t>din</w:t>
            </w:r>
            <w:r w:rsidRPr="00FD6165">
              <w:rPr>
                <w:rFonts w:cs="Times New Roman"/>
                <w:sz w:val="26"/>
                <w:szCs w:val="26"/>
              </w:rPr>
              <w:t xml:space="preserve"> be exempt from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שהיה בדין מה שאר פירות שחייבין במעשר פטורין מן החלה עיסת שביעית שפטורה מן המעשר אינו דין שתהי פטורה מן החלה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Grains gathered under the laws of collecting, forgetting, and the corner will prove, for they are exempt from the tithe and obligated in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 xml:space="preserve">, and they will prove concerning dough of the sabbatical year that even though it is exempt from tithes, it should be obligated in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הרי לקט שכחה ופאה יוכיחו שפטורין מן המעשר וחייבין בחלה והן יוכיחו לעיסת שביעית שאף על פי שפטורה מן המעשר שתהי חייבת בחלה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No. If you say concerning grains gathered under the laws of collecting, forgetting, and the corner, whose species are obligated in tithes, for which reason they are obligated in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 xml:space="preserve">, will you say concerning dough of the sabbatical year, whose species is exempt from tithes, for which reason it should be exempt from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hint="cs"/>
                <w:sz w:val="26"/>
                <w:szCs w:val="26"/>
              </w:rPr>
            </w:pPr>
            <w:r w:rsidRPr="00FD6165">
              <w:rPr>
                <w:rFonts w:cs="Times New Roman"/>
                <w:sz w:val="26"/>
                <w:szCs w:val="26"/>
                <w:rtl/>
              </w:rPr>
              <w:t>לא אם אמרת בלקט שכחה ופאה שמינן חייבין במעשר לפיכך חייבין בחלה תאמר בעיסת שביעית שמינה פטור מן המעשר לפיכך תהי פטורה מן החלה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5</w:t>
            </w:r>
            <w:r>
              <w:rPr>
                <w:rFonts w:cs="Times New Roman"/>
                <w:sz w:val="26"/>
                <w:szCs w:val="26"/>
              </w:rPr>
              <w:t>.</w:t>
            </w:r>
          </w:p>
        </w:tc>
        <w:tc>
          <w:tcPr>
            <w:tcW w:w="4719" w:type="dxa"/>
          </w:tcPr>
          <w:p w:rsidR="008C5B42" w:rsidRPr="002F64DD" w:rsidRDefault="008C5B42" w:rsidP="00B85A67">
            <w:pPr>
              <w:pStyle w:val="11"/>
              <w:tabs>
                <w:tab w:val="left" w:pos="288"/>
              </w:tabs>
              <w:spacing w:before="0" w:after="0" w:line="300" w:lineRule="exact"/>
              <w:rPr>
                <w:rFonts w:cs="Times New Roman"/>
                <w:sz w:val="26"/>
                <w:szCs w:val="26"/>
              </w:rPr>
            </w:pPr>
            <w:r w:rsidRPr="00FD6165">
              <w:rPr>
                <w:rFonts w:cs="Times New Roman"/>
                <w:sz w:val="26"/>
                <w:szCs w:val="26"/>
              </w:rPr>
              <w:t xml:space="preserve">Hence it says, “for your generations”: To include dough of the sabbatical year such that it be obligated in </w:t>
            </w:r>
            <w:proofErr w:type="spellStart"/>
            <w:r w:rsidR="00EC0155" w:rsidRPr="00EC0155">
              <w:rPr>
                <w:rFonts w:cs="Times New Roman"/>
                <w:i/>
                <w:iCs/>
                <w:sz w:val="26"/>
                <w:szCs w:val="26"/>
              </w:rPr>
              <w:t>ḥ</w:t>
            </w:r>
            <w:r w:rsidRPr="00FD6165">
              <w:rPr>
                <w:rFonts w:cs="Times New Roman"/>
                <w:i/>
                <w:iCs/>
                <w:sz w:val="26"/>
                <w:szCs w:val="26"/>
              </w:rPr>
              <w:t>allah</w:t>
            </w:r>
            <w:proofErr w:type="spellEnd"/>
            <w:r w:rsidRPr="00FD6165">
              <w:rPr>
                <w:rFonts w:cs="Times New Roman"/>
                <w:sz w:val="26"/>
                <w:szCs w:val="26"/>
              </w:rPr>
              <w:t>.</w:t>
            </w: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 ל' לדרתיכם להביא את עיסת שביעית שתהי חייבת בחלה</w:t>
            </w:r>
          </w:p>
        </w:tc>
      </w:tr>
    </w:tbl>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lastRenderedPageBreak/>
        <w:t xml:space="preserve">The </w:t>
      </w:r>
      <w:r w:rsidRPr="00FD6165">
        <w:rPr>
          <w:rFonts w:cs="Times New Roman"/>
          <w:i/>
          <w:iCs/>
          <w:sz w:val="26"/>
          <w:szCs w:val="26"/>
        </w:rPr>
        <w:t xml:space="preserve">din </w:t>
      </w:r>
      <w:r w:rsidRPr="00FD6165">
        <w:rPr>
          <w:rFonts w:cs="Times New Roman"/>
          <w:sz w:val="26"/>
          <w:szCs w:val="26"/>
        </w:rPr>
        <w:t>(stage 2) reaches a conclusion opposite that of the teaching derived from the verse (stage 1).</w:t>
      </w:r>
      <w:r w:rsidR="00EA590F">
        <w:rPr>
          <w:rFonts w:cs="Times New Roman"/>
          <w:sz w:val="26"/>
          <w:szCs w:val="26"/>
        </w:rPr>
        <w:t xml:space="preserve"> </w:t>
      </w:r>
      <w:r w:rsidRPr="00FD6165">
        <w:rPr>
          <w:rFonts w:cs="Times New Roman"/>
          <w:sz w:val="26"/>
          <w:szCs w:val="26"/>
        </w:rPr>
        <w:t xml:space="preserve">A prove-argument challenges the </w:t>
      </w:r>
      <w:r w:rsidRPr="00FD6165">
        <w:rPr>
          <w:rFonts w:cs="Times New Roman"/>
          <w:i/>
          <w:iCs/>
          <w:sz w:val="26"/>
          <w:szCs w:val="26"/>
        </w:rPr>
        <w:t>din</w:t>
      </w:r>
      <w:r w:rsidRPr="00FD6165">
        <w:rPr>
          <w:rFonts w:cs="Times New Roman"/>
          <w:sz w:val="26"/>
          <w:szCs w:val="26"/>
        </w:rPr>
        <w:t xml:space="preserve"> (stage 3), then a say-argument rebuts the latter (stage 4).</w:t>
      </w:r>
      <w:r w:rsidR="00EA590F">
        <w:rPr>
          <w:rFonts w:cs="Times New Roman"/>
          <w:sz w:val="26"/>
          <w:szCs w:val="26"/>
        </w:rPr>
        <w:t xml:space="preserve"> </w:t>
      </w:r>
      <w:r w:rsidRPr="00FD6165">
        <w:rPr>
          <w:rFonts w:cs="Times New Roman"/>
          <w:sz w:val="26"/>
          <w:szCs w:val="26"/>
        </w:rPr>
        <w:t xml:space="preserve">The </w:t>
      </w:r>
      <w:r w:rsidRPr="00FD6165">
        <w:rPr>
          <w:rFonts w:cs="Times New Roman"/>
          <w:i/>
          <w:iCs/>
          <w:sz w:val="26"/>
          <w:szCs w:val="26"/>
        </w:rPr>
        <w:t>din</w:t>
      </w:r>
      <w:r w:rsidRPr="00FD6165">
        <w:rPr>
          <w:rFonts w:cs="Times New Roman"/>
          <w:sz w:val="26"/>
          <w:szCs w:val="26"/>
        </w:rPr>
        <w:t xml:space="preserve"> thus survives, and establishes the necessity for the verse, which follows in stage 5.</w:t>
      </w:r>
      <w:r w:rsidR="00EA590F">
        <w:rPr>
          <w:rFonts w:cs="Times New Roman"/>
          <w:sz w:val="26"/>
          <w:szCs w:val="26"/>
        </w:rPr>
        <w:t xml:space="preserve"> </w:t>
      </w:r>
      <w:r w:rsidRPr="00FD6165">
        <w:rPr>
          <w:rFonts w:cs="Times New Roman"/>
          <w:sz w:val="26"/>
          <w:szCs w:val="26"/>
        </w:rPr>
        <w:t xml:space="preserve">The second example, instantiating category 2a, comes from </w:t>
      </w:r>
      <w:proofErr w:type="spellStart"/>
      <w:r w:rsidRPr="00FD6165">
        <w:rPr>
          <w:rFonts w:cs="Times New Roman"/>
          <w:sz w:val="26"/>
          <w:szCs w:val="26"/>
        </w:rPr>
        <w:t>Sifre</w:t>
      </w:r>
      <w:proofErr w:type="spellEnd"/>
      <w:r w:rsidRPr="00FD6165">
        <w:rPr>
          <w:rFonts w:cs="Times New Roman"/>
          <w:sz w:val="26"/>
          <w:szCs w:val="26"/>
        </w:rPr>
        <w:t xml:space="preserve"> Num. 123 (Horovitz ed., 152), which concerns the red heifer.</w:t>
      </w:r>
    </w:p>
    <w:p w:rsidR="008C5B42" w:rsidRDefault="008C5B42" w:rsidP="008C5B42">
      <w:pPr>
        <w:pStyle w:val="11"/>
        <w:tabs>
          <w:tab w:val="left" w:pos="288"/>
        </w:tabs>
        <w:spacing w:before="0" w:after="0" w:line="300" w:lineRule="exact"/>
        <w:jc w:val="both"/>
        <w:rPr>
          <w:rFonts w:cs="Times New Roman"/>
          <w:b/>
          <w:bCs/>
          <w:i/>
          <w:iCs/>
          <w:sz w:val="26"/>
          <w:szCs w:val="26"/>
        </w:rPr>
      </w:pPr>
    </w:p>
    <w:p w:rsidR="008C5B42" w:rsidRPr="00017AC2" w:rsidRDefault="008C5B42" w:rsidP="008C5B42">
      <w:pPr>
        <w:pStyle w:val="11"/>
        <w:keepNext/>
        <w:tabs>
          <w:tab w:val="left" w:pos="288"/>
        </w:tabs>
        <w:spacing w:before="0" w:after="0" w:line="300" w:lineRule="exact"/>
        <w:jc w:val="both"/>
        <w:rPr>
          <w:rFonts w:cs="Times New Roman"/>
          <w:b/>
          <w:bCs/>
          <w:i/>
          <w:iCs/>
          <w:sz w:val="26"/>
          <w:szCs w:val="26"/>
        </w:rPr>
      </w:pPr>
      <w:r w:rsidRPr="00017AC2">
        <w:rPr>
          <w:rFonts w:cs="Times New Roman"/>
          <w:b/>
          <w:bCs/>
          <w:i/>
          <w:iCs/>
          <w:sz w:val="26"/>
          <w:szCs w:val="26"/>
        </w:rPr>
        <w:t xml:space="preserve">Case </w:t>
      </w:r>
      <w:r>
        <w:rPr>
          <w:rFonts w:cs="Times New Roman"/>
          <w:b/>
          <w:bCs/>
          <w:i/>
          <w:iCs/>
          <w:sz w:val="26"/>
          <w:szCs w:val="26"/>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350"/>
        <w:gridCol w:w="2490"/>
      </w:tblGrid>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“Which has no blemish” (Num 19:2).</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668" w:type="dxa"/>
          </w:tcPr>
          <w:p w:rsidR="008C5B42" w:rsidRPr="002F64DD" w:rsidRDefault="008C5B42" w:rsidP="008C5B42">
            <w:pPr>
              <w:pStyle w:val="11"/>
              <w:tabs>
                <w:tab w:val="left" w:pos="288"/>
              </w:tabs>
              <w:spacing w:before="0" w:after="0" w:line="300" w:lineRule="exact"/>
              <w:jc w:val="right"/>
              <w:rPr>
                <w:rFonts w:cs="Times New Roman" w:hint="cs"/>
                <w:sz w:val="26"/>
                <w:szCs w:val="26"/>
              </w:rPr>
            </w:pPr>
            <w:r w:rsidRPr="00FD6165">
              <w:rPr>
                <w:rFonts w:cs="Times New Roman"/>
                <w:sz w:val="26"/>
                <w:szCs w:val="26"/>
                <w:rtl/>
              </w:rPr>
              <w:t>אשר אין בה מום</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Why is this said? Before it says, I already have by </w:t>
            </w:r>
            <w:r w:rsidRPr="00FD6165">
              <w:rPr>
                <w:rFonts w:cs="Times New Roman"/>
                <w:i/>
                <w:iCs/>
                <w:sz w:val="26"/>
                <w:szCs w:val="26"/>
              </w:rPr>
              <w:t>din</w:t>
            </w:r>
            <w:r w:rsidRPr="00FD6165">
              <w:rPr>
                <w:rFonts w:cs="Times New Roman"/>
                <w:sz w:val="26"/>
                <w:szCs w:val="26"/>
              </w:rPr>
              <w:t xml:space="preserve">: If sanctified animals, which labor does not invalidate, are invalidated by a blemish, then the heifer, which labor does invalidate, should it not by </w:t>
            </w:r>
            <w:r w:rsidRPr="00FD6165">
              <w:rPr>
                <w:rFonts w:cs="Times New Roman"/>
                <w:i/>
                <w:iCs/>
                <w:sz w:val="26"/>
                <w:szCs w:val="26"/>
              </w:rPr>
              <w:t>din</w:t>
            </w:r>
            <w:r w:rsidRPr="00FD6165">
              <w:rPr>
                <w:rFonts w:cs="Times New Roman"/>
                <w:sz w:val="26"/>
                <w:szCs w:val="26"/>
              </w:rPr>
              <w:t xml:space="preserve"> be invalidated by a blemish?</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למה נא' הא עד שלא יאמר יש לי בדין מה מוקדשין שאין מלאכה פוסלת בהן מום פוסל בהן פרה שמלאכה פוסלת בה אינו דין שיהא מום פוסל בה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719" w:type="dxa"/>
          </w:tcPr>
          <w:p w:rsidR="008C5B42" w:rsidRDefault="008C5B42" w:rsidP="0093785D">
            <w:pPr>
              <w:pStyle w:val="11"/>
              <w:tabs>
                <w:tab w:val="left" w:pos="288"/>
              </w:tabs>
              <w:spacing w:before="0" w:after="0" w:line="300" w:lineRule="exact"/>
              <w:rPr>
                <w:rFonts w:cs="Times New Roman"/>
                <w:sz w:val="26"/>
                <w:szCs w:val="26"/>
              </w:rPr>
            </w:pPr>
            <w:r w:rsidRPr="00FD6165">
              <w:rPr>
                <w:rFonts w:cs="Times New Roman"/>
                <w:sz w:val="26"/>
                <w:szCs w:val="26"/>
              </w:rPr>
              <w:t>No. If you say concerning sanctified animals, whose preparation is in purity, for which reason they are invalidated by a blemish, will you say concerning the heifer, whose preparation is in defilement, for which reason it should not be invalidated by a blemish?</w:t>
            </w:r>
            <w:r w:rsidRPr="00FD6165">
              <w:rPr>
                <w:rStyle w:val="FootnoteCharacters"/>
                <w:rFonts w:cs="Times New Roman"/>
                <w:sz w:val="26"/>
                <w:szCs w:val="26"/>
              </w:rPr>
              <w:footnoteReference w:id="21"/>
            </w:r>
          </w:p>
          <w:p w:rsidR="00BD741C" w:rsidRPr="002F64DD" w:rsidRDefault="00BD741C" w:rsidP="0093785D">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hint="cs"/>
                <w:sz w:val="26"/>
                <w:szCs w:val="26"/>
                <w:rtl/>
              </w:rPr>
            </w:pPr>
            <w:r w:rsidRPr="00FD6165">
              <w:rPr>
                <w:rFonts w:cs="Times New Roman"/>
                <w:sz w:val="26"/>
                <w:szCs w:val="26"/>
                <w:rtl/>
              </w:rPr>
              <w:t>לא אם אמרת במוקדשין שעשייתן בטהרה לפיכך מום פוסל בהן תאמר בפרה שעשייתה בטומאה לפיכך לא יהא מום פוסל בה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The Passover [sacrifice] will prove, for its preparation is in defilement, and it is invalidated by a blemish.</w:t>
            </w:r>
            <w:r w:rsidR="00EA590F">
              <w:rPr>
                <w:rFonts w:cs="Times New Roman"/>
                <w:sz w:val="26"/>
                <w:szCs w:val="26"/>
              </w:rPr>
              <w:t xml:space="preserve"> </w:t>
            </w:r>
            <w:r w:rsidRPr="00FD6165">
              <w:rPr>
                <w:rFonts w:cs="Times New Roman"/>
                <w:sz w:val="26"/>
                <w:szCs w:val="26"/>
              </w:rPr>
              <w:t>It will prove concerning the heifer, that even though its preparation is in defilement, it is invalidated by a blemish.</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הרי פסח יוכיח שעשייתו בטומאה ומום פוסל בו הוא יוכיח לפרה שאף על פי שעשייתה בטומאה שהמום פוסל בה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lastRenderedPageBreak/>
              <w:t>5</w:t>
            </w:r>
            <w:r>
              <w:rPr>
                <w:rFonts w:cs="Times New Roman"/>
                <w:sz w:val="26"/>
                <w:szCs w:val="26"/>
              </w:rPr>
              <w:t>.</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No. If you say concerning the Passover [sacrifice], which has a fixed time, for which reason it is invalidated by a blemish, will you say concerning the heifer, which has no fixed time, for which reason it should not be invalidated by a blemish?</w:t>
            </w:r>
          </w:p>
          <w:p w:rsidR="008C5B42" w:rsidRPr="002F64DD"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לא אם אמרת בפסח שיש לו זמן קבוע לפיכך מום פוסל בו תאמר בפרה שאין לה זמן קבועה לפיכך לא יהא מום פוסל בה</w:t>
            </w:r>
          </w:p>
        </w:tc>
      </w:tr>
      <w:tr w:rsidR="008C5B42" w:rsidRPr="002F64DD" w:rsidTr="008C5B42">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Pr>
                <w:rFonts w:cs="Times New Roman"/>
                <w:sz w:val="26"/>
                <w:szCs w:val="26"/>
              </w:rPr>
              <w:t>6.</w:t>
            </w:r>
          </w:p>
        </w:tc>
        <w:tc>
          <w:tcPr>
            <w:tcW w:w="4719"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“which has no blemish.”</w:t>
            </w:r>
          </w:p>
          <w:p w:rsidR="008C5B42" w:rsidRPr="00FD6165" w:rsidRDefault="008C5B42" w:rsidP="008C5B42">
            <w:pPr>
              <w:pStyle w:val="11"/>
              <w:tabs>
                <w:tab w:val="left" w:pos="288"/>
              </w:tabs>
              <w:spacing w:before="0" w:after="0" w:line="300" w:lineRule="exact"/>
              <w:rPr>
                <w:rFonts w:cs="Times New Roman"/>
                <w:sz w:val="26"/>
                <w:szCs w:val="26"/>
              </w:rPr>
            </w:pPr>
          </w:p>
        </w:tc>
        <w:tc>
          <w:tcPr>
            <w:tcW w:w="2668" w:type="dxa"/>
          </w:tcPr>
          <w:p w:rsidR="008C5B42" w:rsidRPr="00FD6165" w:rsidRDefault="008C5B42" w:rsidP="008C5B42">
            <w:pPr>
              <w:pStyle w:val="11"/>
              <w:tabs>
                <w:tab w:val="left" w:pos="288"/>
              </w:tabs>
              <w:spacing w:before="0" w:after="0" w:line="300" w:lineRule="exact"/>
              <w:jc w:val="right"/>
              <w:rPr>
                <w:rFonts w:cs="Times New Roman"/>
                <w:sz w:val="26"/>
                <w:szCs w:val="26"/>
                <w:rtl/>
              </w:rPr>
            </w:pPr>
            <w:r w:rsidRPr="00FD6165">
              <w:rPr>
                <w:rFonts w:cs="Times New Roman"/>
                <w:sz w:val="26"/>
                <w:szCs w:val="26"/>
                <w:rtl/>
              </w:rPr>
              <w:t>ת' ל' אשר אין בה מום</w:t>
            </w:r>
          </w:p>
        </w:tc>
      </w:tr>
    </w:tbl>
    <w:p w:rsidR="008C5B42" w:rsidRPr="00FD6165" w:rsidRDefault="008C5B42" w:rsidP="008C5B42">
      <w:pPr>
        <w:pStyle w:val="11"/>
        <w:tabs>
          <w:tab w:val="left" w:pos="288"/>
        </w:tabs>
        <w:spacing w:before="0" w:after="0" w:line="300" w:lineRule="exact"/>
        <w:ind w:left="1440" w:right="1440" w:firstLine="288"/>
        <w:jc w:val="both"/>
        <w:rPr>
          <w:rFonts w:cs="Times New Roman"/>
          <w:b/>
          <w:bCs/>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Here the </w:t>
      </w:r>
      <w:r w:rsidRPr="00FD6165">
        <w:rPr>
          <w:rFonts w:cs="Times New Roman"/>
          <w:i/>
          <w:iCs/>
          <w:sz w:val="26"/>
          <w:szCs w:val="26"/>
        </w:rPr>
        <w:t xml:space="preserve">din </w:t>
      </w:r>
      <w:r w:rsidRPr="00FD6165">
        <w:rPr>
          <w:rFonts w:cs="Times New Roman"/>
          <w:sz w:val="26"/>
          <w:szCs w:val="26"/>
        </w:rPr>
        <w:t xml:space="preserve">(stage 2) reaches the same conclusion as the verse (stage 1), so that the object of the dialectic is to refute the </w:t>
      </w:r>
      <w:r w:rsidRPr="00FD6165">
        <w:rPr>
          <w:rFonts w:cs="Times New Roman"/>
          <w:i/>
          <w:iCs/>
          <w:sz w:val="26"/>
          <w:szCs w:val="26"/>
        </w:rPr>
        <w:t>din</w:t>
      </w:r>
      <w:r w:rsidRPr="00FD6165">
        <w:rPr>
          <w:rFonts w:cs="Times New Roman"/>
          <w:sz w:val="26"/>
          <w:szCs w:val="26"/>
        </w:rPr>
        <w:t xml:space="preserve">. The refutation begins with a say-argument (stage 3), to which a prove-argument responds (stage 4). Another say-argument refutes the </w:t>
      </w:r>
      <w:r w:rsidRPr="00FD6165">
        <w:rPr>
          <w:rFonts w:cs="Times New Roman"/>
          <w:i/>
          <w:iCs/>
          <w:sz w:val="26"/>
          <w:szCs w:val="26"/>
        </w:rPr>
        <w:t>din</w:t>
      </w:r>
      <w:r w:rsidRPr="00FD6165">
        <w:rPr>
          <w:rFonts w:cs="Times New Roman"/>
          <w:sz w:val="26"/>
          <w:szCs w:val="26"/>
        </w:rPr>
        <w:t xml:space="preserve"> (stage 5), and thus justifies the verse.</w:t>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Each of the prove- and say-arguments in cases 4 and 5 includes an addendum, a clause that is logically unnecessary, but clarifies the argument just made. After prove-arguments comes the addendum: “It will prove, etc.” The addendum to say-arguments, which occurs not only in the apodosis but also the </w:t>
      </w:r>
      <w:proofErr w:type="spellStart"/>
      <w:r w:rsidRPr="00FD6165">
        <w:rPr>
          <w:rFonts w:cs="Times New Roman"/>
          <w:sz w:val="26"/>
          <w:szCs w:val="26"/>
        </w:rPr>
        <w:t>protasis</w:t>
      </w:r>
      <w:proofErr w:type="spellEnd"/>
      <w:r w:rsidRPr="00FD6165">
        <w:rPr>
          <w:rFonts w:cs="Times New Roman"/>
          <w:sz w:val="26"/>
          <w:szCs w:val="26"/>
        </w:rPr>
        <w:t xml:space="preserve">, is: “for which reason.” We may call these addenda the prove-addendum and the reason-addendum. In all works of the school of R. Ishmael, the addenda attach to their respective arguments at all stages of the dialectic. In some </w:t>
      </w:r>
      <w:proofErr w:type="gramStart"/>
      <w:r w:rsidRPr="00FD6165">
        <w:rPr>
          <w:rFonts w:cs="Times New Roman"/>
          <w:sz w:val="26"/>
          <w:szCs w:val="26"/>
        </w:rPr>
        <w:t>instances</w:t>
      </w:r>
      <w:proofErr w:type="gramEnd"/>
      <w:r w:rsidRPr="00FD6165">
        <w:rPr>
          <w:rFonts w:cs="Times New Roman"/>
          <w:sz w:val="26"/>
          <w:szCs w:val="26"/>
        </w:rPr>
        <w:t xml:space="preserve"> they do not occur, perhaps due to copyist omission, or perhaps from a desire for concision, but there is no pattern to the omission. Thus, in sharp contrast with their </w:t>
      </w:r>
      <w:proofErr w:type="spellStart"/>
      <w:r w:rsidRPr="00FD6165">
        <w:rPr>
          <w:rFonts w:cs="Times New Roman"/>
          <w:sz w:val="26"/>
          <w:szCs w:val="26"/>
        </w:rPr>
        <w:t>Akivan</w:t>
      </w:r>
      <w:proofErr w:type="spellEnd"/>
      <w:r w:rsidRPr="00FD6165">
        <w:rPr>
          <w:rFonts w:cs="Times New Roman"/>
          <w:sz w:val="26"/>
          <w:szCs w:val="26"/>
        </w:rPr>
        <w:t xml:space="preserve"> parallels, the addenda do not serve as rhetorical punctuation to signal the end of the dialectic. The contrast between the two schools is particularly clear in the following pair of parallel passages from </w:t>
      </w:r>
      <w:proofErr w:type="spellStart"/>
      <w:r w:rsidRPr="00FD6165">
        <w:rPr>
          <w:rFonts w:cs="Times New Roman"/>
          <w:sz w:val="26"/>
          <w:szCs w:val="26"/>
        </w:rPr>
        <w:t>Mek</w:t>
      </w:r>
      <w:proofErr w:type="spellEnd"/>
      <w:r w:rsidRPr="00FD6165">
        <w:rPr>
          <w:rFonts w:cs="Times New Roman"/>
          <w:sz w:val="26"/>
          <w:szCs w:val="26"/>
        </w:rPr>
        <w:t xml:space="preserve">. R. Ishmael and </w:t>
      </w:r>
      <w:proofErr w:type="spellStart"/>
      <w:r w:rsidRPr="00FD6165">
        <w:rPr>
          <w:rFonts w:cs="Times New Roman"/>
          <w:sz w:val="26"/>
          <w:szCs w:val="26"/>
        </w:rPr>
        <w:t>Mek</w:t>
      </w:r>
      <w:proofErr w:type="spellEnd"/>
      <w:r w:rsidRPr="00FD6165">
        <w:rPr>
          <w:rFonts w:cs="Times New Roman"/>
          <w:sz w:val="26"/>
          <w:szCs w:val="26"/>
        </w:rPr>
        <w:t xml:space="preserve">. R. Shimon, where, however, the dialectic concerns the law itself, rather than a </w:t>
      </w:r>
      <w:r w:rsidRPr="00FD6165">
        <w:rPr>
          <w:rFonts w:cs="Times New Roman"/>
          <w:i/>
          <w:iCs/>
          <w:sz w:val="26"/>
          <w:szCs w:val="26"/>
        </w:rPr>
        <w:t xml:space="preserve">din </w:t>
      </w:r>
      <w:r w:rsidRPr="00FD6165">
        <w:rPr>
          <w:rFonts w:cs="Times New Roman"/>
          <w:sz w:val="26"/>
          <w:szCs w:val="26"/>
        </w:rPr>
        <w:t>that serves to ground an exegetical claim. Given the amount of text, and given that our interest lies in form rather than in substance, I forgo translation, and instead simply place the relevant technical terms in bold.</w:t>
      </w:r>
      <w:r w:rsidRPr="00FD6165">
        <w:rPr>
          <w:rStyle w:val="FootnoteCharacters"/>
          <w:rFonts w:cs="Times New Roman"/>
          <w:sz w:val="26"/>
          <w:szCs w:val="26"/>
        </w:rPr>
        <w:footnoteReference w:id="22"/>
      </w:r>
    </w:p>
    <w:p w:rsidR="008C5B42" w:rsidRPr="00541E5D" w:rsidRDefault="00B85A67" w:rsidP="00B85A67">
      <w:pPr>
        <w:pStyle w:val="11"/>
        <w:tabs>
          <w:tab w:val="left" w:pos="288"/>
        </w:tabs>
        <w:spacing w:before="0" w:after="0" w:line="300" w:lineRule="exact"/>
        <w:ind w:firstLine="288"/>
        <w:jc w:val="both"/>
        <w:rPr>
          <w:rFonts w:cs="Times New Roman"/>
          <w:b/>
          <w:bCs/>
          <w:i/>
          <w:iCs/>
          <w:sz w:val="26"/>
          <w:szCs w:val="26"/>
        </w:rPr>
      </w:pPr>
      <w:r>
        <w:rPr>
          <w:rFonts w:cs="Times New Roman"/>
          <w:b/>
          <w:bCs/>
          <w:sz w:val="26"/>
          <w:szCs w:val="26"/>
        </w:rPr>
        <w:br w:type="page"/>
      </w:r>
      <w:r w:rsidR="008C5B42" w:rsidRPr="00541E5D">
        <w:rPr>
          <w:rFonts w:cs="Times New Roman"/>
          <w:b/>
          <w:bCs/>
          <w:i/>
          <w:iCs/>
          <w:sz w:val="26"/>
          <w:szCs w:val="26"/>
        </w:rPr>
        <w:lastRenderedPageBreak/>
        <w:t>Case 6</w:t>
      </w:r>
    </w:p>
    <w:tbl>
      <w:tblPr>
        <w:tblW w:w="7601" w:type="dxa"/>
        <w:tblInd w:w="-5" w:type="dxa"/>
        <w:tblLayout w:type="fixed"/>
        <w:tblLook w:val="0000" w:firstRow="0" w:lastRow="0" w:firstColumn="0" w:lastColumn="0" w:noHBand="0" w:noVBand="0"/>
      </w:tblPr>
      <w:tblGrid>
        <w:gridCol w:w="3461"/>
        <w:gridCol w:w="3420"/>
        <w:gridCol w:w="720"/>
      </w:tblGrid>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Pr="00FD6165" w:rsidRDefault="008C5B42" w:rsidP="006F0259">
            <w:pPr>
              <w:pStyle w:val="11"/>
              <w:tabs>
                <w:tab w:val="left" w:pos="288"/>
              </w:tabs>
              <w:snapToGrid w:val="0"/>
              <w:spacing w:before="0" w:after="0" w:line="300" w:lineRule="exact"/>
              <w:ind w:right="72" w:firstLine="5"/>
              <w:rPr>
                <w:rFonts w:cs="Times New Roman"/>
                <w:sz w:val="26"/>
                <w:szCs w:val="26"/>
              </w:rPr>
            </w:pPr>
            <w:proofErr w:type="spellStart"/>
            <w:r w:rsidRPr="00FD6165">
              <w:rPr>
                <w:rFonts w:cs="Times New Roman"/>
                <w:sz w:val="26"/>
                <w:szCs w:val="26"/>
              </w:rPr>
              <w:t>Mek</w:t>
            </w:r>
            <w:proofErr w:type="spellEnd"/>
            <w:r w:rsidRPr="00FD6165">
              <w:rPr>
                <w:rFonts w:cs="Times New Roman"/>
                <w:sz w:val="26"/>
                <w:szCs w:val="26"/>
              </w:rPr>
              <w:t xml:space="preserve">. R. </w:t>
            </w:r>
            <w:proofErr w:type="spellStart"/>
            <w:r w:rsidRPr="00FD6165">
              <w:rPr>
                <w:rFonts w:cs="Times New Roman"/>
                <w:sz w:val="26"/>
                <w:szCs w:val="26"/>
              </w:rPr>
              <w:t>Ish</w:t>
            </w:r>
            <w:proofErr w:type="spellEnd"/>
            <w:r w:rsidRPr="00FD6165">
              <w:rPr>
                <w:rFonts w:cs="Times New Roman"/>
                <w:sz w:val="26"/>
                <w:szCs w:val="26"/>
              </w:rPr>
              <w:t xml:space="preserve">. </w:t>
            </w:r>
            <w:proofErr w:type="spellStart"/>
            <w:r w:rsidRPr="00FD6165">
              <w:rPr>
                <w:rFonts w:cs="Times New Roman"/>
                <w:sz w:val="26"/>
                <w:szCs w:val="26"/>
              </w:rPr>
              <w:t>Pis</w:t>
            </w:r>
            <w:r w:rsidR="007E375C">
              <w:rPr>
                <w:rFonts w:cs="Times New Roman"/>
                <w:sz w:val="26"/>
                <w:szCs w:val="26"/>
              </w:rPr>
              <w:t>ḥ</w:t>
            </w:r>
            <w:r w:rsidRPr="00FD6165">
              <w:rPr>
                <w:rFonts w:cs="Times New Roman"/>
                <w:sz w:val="26"/>
                <w:szCs w:val="26"/>
              </w:rPr>
              <w:t>a</w:t>
            </w:r>
            <w:proofErr w:type="spellEnd"/>
            <w:r w:rsidRPr="00FD6165">
              <w:rPr>
                <w:rFonts w:cs="Times New Roman"/>
                <w:sz w:val="26"/>
                <w:szCs w:val="26"/>
              </w:rPr>
              <w:t xml:space="preserve"> 9 (Horovitz-Rabin ed., 30)</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6F0259">
            <w:pPr>
              <w:pStyle w:val="11"/>
              <w:tabs>
                <w:tab w:val="left" w:pos="288"/>
              </w:tabs>
              <w:snapToGrid w:val="0"/>
              <w:spacing w:before="0" w:after="0" w:line="300" w:lineRule="exact"/>
              <w:ind w:right="72" w:firstLine="72"/>
              <w:rPr>
                <w:rFonts w:cs="Times New Roman"/>
                <w:sz w:val="26"/>
                <w:szCs w:val="26"/>
              </w:rPr>
            </w:pPr>
            <w:proofErr w:type="spellStart"/>
            <w:r w:rsidRPr="00FD6165">
              <w:rPr>
                <w:rFonts w:cs="Times New Roman"/>
                <w:sz w:val="26"/>
                <w:szCs w:val="26"/>
              </w:rPr>
              <w:t>Mek</w:t>
            </w:r>
            <w:proofErr w:type="spellEnd"/>
            <w:r w:rsidRPr="00FD6165">
              <w:rPr>
                <w:rFonts w:cs="Times New Roman"/>
                <w:sz w:val="26"/>
                <w:szCs w:val="26"/>
              </w:rPr>
              <w:t xml:space="preserve">. R. Sh. </w:t>
            </w:r>
            <w:r w:rsidRPr="00FD6165">
              <w:rPr>
                <w:rFonts w:cs="Times New Roman"/>
                <w:i/>
                <w:iCs/>
                <w:sz w:val="26"/>
                <w:szCs w:val="26"/>
              </w:rPr>
              <w:t xml:space="preserve">ad </w:t>
            </w:r>
            <w:r w:rsidRPr="00FD6165">
              <w:rPr>
                <w:rFonts w:cs="Times New Roman"/>
                <w:sz w:val="26"/>
                <w:szCs w:val="26"/>
              </w:rPr>
              <w:t>Ex 12:16 (Epstein-</w:t>
            </w:r>
            <w:proofErr w:type="spellStart"/>
            <w:r w:rsidRPr="00FD6165">
              <w:rPr>
                <w:rFonts w:cs="Times New Roman"/>
                <w:sz w:val="26"/>
                <w:szCs w:val="26"/>
              </w:rPr>
              <w:t>Melammed</w:t>
            </w:r>
            <w:proofErr w:type="spellEnd"/>
            <w:r w:rsidRPr="00FD6165">
              <w:rPr>
                <w:rFonts w:cs="Times New Roman"/>
                <w:sz w:val="26"/>
                <w:szCs w:val="26"/>
              </w:rPr>
              <w:t xml:space="preserve"> ed., 18)</w:t>
            </w: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8C5B42" w:rsidP="006F0259">
            <w:pPr>
              <w:pStyle w:val="11"/>
              <w:tabs>
                <w:tab w:val="left" w:pos="288"/>
              </w:tabs>
              <w:bidi/>
              <w:snapToGrid w:val="0"/>
              <w:spacing w:before="0" w:after="0" w:line="300" w:lineRule="exact"/>
              <w:ind w:right="1440" w:firstLine="288"/>
              <w:jc w:val="right"/>
              <w:rPr>
                <w:rFonts w:cs="Times New Roman" w:hint="cs"/>
                <w:sz w:val="26"/>
                <w:szCs w:val="26"/>
              </w:rPr>
            </w:pP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 w:val="left" w:pos="4572"/>
              </w:tabs>
              <w:bidi/>
              <w:snapToGrid w:val="0"/>
              <w:spacing w:before="0" w:after="0" w:line="300" w:lineRule="exact"/>
              <w:ind w:right="-18" w:firstLine="288"/>
              <w:rPr>
                <w:rFonts w:cs="Times New Roman" w:hint="cs"/>
                <w:sz w:val="26"/>
                <w:szCs w:val="26"/>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Default="008C5B42" w:rsidP="008C5B42">
            <w:pPr>
              <w:bidi/>
              <w:snapToGrid w:val="0"/>
              <w:spacing w:line="300" w:lineRule="exact"/>
              <w:rPr>
                <w:rFonts w:hint="cs"/>
                <w:sz w:val="26"/>
                <w:szCs w:val="26"/>
                <w:rtl/>
                <w:lang w:bidi="he-IL"/>
              </w:rPr>
            </w:pPr>
            <w:r w:rsidRPr="00FD6165">
              <w:rPr>
                <w:sz w:val="26"/>
                <w:szCs w:val="26"/>
                <w:rtl/>
              </w:rPr>
              <w:t>ביום הראשון מק' קו' וביום השביעי מק' קו' אין לי אלא יום טוב ראשון ואחרון שאסורין במלאכה חולו שלמועד מנ</w:t>
            </w:r>
            <w:r w:rsidRPr="00FD6165">
              <w:rPr>
                <w:sz w:val="26"/>
                <w:szCs w:val="26"/>
              </w:rPr>
              <w:t>'</w:t>
            </w:r>
          </w:p>
          <w:p w:rsidR="00B85A67" w:rsidRPr="00FD6165" w:rsidRDefault="00B85A67" w:rsidP="00B85A67">
            <w:pPr>
              <w:bidi/>
              <w:snapToGrid w:val="0"/>
              <w:spacing w:line="300" w:lineRule="exact"/>
              <w:rPr>
                <w:rFonts w:hint="cs"/>
                <w:sz w:val="26"/>
                <w:szCs w:val="26"/>
                <w:lang w:bidi="he-IL"/>
              </w:rPr>
            </w:pP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6F0259" w:rsidP="006F0259">
            <w:pPr>
              <w:tabs>
                <w:tab w:val="left" w:pos="288"/>
              </w:tabs>
              <w:snapToGrid w:val="0"/>
              <w:spacing w:line="300" w:lineRule="exact"/>
              <w:ind w:firstLine="288"/>
              <w:rPr>
                <w:rFonts w:hint="cs"/>
                <w:sz w:val="26"/>
                <w:szCs w:val="26"/>
                <w:rtl/>
                <w:lang w:bidi="he-IL"/>
              </w:rPr>
            </w:pPr>
            <w:r>
              <w:rPr>
                <w:rFonts w:hint="cs"/>
                <w:sz w:val="26"/>
                <w:szCs w:val="26"/>
                <w:rtl/>
                <w:lang w:bidi="he-IL"/>
              </w:rPr>
              <w:t>1.</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Pr="00FD6165" w:rsidRDefault="008C5B42" w:rsidP="008C5B42">
            <w:pPr>
              <w:pStyle w:val="11"/>
              <w:tabs>
                <w:tab w:val="left" w:pos="288"/>
                <w:tab w:val="left" w:pos="4572"/>
              </w:tabs>
              <w:bidi/>
              <w:snapToGrid w:val="0"/>
              <w:spacing w:before="0" w:after="0" w:line="300" w:lineRule="exact"/>
              <w:ind w:right="-18"/>
              <w:rPr>
                <w:rFonts w:cs="Times New Roman"/>
                <w:sz w:val="26"/>
                <w:szCs w:val="26"/>
                <w:rtl/>
              </w:rPr>
            </w:pPr>
            <w:r w:rsidRPr="00FD6165">
              <w:rPr>
                <w:rFonts w:cs="Times New Roman"/>
                <w:sz w:val="26"/>
                <w:szCs w:val="26"/>
                <w:rtl/>
              </w:rPr>
              <w:t>אם יום טוב הראשון והאחרון שאין קדושה לפניהם ולאחריהם הרי הן אסורין בעשיית מלאכה חולו של מועד שיש קדושה לפניהם ולאחר' אינו דין שיהא אסור בעשיית מלא</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Default="008C5B42" w:rsidP="008C5B42">
            <w:pPr>
              <w:tabs>
                <w:tab w:val="left" w:pos="288"/>
              </w:tabs>
              <w:bidi/>
              <w:snapToGrid w:val="0"/>
              <w:spacing w:line="300" w:lineRule="exact"/>
              <w:rPr>
                <w:rFonts w:hint="cs"/>
                <w:sz w:val="26"/>
                <w:szCs w:val="26"/>
                <w:rtl/>
                <w:lang w:bidi="he-IL"/>
              </w:rPr>
            </w:pPr>
            <w:r w:rsidRPr="00FD6165">
              <w:rPr>
                <w:sz w:val="26"/>
                <w:szCs w:val="26"/>
                <w:rtl/>
              </w:rPr>
              <w:t>אמרת ומה יום טוב ראשון ואחרון שאין לפניהם (שאין) ואחריהן מקודשין &lt;אסורין במלאכה&gt; חולו שלמועד שלפניהם ואחריהן מקודשין אינו דין שיהו אסורין במלאכה</w:t>
            </w:r>
          </w:p>
          <w:p w:rsidR="00B85A67" w:rsidRPr="00FD6165" w:rsidRDefault="00B85A67" w:rsidP="00B85A67">
            <w:pPr>
              <w:tabs>
                <w:tab w:val="left" w:pos="288"/>
              </w:tabs>
              <w:bidi/>
              <w:snapToGrid w:val="0"/>
              <w:spacing w:line="300" w:lineRule="exact"/>
              <w:rPr>
                <w:rFonts w:hint="cs"/>
                <w:sz w:val="26"/>
                <w:szCs w:val="26"/>
                <w:rtl/>
                <w:lang w:bidi="he-IL"/>
              </w:rPr>
            </w:pP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6F0259" w:rsidP="006F0259">
            <w:pPr>
              <w:tabs>
                <w:tab w:val="left" w:pos="288"/>
              </w:tabs>
              <w:snapToGrid w:val="0"/>
              <w:spacing w:line="300" w:lineRule="exact"/>
              <w:ind w:firstLine="288"/>
              <w:rPr>
                <w:sz w:val="26"/>
                <w:szCs w:val="26"/>
              </w:rPr>
            </w:pPr>
            <w:r>
              <w:rPr>
                <w:rFonts w:hint="cs"/>
                <w:sz w:val="26"/>
                <w:szCs w:val="26"/>
                <w:rtl/>
                <w:lang w:bidi="he-IL"/>
              </w:rPr>
              <w:t>2.</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Default="008C5B42" w:rsidP="005C51CB">
            <w:pPr>
              <w:pStyle w:val="11"/>
              <w:tabs>
                <w:tab w:val="left" w:pos="288"/>
                <w:tab w:val="left" w:pos="4572"/>
              </w:tabs>
              <w:bidi/>
              <w:snapToGrid w:val="0"/>
              <w:spacing w:before="0" w:after="0" w:line="300" w:lineRule="exact"/>
              <w:ind w:right="-18"/>
              <w:rPr>
                <w:rFonts w:cs="Times New Roman"/>
                <w:sz w:val="26"/>
                <w:szCs w:val="26"/>
              </w:rPr>
            </w:pPr>
            <w:r w:rsidRPr="00FD6165">
              <w:rPr>
                <w:rFonts w:cs="Times New Roman"/>
                <w:sz w:val="26"/>
                <w:szCs w:val="26"/>
                <w:rtl/>
              </w:rPr>
              <w:t xml:space="preserve">ששת ימי בראשית </w:t>
            </w:r>
            <w:r w:rsidRPr="00FD6165">
              <w:rPr>
                <w:rFonts w:cs="Times New Roman"/>
                <w:b/>
                <w:bCs/>
                <w:sz w:val="26"/>
                <w:szCs w:val="26"/>
                <w:rtl/>
              </w:rPr>
              <w:t>יוכיחו</w:t>
            </w:r>
            <w:r w:rsidRPr="00FD6165">
              <w:rPr>
                <w:rFonts w:cs="Times New Roman"/>
                <w:sz w:val="26"/>
                <w:szCs w:val="26"/>
                <w:rtl/>
              </w:rPr>
              <w:t xml:space="preserve"> שיש קדושה לפניהם ולא' והן מותרין בעשיית מלא' [</w:t>
            </w:r>
            <w:r w:rsidRPr="00FD6165">
              <w:rPr>
                <w:rFonts w:cs="Times New Roman"/>
                <w:b/>
                <w:bCs/>
                <w:sz w:val="26"/>
                <w:szCs w:val="26"/>
                <w:rtl/>
              </w:rPr>
              <w:t>הם יוכיחו</w:t>
            </w:r>
            <w:r w:rsidRPr="00FD6165">
              <w:rPr>
                <w:rFonts w:cs="Times New Roman"/>
                <w:sz w:val="26"/>
                <w:szCs w:val="26"/>
                <w:rtl/>
              </w:rPr>
              <w:t xml:space="preserve"> על חולו של מועד אע"פ שיש קדושה לפניו ולאחריו שיהא מותר בעשיית מלאכה</w:t>
            </w:r>
            <w:r w:rsidR="005C51CB">
              <w:rPr>
                <w:rFonts w:cs="Times New Roman"/>
                <w:sz w:val="26"/>
                <w:szCs w:val="26"/>
              </w:rPr>
              <w:t>[</w:t>
            </w:r>
          </w:p>
          <w:p w:rsidR="00B85A67" w:rsidRPr="00FD6165" w:rsidRDefault="00B85A67" w:rsidP="00B85A67">
            <w:pPr>
              <w:pStyle w:val="11"/>
              <w:tabs>
                <w:tab w:val="left" w:pos="288"/>
                <w:tab w:val="left" w:pos="4572"/>
              </w:tabs>
              <w:bidi/>
              <w:snapToGrid w:val="0"/>
              <w:spacing w:before="0" w:after="0" w:line="300" w:lineRule="exact"/>
              <w:ind w:right="-18"/>
              <w:rPr>
                <w:rFonts w:cs="Times New Roman" w:hint="cs"/>
                <w:sz w:val="26"/>
                <w:szCs w:val="26"/>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tabs>
                <w:tab w:val="left" w:pos="288"/>
              </w:tabs>
              <w:bidi/>
              <w:snapToGrid w:val="0"/>
              <w:spacing w:line="300" w:lineRule="exact"/>
              <w:rPr>
                <w:sz w:val="26"/>
                <w:szCs w:val="26"/>
                <w:rtl/>
              </w:rPr>
            </w:pPr>
            <w:r w:rsidRPr="00FD6165">
              <w:rPr>
                <w:sz w:val="26"/>
                <w:szCs w:val="26"/>
                <w:rtl/>
              </w:rPr>
              <w:t xml:space="preserve">הרי ששת ימי בראשית </w:t>
            </w:r>
            <w:r w:rsidRPr="00FD6165">
              <w:rPr>
                <w:b/>
                <w:bCs/>
                <w:sz w:val="26"/>
                <w:szCs w:val="26"/>
                <w:rtl/>
              </w:rPr>
              <w:t>יוכיח&lt;ו&gt;</w:t>
            </w:r>
            <w:r w:rsidRPr="00FD6165">
              <w:rPr>
                <w:sz w:val="26"/>
                <w:szCs w:val="26"/>
                <w:rtl/>
              </w:rPr>
              <w:t xml:space="preserve"> שלפניהם ואחריהן מק' מקודשין ואינן אסורין במלאכה</w:t>
            </w: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8C5B42" w:rsidP="006F0259">
            <w:pPr>
              <w:tabs>
                <w:tab w:val="left" w:pos="288"/>
              </w:tabs>
              <w:snapToGrid w:val="0"/>
              <w:spacing w:line="300" w:lineRule="exact"/>
              <w:ind w:firstLine="288"/>
              <w:rPr>
                <w:sz w:val="26"/>
                <w:szCs w:val="26"/>
                <w:lang w:bidi="he-IL"/>
              </w:rPr>
            </w:pPr>
            <w:r>
              <w:rPr>
                <w:rFonts w:hint="cs"/>
                <w:sz w:val="26"/>
                <w:szCs w:val="26"/>
                <w:rtl/>
              </w:rPr>
              <w:t>3</w:t>
            </w:r>
            <w:r w:rsidR="006F0259">
              <w:rPr>
                <w:rFonts w:hint="cs"/>
                <w:sz w:val="26"/>
                <w:szCs w:val="26"/>
                <w:rtl/>
                <w:lang w:bidi="he-IL"/>
              </w:rPr>
              <w:t>.</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Default="008C5B42" w:rsidP="008C5B42">
            <w:pPr>
              <w:pStyle w:val="11"/>
              <w:tabs>
                <w:tab w:val="left" w:pos="288"/>
                <w:tab w:val="left" w:pos="4572"/>
              </w:tabs>
              <w:bidi/>
              <w:snapToGrid w:val="0"/>
              <w:spacing w:before="0" w:after="0" w:line="300" w:lineRule="exact"/>
              <w:ind w:right="-18"/>
              <w:rPr>
                <w:rFonts w:cs="Times New Roman" w:hint="cs"/>
                <w:sz w:val="26"/>
                <w:szCs w:val="26"/>
                <w:rtl/>
              </w:rPr>
            </w:pPr>
            <w:r w:rsidRPr="00FD6165">
              <w:rPr>
                <w:rFonts w:cs="Times New Roman"/>
                <w:sz w:val="26"/>
                <w:szCs w:val="26"/>
                <w:rtl/>
              </w:rPr>
              <w:t xml:space="preserve">לא אם אמרת בששת ימי בראשית שאין בהן קרבן מוסף </w:t>
            </w:r>
            <w:r w:rsidRPr="00FD6165">
              <w:rPr>
                <w:rFonts w:cs="Times New Roman"/>
                <w:b/>
                <w:bCs/>
                <w:sz w:val="26"/>
                <w:szCs w:val="26"/>
                <w:rtl/>
              </w:rPr>
              <w:t>לפיכך</w:t>
            </w:r>
            <w:r w:rsidRPr="00FD6165">
              <w:rPr>
                <w:rFonts w:cs="Times New Roman"/>
                <w:sz w:val="26"/>
                <w:szCs w:val="26"/>
                <w:rtl/>
              </w:rPr>
              <w:t xml:space="preserve"> מותרין בעשיית מלא' </w:t>
            </w:r>
            <w:r w:rsidRPr="00FD6165">
              <w:rPr>
                <w:rFonts w:cs="Times New Roman"/>
                <w:b/>
                <w:bCs/>
                <w:sz w:val="26"/>
                <w:szCs w:val="26"/>
                <w:rtl/>
              </w:rPr>
              <w:t>תאמ'</w:t>
            </w:r>
            <w:r w:rsidRPr="00FD6165">
              <w:rPr>
                <w:rFonts w:cs="Times New Roman"/>
                <w:sz w:val="26"/>
                <w:szCs w:val="26"/>
                <w:rtl/>
              </w:rPr>
              <w:t xml:space="preserve"> בחולו של מועד שיש בו קרבן </w:t>
            </w:r>
            <w:r w:rsidRPr="00FD6165">
              <w:rPr>
                <w:rFonts w:cs="Times New Roman"/>
                <w:b/>
                <w:bCs/>
                <w:sz w:val="26"/>
                <w:szCs w:val="26"/>
                <w:rtl/>
              </w:rPr>
              <w:t>לפיכך</w:t>
            </w:r>
            <w:r w:rsidRPr="00FD6165">
              <w:rPr>
                <w:rFonts w:cs="Times New Roman"/>
                <w:sz w:val="26"/>
                <w:szCs w:val="26"/>
                <w:rtl/>
              </w:rPr>
              <w:t xml:space="preserve"> יהא אסור בעשיית מלאכה</w:t>
            </w:r>
          </w:p>
          <w:p w:rsidR="00B85A67" w:rsidRPr="00FD6165" w:rsidRDefault="00B85A67" w:rsidP="00B85A67">
            <w:pPr>
              <w:pStyle w:val="11"/>
              <w:tabs>
                <w:tab w:val="left" w:pos="288"/>
                <w:tab w:val="left" w:pos="4572"/>
              </w:tabs>
              <w:bidi/>
              <w:snapToGrid w:val="0"/>
              <w:spacing w:before="0" w:after="0" w:line="300" w:lineRule="exact"/>
              <w:ind w:right="-18"/>
              <w:rPr>
                <w:rFonts w:cs="Times New Roman"/>
                <w:sz w:val="26"/>
                <w:szCs w:val="26"/>
                <w:rtl/>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tabs>
                <w:tab w:val="left" w:pos="288"/>
              </w:tabs>
              <w:bidi/>
              <w:snapToGrid w:val="0"/>
              <w:spacing w:line="300" w:lineRule="exact"/>
              <w:rPr>
                <w:sz w:val="26"/>
                <w:szCs w:val="26"/>
                <w:rtl/>
              </w:rPr>
            </w:pPr>
            <w:r w:rsidRPr="00FD6165">
              <w:rPr>
                <w:sz w:val="26"/>
                <w:szCs w:val="26"/>
                <w:rtl/>
              </w:rPr>
              <w:t xml:space="preserve">לא אם אמרת בששת ימי בראשית שאין עמהן קרבן מוסף </w:t>
            </w:r>
            <w:r w:rsidRPr="00FD6165">
              <w:rPr>
                <w:b/>
                <w:bCs/>
                <w:sz w:val="26"/>
                <w:szCs w:val="26"/>
                <w:rtl/>
              </w:rPr>
              <w:t>תאמר</w:t>
            </w:r>
            <w:r w:rsidRPr="00FD6165">
              <w:rPr>
                <w:sz w:val="26"/>
                <w:szCs w:val="26"/>
                <w:rtl/>
              </w:rPr>
              <w:t xml:space="preserve"> בחולו של מועד שיש עמהן קרבן מוסף</w:t>
            </w: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6F0259" w:rsidP="006F0259">
            <w:pPr>
              <w:tabs>
                <w:tab w:val="left" w:pos="288"/>
              </w:tabs>
              <w:snapToGrid w:val="0"/>
              <w:spacing w:line="300" w:lineRule="exact"/>
              <w:ind w:firstLine="288"/>
              <w:rPr>
                <w:sz w:val="26"/>
                <w:szCs w:val="26"/>
              </w:rPr>
            </w:pPr>
            <w:r>
              <w:rPr>
                <w:rFonts w:hint="cs"/>
                <w:sz w:val="26"/>
                <w:szCs w:val="26"/>
                <w:rtl/>
                <w:lang w:bidi="he-IL"/>
              </w:rPr>
              <w:t>4.</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Default="008C5B42" w:rsidP="005C51CB">
            <w:pPr>
              <w:pStyle w:val="11"/>
              <w:tabs>
                <w:tab w:val="left" w:pos="288"/>
                <w:tab w:val="left" w:pos="4572"/>
              </w:tabs>
              <w:bidi/>
              <w:snapToGrid w:val="0"/>
              <w:spacing w:before="0" w:after="0" w:line="300" w:lineRule="exact"/>
              <w:ind w:right="-18"/>
              <w:rPr>
                <w:rFonts w:cs="Times New Roman"/>
                <w:sz w:val="26"/>
                <w:szCs w:val="26"/>
              </w:rPr>
            </w:pPr>
            <w:r w:rsidRPr="00FD6165">
              <w:rPr>
                <w:rFonts w:cs="Times New Roman"/>
                <w:sz w:val="26"/>
                <w:szCs w:val="26"/>
                <w:rtl/>
              </w:rPr>
              <w:t xml:space="preserve">והרי ראשי חדשים </w:t>
            </w:r>
            <w:r w:rsidRPr="00FD6165">
              <w:rPr>
                <w:rFonts w:cs="Times New Roman"/>
                <w:b/>
                <w:bCs/>
                <w:sz w:val="26"/>
                <w:szCs w:val="26"/>
                <w:rtl/>
              </w:rPr>
              <w:t>יוכיחו</w:t>
            </w:r>
            <w:r w:rsidRPr="00FD6165">
              <w:rPr>
                <w:rFonts w:cs="Times New Roman"/>
                <w:sz w:val="26"/>
                <w:szCs w:val="26"/>
                <w:rtl/>
              </w:rPr>
              <w:t xml:space="preserve"> שיש בהן קרבן מוסף ומותרין בעשיית מלאכה [</w:t>
            </w:r>
            <w:r w:rsidRPr="00FD6165">
              <w:rPr>
                <w:rFonts w:cs="Times New Roman"/>
                <w:b/>
                <w:bCs/>
                <w:sz w:val="26"/>
                <w:szCs w:val="26"/>
                <w:rtl/>
              </w:rPr>
              <w:t>הם יוכיחו</w:t>
            </w:r>
            <w:r w:rsidRPr="00FD6165">
              <w:rPr>
                <w:rFonts w:cs="Times New Roman"/>
                <w:sz w:val="26"/>
                <w:szCs w:val="26"/>
                <w:rtl/>
              </w:rPr>
              <w:t xml:space="preserve"> על חולו של מועד אע"פ שיש בו קרבן מוסף יהיה מותר בעשיית מלאכה</w:t>
            </w:r>
            <w:r w:rsidR="005C51CB">
              <w:rPr>
                <w:rFonts w:cs="Times New Roman"/>
                <w:sz w:val="26"/>
                <w:szCs w:val="26"/>
              </w:rPr>
              <w:t>[</w:t>
            </w:r>
          </w:p>
          <w:p w:rsidR="00B85A67" w:rsidRPr="00FD6165" w:rsidRDefault="00B85A67" w:rsidP="00B85A67">
            <w:pPr>
              <w:pStyle w:val="11"/>
              <w:tabs>
                <w:tab w:val="left" w:pos="288"/>
                <w:tab w:val="left" w:pos="4572"/>
              </w:tabs>
              <w:bidi/>
              <w:snapToGrid w:val="0"/>
              <w:spacing w:before="0" w:after="0" w:line="300" w:lineRule="exact"/>
              <w:ind w:right="-18"/>
              <w:rPr>
                <w:rFonts w:cs="Times New Roman" w:hint="cs"/>
                <w:sz w:val="26"/>
                <w:szCs w:val="26"/>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tabs>
                <w:tab w:val="left" w:pos="288"/>
              </w:tabs>
              <w:bidi/>
              <w:snapToGrid w:val="0"/>
              <w:spacing w:line="300" w:lineRule="exact"/>
              <w:rPr>
                <w:sz w:val="26"/>
                <w:szCs w:val="26"/>
                <w:rtl/>
              </w:rPr>
            </w:pPr>
            <w:r w:rsidRPr="00FD6165">
              <w:rPr>
                <w:sz w:val="26"/>
                <w:szCs w:val="26"/>
                <w:rtl/>
              </w:rPr>
              <w:t xml:space="preserve">הרי ראשי חדשים </w:t>
            </w:r>
            <w:r w:rsidRPr="00FD6165">
              <w:rPr>
                <w:b/>
                <w:bCs/>
                <w:sz w:val="26"/>
                <w:szCs w:val="26"/>
                <w:rtl/>
              </w:rPr>
              <w:t>יוכיחו</w:t>
            </w:r>
            <w:r w:rsidRPr="00FD6165">
              <w:rPr>
                <w:sz w:val="26"/>
                <w:szCs w:val="26"/>
                <w:rtl/>
              </w:rPr>
              <w:t xml:space="preserve"> שיש עמהן קרבן מוסף ואינן אסורין במלאכה</w:t>
            </w:r>
          </w:p>
        </w:tc>
        <w:tc>
          <w:tcPr>
            <w:tcW w:w="720" w:type="dxa"/>
            <w:tcBorders>
              <w:top w:val="single" w:sz="4" w:space="0" w:color="000000"/>
              <w:left w:val="single" w:sz="4" w:space="0" w:color="000000"/>
              <w:bottom w:val="single" w:sz="4" w:space="0" w:color="000000"/>
              <w:right w:val="single" w:sz="4" w:space="0" w:color="000000"/>
            </w:tcBorders>
          </w:tcPr>
          <w:p w:rsidR="008C5B42" w:rsidRDefault="006F0259" w:rsidP="006F0259">
            <w:pPr>
              <w:tabs>
                <w:tab w:val="left" w:pos="288"/>
              </w:tabs>
              <w:snapToGrid w:val="0"/>
              <w:spacing w:line="300" w:lineRule="exact"/>
              <w:ind w:firstLine="288"/>
              <w:rPr>
                <w:sz w:val="26"/>
                <w:szCs w:val="26"/>
              </w:rPr>
            </w:pPr>
            <w:r>
              <w:rPr>
                <w:rFonts w:hint="cs"/>
                <w:sz w:val="26"/>
                <w:szCs w:val="26"/>
                <w:rtl/>
                <w:lang w:bidi="he-IL"/>
              </w:rPr>
              <w:t>5.</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Default="008C5B42" w:rsidP="008C5B42">
            <w:pPr>
              <w:pStyle w:val="11"/>
              <w:tabs>
                <w:tab w:val="left" w:pos="288"/>
                <w:tab w:val="left" w:pos="4572"/>
              </w:tabs>
              <w:bidi/>
              <w:snapToGrid w:val="0"/>
              <w:spacing w:before="0" w:after="0" w:line="300" w:lineRule="exact"/>
              <w:ind w:right="-18"/>
              <w:rPr>
                <w:rFonts w:cs="Times New Roman"/>
                <w:sz w:val="26"/>
                <w:szCs w:val="26"/>
              </w:rPr>
            </w:pPr>
            <w:r w:rsidRPr="00FD6165">
              <w:rPr>
                <w:rFonts w:cs="Times New Roman"/>
                <w:sz w:val="26"/>
                <w:szCs w:val="26"/>
                <w:rtl/>
              </w:rPr>
              <w:t xml:space="preserve">לא אם אמרת בראשי חדשים שאינן קרואין מקרא קודש </w:t>
            </w:r>
            <w:r w:rsidRPr="00FD6165">
              <w:rPr>
                <w:rFonts w:cs="Times New Roman"/>
                <w:b/>
                <w:bCs/>
                <w:sz w:val="26"/>
                <w:szCs w:val="26"/>
                <w:rtl/>
              </w:rPr>
              <w:t>לפיכך</w:t>
            </w:r>
            <w:r w:rsidRPr="00FD6165">
              <w:rPr>
                <w:rFonts w:cs="Times New Roman"/>
                <w:sz w:val="26"/>
                <w:szCs w:val="26"/>
                <w:rtl/>
              </w:rPr>
              <w:t xml:space="preserve"> הן מותרין בעשיית מלא' </w:t>
            </w:r>
            <w:r w:rsidRPr="00FD6165">
              <w:rPr>
                <w:rFonts w:cs="Times New Roman"/>
                <w:b/>
                <w:bCs/>
                <w:sz w:val="26"/>
                <w:szCs w:val="26"/>
                <w:rtl/>
              </w:rPr>
              <w:t>תאמר</w:t>
            </w:r>
            <w:r w:rsidRPr="00FD6165">
              <w:rPr>
                <w:rFonts w:cs="Times New Roman"/>
                <w:sz w:val="26"/>
                <w:szCs w:val="26"/>
                <w:rtl/>
              </w:rPr>
              <w:t xml:space="preserve"> בחולו של מועד שהוא קרוי מקרא קו' </w:t>
            </w:r>
            <w:r w:rsidRPr="00FD6165">
              <w:rPr>
                <w:rFonts w:cs="Times New Roman"/>
                <w:b/>
                <w:bCs/>
                <w:sz w:val="26"/>
                <w:szCs w:val="26"/>
                <w:rtl/>
              </w:rPr>
              <w:t>לפיכך</w:t>
            </w:r>
            <w:r w:rsidRPr="00FD6165">
              <w:rPr>
                <w:rFonts w:cs="Times New Roman"/>
                <w:sz w:val="26"/>
                <w:szCs w:val="26"/>
                <w:rtl/>
              </w:rPr>
              <w:t xml:space="preserve"> יהא אסור בעשיית מלאכ</w:t>
            </w:r>
            <w:r w:rsidRPr="00FD6165">
              <w:rPr>
                <w:rFonts w:cs="Times New Roman"/>
                <w:sz w:val="26"/>
                <w:szCs w:val="26"/>
              </w:rPr>
              <w:t>'</w:t>
            </w:r>
          </w:p>
          <w:p w:rsidR="00B85A67" w:rsidRPr="00FD6165" w:rsidRDefault="00B85A67" w:rsidP="00B85A67">
            <w:pPr>
              <w:pStyle w:val="11"/>
              <w:tabs>
                <w:tab w:val="left" w:pos="288"/>
                <w:tab w:val="left" w:pos="4572"/>
              </w:tabs>
              <w:bidi/>
              <w:snapToGrid w:val="0"/>
              <w:spacing w:before="0" w:after="0" w:line="300" w:lineRule="exact"/>
              <w:ind w:right="-18"/>
              <w:rPr>
                <w:rFonts w:cs="Times New Roman" w:hint="cs"/>
                <w:sz w:val="26"/>
                <w:szCs w:val="26"/>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tabs>
                <w:tab w:val="left" w:pos="288"/>
              </w:tabs>
              <w:bidi/>
              <w:snapToGrid w:val="0"/>
              <w:spacing w:line="300" w:lineRule="exact"/>
              <w:rPr>
                <w:sz w:val="26"/>
                <w:szCs w:val="26"/>
                <w:rtl/>
              </w:rPr>
            </w:pPr>
            <w:r w:rsidRPr="00FD6165">
              <w:rPr>
                <w:sz w:val="26"/>
                <w:szCs w:val="26"/>
                <w:rtl/>
              </w:rPr>
              <w:t xml:space="preserve">לא אם אמרת בראשי חדשים שאין קרוין מקרא קודש </w:t>
            </w:r>
            <w:r w:rsidRPr="00FD6165">
              <w:rPr>
                <w:b/>
                <w:bCs/>
                <w:sz w:val="26"/>
                <w:szCs w:val="26"/>
                <w:rtl/>
              </w:rPr>
              <w:t>תאמר</w:t>
            </w:r>
            <w:r w:rsidRPr="00FD6165">
              <w:rPr>
                <w:sz w:val="26"/>
                <w:szCs w:val="26"/>
                <w:rtl/>
              </w:rPr>
              <w:t xml:space="preserve"> באילו שקרוין מקרא קודש </w:t>
            </w:r>
            <w:r w:rsidRPr="00FD6165">
              <w:rPr>
                <w:b/>
                <w:bCs/>
                <w:sz w:val="26"/>
                <w:szCs w:val="26"/>
                <w:rtl/>
              </w:rPr>
              <w:t>הואיל ו</w:t>
            </w:r>
            <w:r w:rsidRPr="00FD6165">
              <w:rPr>
                <w:sz w:val="26"/>
                <w:szCs w:val="26"/>
                <w:rtl/>
              </w:rPr>
              <w:t>קרוין מקרא קודש דין הוא שיהו אסורין במלאכה</w:t>
            </w:r>
          </w:p>
        </w:tc>
        <w:tc>
          <w:tcPr>
            <w:tcW w:w="720" w:type="dxa"/>
            <w:tcBorders>
              <w:top w:val="single" w:sz="4" w:space="0" w:color="000000"/>
              <w:left w:val="single" w:sz="4" w:space="0" w:color="000000"/>
              <w:bottom w:val="single" w:sz="4" w:space="0" w:color="000000"/>
              <w:right w:val="single" w:sz="4" w:space="0" w:color="000000"/>
            </w:tcBorders>
          </w:tcPr>
          <w:p w:rsidR="008C5B42" w:rsidRPr="00FD6165" w:rsidRDefault="006F0259" w:rsidP="006F0259">
            <w:pPr>
              <w:tabs>
                <w:tab w:val="left" w:pos="288"/>
              </w:tabs>
              <w:snapToGrid w:val="0"/>
              <w:spacing w:line="300" w:lineRule="exact"/>
              <w:ind w:firstLine="288"/>
              <w:rPr>
                <w:sz w:val="26"/>
                <w:szCs w:val="26"/>
                <w:lang w:bidi="he-IL"/>
              </w:rPr>
            </w:pPr>
            <w:r>
              <w:rPr>
                <w:rFonts w:hint="cs"/>
                <w:sz w:val="26"/>
                <w:szCs w:val="26"/>
                <w:rtl/>
                <w:lang w:bidi="he-IL"/>
              </w:rPr>
              <w:t>6.</w:t>
            </w:r>
          </w:p>
        </w:tc>
      </w:tr>
      <w:tr w:rsidR="008C5B42" w:rsidRPr="00FD6165" w:rsidTr="00827AD0">
        <w:tc>
          <w:tcPr>
            <w:tcW w:w="3461" w:type="dxa"/>
            <w:tcBorders>
              <w:top w:val="single" w:sz="4" w:space="0" w:color="000000"/>
              <w:left w:val="single" w:sz="4" w:space="0" w:color="000000"/>
              <w:bottom w:val="single" w:sz="4" w:space="0" w:color="000000"/>
            </w:tcBorders>
            <w:shd w:val="clear" w:color="auto" w:fill="auto"/>
          </w:tcPr>
          <w:p w:rsidR="008C5B42" w:rsidRDefault="008C5B42" w:rsidP="008C5B42">
            <w:pPr>
              <w:pStyle w:val="11"/>
              <w:tabs>
                <w:tab w:val="left" w:pos="288"/>
                <w:tab w:val="left" w:pos="4572"/>
              </w:tabs>
              <w:bidi/>
              <w:snapToGrid w:val="0"/>
              <w:spacing w:before="0" w:after="0" w:line="300" w:lineRule="exact"/>
              <w:ind w:right="-18"/>
              <w:rPr>
                <w:rFonts w:cs="Times New Roman" w:hint="cs"/>
                <w:sz w:val="26"/>
                <w:szCs w:val="26"/>
                <w:rtl/>
              </w:rPr>
            </w:pPr>
            <w:r w:rsidRPr="00FD6165">
              <w:rPr>
                <w:rFonts w:cs="Times New Roman"/>
                <w:sz w:val="26"/>
                <w:szCs w:val="26"/>
                <w:rtl/>
              </w:rPr>
              <w:t>הא למדנו על חולו של מועד שאסור בעשיית מלאכה</w:t>
            </w:r>
          </w:p>
          <w:p w:rsidR="00B85A67" w:rsidRPr="00FD6165" w:rsidRDefault="00B85A67" w:rsidP="00B85A67">
            <w:pPr>
              <w:pStyle w:val="11"/>
              <w:tabs>
                <w:tab w:val="left" w:pos="288"/>
                <w:tab w:val="left" w:pos="4572"/>
              </w:tabs>
              <w:bidi/>
              <w:snapToGrid w:val="0"/>
              <w:spacing w:before="0" w:after="0" w:line="300" w:lineRule="exact"/>
              <w:ind w:right="-18"/>
              <w:rPr>
                <w:rFonts w:cs="Times New Roman" w:hint="cs"/>
                <w:sz w:val="26"/>
                <w:szCs w:val="26"/>
                <w:rtl/>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8C5B42" w:rsidRPr="00FD6165" w:rsidRDefault="008C5B42" w:rsidP="008C5B42">
            <w:pPr>
              <w:tabs>
                <w:tab w:val="left" w:pos="288"/>
              </w:tabs>
              <w:bidi/>
              <w:snapToGrid w:val="0"/>
              <w:spacing w:line="300" w:lineRule="exact"/>
              <w:ind w:firstLine="288"/>
              <w:rPr>
                <w:rFonts w:hint="cs"/>
                <w:b/>
                <w:bCs/>
                <w:sz w:val="26"/>
                <w:szCs w:val="26"/>
                <w:lang w:bidi="he-IL"/>
              </w:rPr>
            </w:pPr>
          </w:p>
        </w:tc>
        <w:tc>
          <w:tcPr>
            <w:tcW w:w="720" w:type="dxa"/>
            <w:tcBorders>
              <w:top w:val="single" w:sz="4" w:space="0" w:color="000000"/>
              <w:left w:val="single" w:sz="4" w:space="0" w:color="000000"/>
              <w:bottom w:val="single" w:sz="4" w:space="0" w:color="000000"/>
              <w:right w:val="single" w:sz="4" w:space="0" w:color="000000"/>
            </w:tcBorders>
          </w:tcPr>
          <w:p w:rsidR="008C5B42" w:rsidRPr="006F0259" w:rsidRDefault="00827AD0" w:rsidP="006F0259">
            <w:pPr>
              <w:tabs>
                <w:tab w:val="left" w:pos="288"/>
              </w:tabs>
              <w:snapToGrid w:val="0"/>
              <w:spacing w:line="300" w:lineRule="exact"/>
              <w:ind w:firstLine="288"/>
              <w:rPr>
                <w:sz w:val="26"/>
                <w:szCs w:val="26"/>
              </w:rPr>
            </w:pPr>
            <w:r>
              <w:rPr>
                <w:rFonts w:hint="cs"/>
                <w:sz w:val="26"/>
                <w:szCs w:val="26"/>
                <w:rtl/>
                <w:lang w:bidi="he-IL"/>
              </w:rPr>
              <w:t>.</w:t>
            </w:r>
            <w:r w:rsidR="008C5B42" w:rsidRPr="006F0259">
              <w:rPr>
                <w:sz w:val="26"/>
                <w:szCs w:val="26"/>
              </w:rPr>
              <w:t>7</w:t>
            </w:r>
          </w:p>
        </w:tc>
      </w:tr>
    </w:tbl>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lastRenderedPageBreak/>
        <w:t xml:space="preserve">In the </w:t>
      </w:r>
      <w:proofErr w:type="spellStart"/>
      <w:r w:rsidRPr="00FD6165">
        <w:rPr>
          <w:rFonts w:cs="Times New Roman"/>
          <w:sz w:val="26"/>
          <w:szCs w:val="26"/>
        </w:rPr>
        <w:t>Mek</w:t>
      </w:r>
      <w:proofErr w:type="spellEnd"/>
      <w:r w:rsidRPr="00FD6165">
        <w:rPr>
          <w:rFonts w:cs="Times New Roman"/>
          <w:sz w:val="26"/>
          <w:szCs w:val="26"/>
        </w:rPr>
        <w:t xml:space="preserve">. R. Ishmael text, the addenda supplement every argument. The bracketed prove-addenda in stages 3 and 5 do not occur in </w:t>
      </w:r>
      <w:r w:rsidRPr="00FD6165">
        <w:rPr>
          <w:rFonts w:cs="Times New Roman"/>
          <w:smallCaps/>
          <w:sz w:val="26"/>
          <w:szCs w:val="26"/>
        </w:rPr>
        <w:t xml:space="preserve">ms </w:t>
      </w:r>
      <w:r w:rsidRPr="00FD6165">
        <w:rPr>
          <w:rFonts w:cs="Times New Roman"/>
          <w:sz w:val="26"/>
          <w:szCs w:val="26"/>
        </w:rPr>
        <w:t xml:space="preserve">Oxford 151, which is the basis for the above transcription, but they are attested in </w:t>
      </w:r>
      <w:r w:rsidRPr="00FD6165">
        <w:rPr>
          <w:rFonts w:cs="Times New Roman"/>
          <w:smallCaps/>
          <w:sz w:val="26"/>
          <w:szCs w:val="26"/>
        </w:rPr>
        <w:t xml:space="preserve">ms </w:t>
      </w:r>
      <w:r w:rsidRPr="00FD6165">
        <w:rPr>
          <w:rFonts w:cs="Times New Roman"/>
          <w:sz w:val="26"/>
          <w:szCs w:val="26"/>
        </w:rPr>
        <w:t xml:space="preserve">Munich and in the </w:t>
      </w:r>
      <w:proofErr w:type="spellStart"/>
      <w:r w:rsidRPr="00FD6165">
        <w:rPr>
          <w:rFonts w:cs="Times New Roman"/>
          <w:i/>
          <w:iCs/>
          <w:sz w:val="26"/>
          <w:szCs w:val="26"/>
        </w:rPr>
        <w:t>editio</w:t>
      </w:r>
      <w:proofErr w:type="spellEnd"/>
      <w:r w:rsidRPr="00FD6165">
        <w:rPr>
          <w:rFonts w:cs="Times New Roman"/>
          <w:i/>
          <w:iCs/>
          <w:sz w:val="26"/>
          <w:szCs w:val="26"/>
        </w:rPr>
        <w:t xml:space="preserve"> princeps</w:t>
      </w:r>
      <w:r w:rsidRPr="00FD6165">
        <w:rPr>
          <w:rFonts w:cs="Times New Roman"/>
          <w:sz w:val="26"/>
          <w:szCs w:val="26"/>
        </w:rPr>
        <w:t xml:space="preserve">. The </w:t>
      </w:r>
      <w:proofErr w:type="spellStart"/>
      <w:r w:rsidRPr="00FD6165">
        <w:rPr>
          <w:rFonts w:cs="Times New Roman"/>
          <w:sz w:val="26"/>
          <w:szCs w:val="26"/>
        </w:rPr>
        <w:t>Mek</w:t>
      </w:r>
      <w:proofErr w:type="spellEnd"/>
      <w:r w:rsidRPr="00FD6165">
        <w:rPr>
          <w:rFonts w:cs="Times New Roman"/>
          <w:sz w:val="26"/>
          <w:szCs w:val="26"/>
        </w:rPr>
        <w:t xml:space="preserve">. R. Shimon parallel, in accordance with the standard </w:t>
      </w:r>
      <w:proofErr w:type="spellStart"/>
      <w:r w:rsidRPr="00FD6165">
        <w:rPr>
          <w:rFonts w:cs="Times New Roman"/>
          <w:sz w:val="26"/>
          <w:szCs w:val="26"/>
        </w:rPr>
        <w:t>Akivan</w:t>
      </w:r>
      <w:proofErr w:type="spellEnd"/>
      <w:r w:rsidRPr="00FD6165">
        <w:rPr>
          <w:rFonts w:cs="Times New Roman"/>
          <w:sz w:val="26"/>
          <w:szCs w:val="26"/>
        </w:rPr>
        <w:t xml:space="preserve"> paradigm for anonymous exegetical dialectic—here applied, presumably because it reworks </w:t>
      </w:r>
      <w:proofErr w:type="spellStart"/>
      <w:r w:rsidRPr="00FD6165">
        <w:rPr>
          <w:rFonts w:cs="Times New Roman"/>
          <w:sz w:val="26"/>
          <w:szCs w:val="26"/>
        </w:rPr>
        <w:t>Mek</w:t>
      </w:r>
      <w:proofErr w:type="spellEnd"/>
      <w:r w:rsidRPr="00FD6165">
        <w:rPr>
          <w:rFonts w:cs="Times New Roman"/>
          <w:sz w:val="26"/>
          <w:szCs w:val="26"/>
        </w:rPr>
        <w:t>. R. Ishmael at this point, outside of an exegetical context—omits all addenda until the final argument (stage 6).</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It has been observed that the hermeneutic terminology of the school of R. Ishmael is more developed than that of the school of R. </w:t>
      </w:r>
      <w:proofErr w:type="spellStart"/>
      <w:r w:rsidRPr="00FD6165">
        <w:rPr>
          <w:rFonts w:cs="Times New Roman"/>
          <w:sz w:val="26"/>
          <w:szCs w:val="26"/>
        </w:rPr>
        <w:t>Akiva</w:t>
      </w:r>
      <w:proofErr w:type="spellEnd"/>
      <w:r w:rsidRPr="00FD6165">
        <w:rPr>
          <w:rFonts w:cs="Times New Roman"/>
          <w:sz w:val="26"/>
          <w:szCs w:val="26"/>
        </w:rPr>
        <w:t xml:space="preserve">, so that, while both schools employ a </w:t>
      </w:r>
      <w:proofErr w:type="gramStart"/>
      <w:r w:rsidRPr="00FD6165">
        <w:rPr>
          <w:rFonts w:cs="Times New Roman"/>
          <w:sz w:val="26"/>
          <w:szCs w:val="26"/>
        </w:rPr>
        <w:t>particular interpretive</w:t>
      </w:r>
      <w:proofErr w:type="gramEnd"/>
      <w:r w:rsidRPr="00FD6165">
        <w:rPr>
          <w:rFonts w:cs="Times New Roman"/>
          <w:sz w:val="26"/>
          <w:szCs w:val="26"/>
        </w:rPr>
        <w:t xml:space="preserve"> strategy, only the first marks the use of that strategy with a specialized term.</w:t>
      </w:r>
      <w:r w:rsidRPr="00FD6165">
        <w:rPr>
          <w:rStyle w:val="FootnoteCharacters"/>
          <w:rFonts w:cs="Times New Roman"/>
          <w:sz w:val="26"/>
          <w:szCs w:val="26"/>
        </w:rPr>
        <w:footnoteReference w:id="23"/>
      </w:r>
      <w:r w:rsidRPr="00FD6165">
        <w:rPr>
          <w:rFonts w:cs="Times New Roman"/>
          <w:sz w:val="26"/>
          <w:szCs w:val="26"/>
        </w:rPr>
        <w:t xml:space="preserve"> In the case of the dialectical terminology that we have analyzed here, something like the opposite holds. Both introduce rhetorical addenda to the arguments surrounding the </w:t>
      </w:r>
      <w:r w:rsidRPr="00FD6165">
        <w:rPr>
          <w:rFonts w:cs="Times New Roman"/>
          <w:i/>
          <w:iCs/>
          <w:sz w:val="26"/>
          <w:szCs w:val="26"/>
        </w:rPr>
        <w:t>din</w:t>
      </w:r>
      <w:r w:rsidRPr="00FD6165">
        <w:rPr>
          <w:rFonts w:cs="Times New Roman"/>
          <w:sz w:val="26"/>
          <w:szCs w:val="26"/>
        </w:rPr>
        <w:t xml:space="preserve">, but only the school of R. </w:t>
      </w:r>
      <w:proofErr w:type="spellStart"/>
      <w:r w:rsidRPr="00FD6165">
        <w:rPr>
          <w:rFonts w:cs="Times New Roman"/>
          <w:sz w:val="26"/>
          <w:szCs w:val="26"/>
        </w:rPr>
        <w:t>Akiva</w:t>
      </w:r>
      <w:proofErr w:type="spellEnd"/>
      <w:r w:rsidRPr="00FD6165">
        <w:rPr>
          <w:rFonts w:cs="Times New Roman"/>
          <w:sz w:val="26"/>
          <w:szCs w:val="26"/>
        </w:rPr>
        <w:t xml:space="preserve"> deploys them so that they structure or punctuate the argumentation. The sample size is small, the analogy not altogether precise, and the distinction between the categories of hermeneutics and dialectics underdeveloped, but the conclusion that the data suggest, that </w:t>
      </w:r>
      <w:proofErr w:type="spellStart"/>
      <w:r w:rsidRPr="00FD6165">
        <w:rPr>
          <w:rFonts w:cs="Times New Roman"/>
          <w:sz w:val="26"/>
          <w:szCs w:val="26"/>
        </w:rPr>
        <w:t>Akivan</w:t>
      </w:r>
      <w:proofErr w:type="spellEnd"/>
      <w:r w:rsidRPr="00FD6165">
        <w:rPr>
          <w:rFonts w:cs="Times New Roman"/>
          <w:sz w:val="26"/>
          <w:szCs w:val="26"/>
        </w:rPr>
        <w:t xml:space="preserve"> terminology is more sophisticated </w:t>
      </w:r>
      <w:proofErr w:type="gramStart"/>
      <w:r w:rsidRPr="00FD6165">
        <w:rPr>
          <w:rFonts w:cs="Times New Roman"/>
          <w:sz w:val="26"/>
          <w:szCs w:val="26"/>
        </w:rPr>
        <w:t>in the area of</w:t>
      </w:r>
      <w:proofErr w:type="gramEnd"/>
      <w:r w:rsidRPr="00FD6165">
        <w:rPr>
          <w:rFonts w:cs="Times New Roman"/>
          <w:sz w:val="26"/>
          <w:szCs w:val="26"/>
        </w:rPr>
        <w:t xml:space="preserve"> dialectics, and </w:t>
      </w:r>
      <w:proofErr w:type="spellStart"/>
      <w:r w:rsidRPr="00FD6165">
        <w:rPr>
          <w:rFonts w:cs="Times New Roman"/>
          <w:sz w:val="26"/>
          <w:szCs w:val="26"/>
        </w:rPr>
        <w:t>Ishmaelian</w:t>
      </w:r>
      <w:proofErr w:type="spellEnd"/>
      <w:r w:rsidRPr="00FD6165">
        <w:rPr>
          <w:rFonts w:cs="Times New Roman"/>
          <w:sz w:val="26"/>
          <w:szCs w:val="26"/>
        </w:rPr>
        <w:t>, in the area of hermeneutics, deserves further study.</w:t>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Within the school of R. Ishmael, </w:t>
      </w:r>
      <w:proofErr w:type="spellStart"/>
      <w:r w:rsidRPr="00FD6165">
        <w:rPr>
          <w:rFonts w:cs="Times New Roman"/>
          <w:sz w:val="26"/>
          <w:szCs w:val="26"/>
        </w:rPr>
        <w:t>Mek</w:t>
      </w:r>
      <w:proofErr w:type="spellEnd"/>
      <w:r w:rsidRPr="00FD6165">
        <w:rPr>
          <w:rFonts w:cs="Times New Roman"/>
          <w:sz w:val="26"/>
          <w:szCs w:val="26"/>
        </w:rPr>
        <w:t xml:space="preserve">. R. Ishmael and </w:t>
      </w:r>
      <w:proofErr w:type="spellStart"/>
      <w:r w:rsidRPr="00FD6165">
        <w:rPr>
          <w:rFonts w:cs="Times New Roman"/>
          <w:sz w:val="26"/>
          <w:szCs w:val="26"/>
        </w:rPr>
        <w:t>Sifre</w:t>
      </w:r>
      <w:proofErr w:type="spellEnd"/>
      <w:r w:rsidRPr="00FD6165">
        <w:rPr>
          <w:rFonts w:cs="Times New Roman"/>
          <w:sz w:val="26"/>
          <w:szCs w:val="26"/>
        </w:rPr>
        <w:t xml:space="preserve"> Numbers differ in two important respects </w:t>
      </w:r>
      <w:proofErr w:type="gramStart"/>
      <w:r w:rsidRPr="00FD6165">
        <w:rPr>
          <w:rFonts w:cs="Times New Roman"/>
          <w:sz w:val="26"/>
          <w:szCs w:val="26"/>
        </w:rPr>
        <w:t>in connection with</w:t>
      </w:r>
      <w:proofErr w:type="gramEnd"/>
      <w:r w:rsidRPr="00FD6165">
        <w:rPr>
          <w:rFonts w:cs="Times New Roman"/>
          <w:sz w:val="26"/>
          <w:szCs w:val="26"/>
        </w:rPr>
        <w:t xml:space="preserve"> the above dialectical permutations. First, in </w:t>
      </w:r>
      <w:proofErr w:type="spellStart"/>
      <w:r w:rsidRPr="00FD6165">
        <w:rPr>
          <w:rFonts w:cs="Times New Roman"/>
          <w:sz w:val="26"/>
          <w:szCs w:val="26"/>
        </w:rPr>
        <w:t>Sifre</w:t>
      </w:r>
      <w:proofErr w:type="spellEnd"/>
      <w:r w:rsidRPr="00FD6165">
        <w:rPr>
          <w:rFonts w:cs="Times New Roman"/>
          <w:sz w:val="26"/>
          <w:szCs w:val="26"/>
        </w:rPr>
        <w:t xml:space="preserve"> Numbers, as in cases 4 and 5, the prove-addendum begins: </w:t>
      </w:r>
      <w:r w:rsidRPr="00FD6165">
        <w:rPr>
          <w:rFonts w:cs="Times New Roman"/>
          <w:sz w:val="26"/>
          <w:szCs w:val="26"/>
          <w:rtl/>
        </w:rPr>
        <w:t>הוא יוכיח ל-</w:t>
      </w:r>
      <w:r w:rsidRPr="00FD6165">
        <w:rPr>
          <w:rFonts w:cs="Times New Roman"/>
          <w:sz w:val="26"/>
          <w:szCs w:val="26"/>
        </w:rPr>
        <w:t xml:space="preserve">. In </w:t>
      </w:r>
      <w:proofErr w:type="spellStart"/>
      <w:r w:rsidRPr="00FD6165">
        <w:rPr>
          <w:rFonts w:cs="Times New Roman"/>
          <w:sz w:val="26"/>
          <w:szCs w:val="26"/>
        </w:rPr>
        <w:t>Mek</w:t>
      </w:r>
      <w:proofErr w:type="spellEnd"/>
      <w:r w:rsidRPr="00FD6165">
        <w:rPr>
          <w:rFonts w:cs="Times New Roman"/>
          <w:sz w:val="26"/>
          <w:szCs w:val="26"/>
        </w:rPr>
        <w:t xml:space="preserve">. R. Ishmael, as in case 6, the preposition is not proclitic </w:t>
      </w:r>
      <w:r w:rsidRPr="00FD6165">
        <w:rPr>
          <w:rFonts w:cs="Times New Roman"/>
          <w:sz w:val="26"/>
          <w:szCs w:val="26"/>
          <w:rtl/>
        </w:rPr>
        <w:t>ל-</w:t>
      </w:r>
      <w:r w:rsidRPr="00FD6165">
        <w:rPr>
          <w:rFonts w:cs="Times New Roman"/>
          <w:sz w:val="26"/>
          <w:szCs w:val="26"/>
        </w:rPr>
        <w:t xml:space="preserve"> but </w:t>
      </w:r>
      <w:r w:rsidRPr="00FD6165">
        <w:rPr>
          <w:rFonts w:cs="Times New Roman"/>
          <w:sz w:val="26"/>
          <w:szCs w:val="26"/>
          <w:rtl/>
        </w:rPr>
        <w:t>על</w:t>
      </w:r>
      <w:r w:rsidRPr="00FD6165">
        <w:rPr>
          <w:rFonts w:cs="Times New Roman"/>
          <w:sz w:val="26"/>
          <w:szCs w:val="26"/>
        </w:rPr>
        <w:t>. Together with other data, such as the frequency of different figures in the two works, this fact confirms that the two works, while of a single school, emerge from distinct circles.</w:t>
      </w:r>
      <w:r w:rsidRPr="00FD6165">
        <w:rPr>
          <w:rStyle w:val="FootnoteCharacters"/>
          <w:rFonts w:cs="Times New Roman"/>
          <w:sz w:val="26"/>
          <w:szCs w:val="26"/>
        </w:rPr>
        <w:footnoteReference w:id="24"/>
      </w:r>
      <w:r w:rsidRPr="00FD6165">
        <w:rPr>
          <w:rFonts w:cs="Times New Roman"/>
          <w:sz w:val="26"/>
          <w:szCs w:val="26"/>
        </w:rPr>
        <w:t xml:space="preserve"> The second and perhaps more significant difference concerns the kind of dialectics that occur in the two texts. In </w:t>
      </w:r>
      <w:proofErr w:type="spellStart"/>
      <w:r w:rsidRPr="00FD6165">
        <w:rPr>
          <w:rFonts w:cs="Times New Roman"/>
          <w:sz w:val="26"/>
          <w:szCs w:val="26"/>
        </w:rPr>
        <w:t>Mek</w:t>
      </w:r>
      <w:proofErr w:type="spellEnd"/>
      <w:r w:rsidRPr="00FD6165">
        <w:rPr>
          <w:rFonts w:cs="Times New Roman"/>
          <w:sz w:val="26"/>
          <w:szCs w:val="26"/>
        </w:rPr>
        <w:t xml:space="preserve">. R. Ishmael and in </w:t>
      </w:r>
      <w:proofErr w:type="spellStart"/>
      <w:r w:rsidRPr="00FD6165">
        <w:rPr>
          <w:rFonts w:cs="Times New Roman"/>
          <w:sz w:val="26"/>
          <w:szCs w:val="26"/>
        </w:rPr>
        <w:t>Sifre</w:t>
      </w:r>
      <w:proofErr w:type="spellEnd"/>
      <w:r w:rsidRPr="00FD6165">
        <w:rPr>
          <w:rFonts w:cs="Times New Roman"/>
          <w:sz w:val="26"/>
          <w:szCs w:val="26"/>
        </w:rPr>
        <w:t xml:space="preserve"> Numbers alike, dialectical paths headed by </w:t>
      </w:r>
      <w:r w:rsidRPr="00FD6165">
        <w:rPr>
          <w:rFonts w:cs="Times New Roman"/>
          <w:sz w:val="26"/>
          <w:szCs w:val="26"/>
          <w:rtl/>
        </w:rPr>
        <w:t>שהיה בדין</w:t>
      </w:r>
      <w:r w:rsidRPr="00FD6165">
        <w:rPr>
          <w:rFonts w:cs="Times New Roman"/>
          <w:sz w:val="26"/>
          <w:szCs w:val="26"/>
          <w:cs/>
        </w:rPr>
        <w:t xml:space="preserve"> </w:t>
      </w:r>
      <w:r w:rsidRPr="00FD6165">
        <w:rPr>
          <w:rFonts w:cs="Times New Roman"/>
          <w:sz w:val="26"/>
          <w:szCs w:val="26"/>
        </w:rPr>
        <w:t>(category 1) and</w:t>
      </w:r>
      <w:r w:rsidR="00E21EDE">
        <w:rPr>
          <w:rFonts w:cs="Times New Roman"/>
          <w:sz w:val="26"/>
          <w:szCs w:val="26"/>
        </w:rPr>
        <w:t xml:space="preserve"> </w:t>
      </w:r>
      <w:r w:rsidRPr="00FD6165">
        <w:rPr>
          <w:rFonts w:cs="Times New Roman"/>
          <w:sz w:val="26"/>
          <w:szCs w:val="26"/>
          <w:rtl/>
        </w:rPr>
        <w:t>עד שלא יאמר יש לי בדין</w:t>
      </w:r>
      <w:r w:rsidRPr="00FD6165">
        <w:rPr>
          <w:rFonts w:cs="Times New Roman"/>
          <w:sz w:val="26"/>
          <w:szCs w:val="26"/>
          <w:cs/>
        </w:rPr>
        <w:t xml:space="preserve"> </w:t>
      </w:r>
      <w:r w:rsidRPr="00FD6165">
        <w:rPr>
          <w:rFonts w:cs="Times New Roman"/>
          <w:sz w:val="26"/>
          <w:szCs w:val="26"/>
        </w:rPr>
        <w:t xml:space="preserve">(category 2) are very brief. In the first case, </w:t>
      </w:r>
      <w:r w:rsidRPr="00FD6165">
        <w:rPr>
          <w:rFonts w:cs="Times New Roman"/>
          <w:sz w:val="26"/>
          <w:szCs w:val="26"/>
        </w:rPr>
        <w:lastRenderedPageBreak/>
        <w:t xml:space="preserve">the verse usually follows immediately after the </w:t>
      </w:r>
      <w:r w:rsidRPr="00FD6165">
        <w:rPr>
          <w:rFonts w:cs="Times New Roman"/>
          <w:i/>
          <w:iCs/>
          <w:sz w:val="26"/>
          <w:szCs w:val="26"/>
        </w:rPr>
        <w:t>din</w:t>
      </w:r>
      <w:r w:rsidRPr="00FD6165">
        <w:rPr>
          <w:rFonts w:cs="Times New Roman"/>
          <w:sz w:val="26"/>
          <w:szCs w:val="26"/>
        </w:rPr>
        <w:t xml:space="preserve">, with no say- or prove-arguments at all. In most instances of the second category, the </w:t>
      </w:r>
      <w:r w:rsidRPr="00FD6165">
        <w:rPr>
          <w:rFonts w:cs="Times New Roman"/>
          <w:i/>
          <w:iCs/>
          <w:sz w:val="26"/>
          <w:szCs w:val="26"/>
        </w:rPr>
        <w:t>din</w:t>
      </w:r>
      <w:r w:rsidRPr="00FD6165">
        <w:rPr>
          <w:rFonts w:cs="Times New Roman"/>
          <w:sz w:val="26"/>
          <w:szCs w:val="26"/>
        </w:rPr>
        <w:t xml:space="preserve"> is challenged by a say-argument, which sets the stage for the verse. More elaborate interchanges like cases 4 and 5, involving more than one argument after the </w:t>
      </w:r>
      <w:r w:rsidRPr="00FD6165">
        <w:rPr>
          <w:rFonts w:cs="Times New Roman"/>
          <w:i/>
          <w:iCs/>
          <w:sz w:val="26"/>
          <w:szCs w:val="26"/>
        </w:rPr>
        <w:t>din</w:t>
      </w:r>
      <w:r w:rsidRPr="00FD6165">
        <w:rPr>
          <w:rFonts w:cs="Times New Roman"/>
          <w:sz w:val="26"/>
          <w:szCs w:val="26"/>
        </w:rPr>
        <w:t xml:space="preserve">, occur with some frequency in </w:t>
      </w:r>
      <w:proofErr w:type="spellStart"/>
      <w:r w:rsidRPr="00FD6165">
        <w:rPr>
          <w:rFonts w:cs="Times New Roman"/>
          <w:sz w:val="26"/>
          <w:szCs w:val="26"/>
        </w:rPr>
        <w:t>Sifre</w:t>
      </w:r>
      <w:proofErr w:type="spellEnd"/>
      <w:r w:rsidRPr="00FD6165">
        <w:rPr>
          <w:rFonts w:cs="Times New Roman"/>
          <w:sz w:val="26"/>
          <w:szCs w:val="26"/>
        </w:rPr>
        <w:t xml:space="preserve"> Numbers.</w:t>
      </w:r>
      <w:r w:rsidRPr="00FD6165">
        <w:rPr>
          <w:rStyle w:val="FootnoteCharacters"/>
          <w:rFonts w:cs="Times New Roman"/>
          <w:sz w:val="26"/>
          <w:szCs w:val="26"/>
        </w:rPr>
        <w:footnoteReference w:id="25"/>
      </w:r>
      <w:r w:rsidRPr="00FD6165">
        <w:rPr>
          <w:rFonts w:cs="Times New Roman"/>
          <w:sz w:val="26"/>
          <w:szCs w:val="26"/>
        </w:rPr>
        <w:t xml:space="preserve"> I know of only one such case in </w:t>
      </w:r>
      <w:proofErr w:type="spellStart"/>
      <w:r w:rsidRPr="00FD6165">
        <w:rPr>
          <w:rFonts w:cs="Times New Roman"/>
          <w:sz w:val="26"/>
          <w:szCs w:val="26"/>
        </w:rPr>
        <w:t>Mek</w:t>
      </w:r>
      <w:proofErr w:type="spellEnd"/>
      <w:r w:rsidRPr="00FD6165">
        <w:rPr>
          <w:rFonts w:cs="Times New Roman"/>
          <w:sz w:val="26"/>
          <w:szCs w:val="26"/>
        </w:rPr>
        <w:t>. R. Ishmael, and it appears to be corrupt.</w:t>
      </w:r>
      <w:r w:rsidRPr="00FD6165">
        <w:rPr>
          <w:rStyle w:val="FootnoteCharacters"/>
          <w:rFonts w:cs="Times New Roman"/>
          <w:sz w:val="26"/>
          <w:szCs w:val="26"/>
        </w:rPr>
        <w:footnoteReference w:id="26"/>
      </w:r>
      <w:r w:rsidRPr="00FD6165">
        <w:rPr>
          <w:rFonts w:cs="Times New Roman"/>
          <w:sz w:val="26"/>
          <w:szCs w:val="26"/>
        </w:rPr>
        <w:t xml:space="preserve"> In </w:t>
      </w:r>
      <w:proofErr w:type="spellStart"/>
      <w:r w:rsidRPr="00FD6165">
        <w:rPr>
          <w:rFonts w:cs="Times New Roman"/>
          <w:sz w:val="26"/>
          <w:szCs w:val="26"/>
        </w:rPr>
        <w:t>Mek</w:t>
      </w:r>
      <w:proofErr w:type="spellEnd"/>
      <w:r w:rsidRPr="00FD6165">
        <w:rPr>
          <w:rFonts w:cs="Times New Roman"/>
          <w:sz w:val="26"/>
          <w:szCs w:val="26"/>
        </w:rPr>
        <w:t xml:space="preserve">. R. Ishmael, interchange of say- and prove-arguments does occur, but in other dialectical forms, sometimes with the aim of preserving a </w:t>
      </w:r>
      <w:r w:rsidRPr="00FD6165">
        <w:rPr>
          <w:rFonts w:cs="Times New Roman"/>
          <w:i/>
          <w:iCs/>
          <w:sz w:val="26"/>
          <w:szCs w:val="26"/>
        </w:rPr>
        <w:t>din</w:t>
      </w:r>
      <w:r w:rsidRPr="00FD6165">
        <w:rPr>
          <w:rFonts w:cs="Times New Roman"/>
          <w:sz w:val="26"/>
          <w:szCs w:val="26"/>
        </w:rPr>
        <w:t xml:space="preserve"> that supports, rather than opposes, the desired interpretation of the verse.</w:t>
      </w:r>
      <w:r w:rsidRPr="00FD6165">
        <w:rPr>
          <w:rStyle w:val="FootnoteCharacters"/>
          <w:rFonts w:cs="Times New Roman"/>
          <w:sz w:val="26"/>
          <w:szCs w:val="26"/>
        </w:rPr>
        <w:footnoteReference w:id="27"/>
      </w:r>
      <w:r w:rsidRPr="00FD6165">
        <w:rPr>
          <w:rFonts w:cs="Times New Roman"/>
          <w:sz w:val="26"/>
          <w:szCs w:val="26"/>
        </w:rPr>
        <w:t xml:space="preserve"> The data thus suggest a particular affinity between </w:t>
      </w:r>
      <w:proofErr w:type="spellStart"/>
      <w:r w:rsidRPr="00FD6165">
        <w:rPr>
          <w:rFonts w:cs="Times New Roman"/>
          <w:sz w:val="26"/>
          <w:szCs w:val="26"/>
        </w:rPr>
        <w:t>Sifre</w:t>
      </w:r>
      <w:proofErr w:type="spellEnd"/>
      <w:r w:rsidRPr="00FD6165">
        <w:rPr>
          <w:rFonts w:cs="Times New Roman"/>
          <w:sz w:val="26"/>
          <w:szCs w:val="26"/>
        </w:rPr>
        <w:t xml:space="preserve"> Numbers and the </w:t>
      </w:r>
      <w:proofErr w:type="spellStart"/>
      <w:r w:rsidRPr="00FD6165">
        <w:rPr>
          <w:rFonts w:cs="Times New Roman"/>
          <w:sz w:val="26"/>
          <w:szCs w:val="26"/>
        </w:rPr>
        <w:t>Akivan</w:t>
      </w:r>
      <w:proofErr w:type="spellEnd"/>
      <w:r w:rsidRPr="00FD6165">
        <w:rPr>
          <w:rFonts w:cs="Times New Roman"/>
          <w:sz w:val="26"/>
          <w:szCs w:val="26"/>
        </w:rPr>
        <w:t xml:space="preserve"> </w:t>
      </w:r>
      <w:proofErr w:type="spellStart"/>
      <w:r w:rsidRPr="00FD6165">
        <w:rPr>
          <w:rFonts w:cs="Times New Roman"/>
          <w:sz w:val="26"/>
          <w:szCs w:val="26"/>
        </w:rPr>
        <w:t>Sifra</w:t>
      </w:r>
      <w:proofErr w:type="spellEnd"/>
      <w:r w:rsidRPr="00FD6165">
        <w:rPr>
          <w:rFonts w:cs="Times New Roman"/>
          <w:sz w:val="26"/>
          <w:szCs w:val="26"/>
        </w:rPr>
        <w:t xml:space="preserve">, which includes the highest concentration by far of complex anonymous dialectic of categories 1 and 2. Whether the explanation for this affinity lies in a relationship between the circles that produced the </w:t>
      </w:r>
      <w:proofErr w:type="spellStart"/>
      <w:r w:rsidRPr="00FD6165">
        <w:rPr>
          <w:rFonts w:cs="Times New Roman"/>
          <w:sz w:val="26"/>
          <w:szCs w:val="26"/>
        </w:rPr>
        <w:t>Sifra</w:t>
      </w:r>
      <w:proofErr w:type="spellEnd"/>
      <w:r w:rsidRPr="00FD6165">
        <w:rPr>
          <w:rFonts w:cs="Times New Roman"/>
          <w:sz w:val="26"/>
          <w:szCs w:val="26"/>
        </w:rPr>
        <w:t xml:space="preserve"> and those behind the core of </w:t>
      </w:r>
      <w:proofErr w:type="spellStart"/>
      <w:r w:rsidRPr="00FD6165">
        <w:rPr>
          <w:rFonts w:cs="Times New Roman"/>
          <w:sz w:val="26"/>
          <w:szCs w:val="26"/>
        </w:rPr>
        <w:t>Sifre</w:t>
      </w:r>
      <w:proofErr w:type="spellEnd"/>
      <w:r w:rsidRPr="00FD6165">
        <w:rPr>
          <w:rFonts w:cs="Times New Roman"/>
          <w:sz w:val="26"/>
          <w:szCs w:val="26"/>
        </w:rPr>
        <w:t xml:space="preserve"> Numbers, or in the second redaction of </w:t>
      </w:r>
      <w:proofErr w:type="spellStart"/>
      <w:r w:rsidRPr="00FD6165">
        <w:rPr>
          <w:rFonts w:cs="Times New Roman"/>
          <w:sz w:val="26"/>
          <w:szCs w:val="26"/>
        </w:rPr>
        <w:t>Sifre</w:t>
      </w:r>
      <w:proofErr w:type="spellEnd"/>
      <w:r w:rsidRPr="00FD6165">
        <w:rPr>
          <w:rFonts w:cs="Times New Roman"/>
          <w:sz w:val="26"/>
          <w:szCs w:val="26"/>
        </w:rPr>
        <w:t xml:space="preserve"> Numbers at the hands of the “school of Rabbi,” or simply in the topical continuity between Leviticus and Numbers, is a question that we leave for a different occasion.</w:t>
      </w:r>
      <w:r w:rsidRPr="00FD6165">
        <w:rPr>
          <w:rStyle w:val="FootnoteCharacters"/>
          <w:rFonts w:cs="Times New Roman"/>
          <w:sz w:val="26"/>
          <w:szCs w:val="26"/>
        </w:rPr>
        <w:footnoteReference w:id="28"/>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t>Conclusion</w:t>
      </w:r>
    </w:p>
    <w:p w:rsidR="008C5B42" w:rsidRDefault="008C5B42" w:rsidP="008C5B42">
      <w:pPr>
        <w:pStyle w:val="11"/>
        <w:tabs>
          <w:tab w:val="left" w:pos="288"/>
        </w:tabs>
        <w:spacing w:before="0" w:after="0" w:line="300" w:lineRule="exact"/>
        <w:jc w:val="both"/>
        <w:rPr>
          <w:rFonts w:cs="Times New Roman"/>
          <w:sz w:val="26"/>
          <w:szCs w:val="26"/>
        </w:rPr>
      </w:pPr>
      <w:r w:rsidRPr="00FD6165">
        <w:rPr>
          <w:rFonts w:cs="Times New Roman"/>
          <w:i/>
          <w:iCs/>
          <w:sz w:val="26"/>
          <w:szCs w:val="26"/>
        </w:rPr>
        <w:t>Din</w:t>
      </w:r>
      <w:r w:rsidRPr="00FD6165">
        <w:rPr>
          <w:rFonts w:cs="Times New Roman"/>
          <w:sz w:val="26"/>
          <w:szCs w:val="26"/>
        </w:rPr>
        <w:t xml:space="preserve"> lies at the very heart of halakhic discourse in </w:t>
      </w:r>
      <w:proofErr w:type="spellStart"/>
      <w:r w:rsidRPr="00FD6165">
        <w:rPr>
          <w:rFonts w:cs="Times New Roman"/>
          <w:sz w:val="26"/>
          <w:szCs w:val="26"/>
        </w:rPr>
        <w:t>Tannaitic</w:t>
      </w:r>
      <w:proofErr w:type="spellEnd"/>
      <w:r w:rsidRPr="00FD6165">
        <w:rPr>
          <w:rFonts w:cs="Times New Roman"/>
          <w:sz w:val="26"/>
          <w:szCs w:val="26"/>
        </w:rPr>
        <w:t xml:space="preserve"> literature. I have attempted to isolate an analytically manageable portion of the discourse around the </w:t>
      </w:r>
      <w:r w:rsidRPr="00FD6165">
        <w:rPr>
          <w:rFonts w:cs="Times New Roman"/>
          <w:i/>
          <w:iCs/>
          <w:sz w:val="26"/>
          <w:szCs w:val="26"/>
        </w:rPr>
        <w:t>din</w:t>
      </w:r>
      <w:r w:rsidRPr="00FD6165">
        <w:rPr>
          <w:rFonts w:cs="Times New Roman"/>
          <w:sz w:val="26"/>
          <w:szCs w:val="26"/>
        </w:rPr>
        <w:t xml:space="preserve"> by identifying four different ways in which a </w:t>
      </w:r>
      <w:r w:rsidRPr="00FD6165">
        <w:rPr>
          <w:rFonts w:cs="Times New Roman"/>
          <w:i/>
          <w:iCs/>
          <w:sz w:val="26"/>
          <w:szCs w:val="26"/>
        </w:rPr>
        <w:t>din</w:t>
      </w:r>
      <w:r w:rsidRPr="00FD6165">
        <w:rPr>
          <w:rFonts w:cs="Times New Roman"/>
          <w:sz w:val="26"/>
          <w:szCs w:val="26"/>
        </w:rPr>
        <w:t xml:space="preserve"> may be set against a verse in anonymous </w:t>
      </w:r>
      <w:proofErr w:type="spellStart"/>
      <w:r w:rsidRPr="00FD6165">
        <w:rPr>
          <w:rFonts w:cs="Times New Roman"/>
          <w:sz w:val="26"/>
          <w:szCs w:val="26"/>
        </w:rPr>
        <w:t>Akivan</w:t>
      </w:r>
      <w:proofErr w:type="spellEnd"/>
      <w:r w:rsidRPr="00FD6165">
        <w:rPr>
          <w:rFonts w:cs="Times New Roman"/>
          <w:sz w:val="26"/>
          <w:szCs w:val="26"/>
        </w:rPr>
        <w:t xml:space="preserve"> exegetical texts. We have compared the instantiation of the four dialectical paths in these works with that in debate between named parties in </w:t>
      </w:r>
      <w:proofErr w:type="spellStart"/>
      <w:r w:rsidRPr="00FD6165">
        <w:rPr>
          <w:rFonts w:cs="Times New Roman"/>
          <w:sz w:val="26"/>
          <w:szCs w:val="26"/>
        </w:rPr>
        <w:t>Akivan</w:t>
      </w:r>
      <w:proofErr w:type="spellEnd"/>
      <w:r w:rsidRPr="00FD6165">
        <w:rPr>
          <w:rFonts w:cs="Times New Roman"/>
          <w:sz w:val="26"/>
          <w:szCs w:val="26"/>
        </w:rPr>
        <w:t xml:space="preserve"> sources, and with that in sources from the school of R. Ishmael. Amid an assortment of smaller observations, the main result of this investigation is that the anonymous stratum of </w:t>
      </w:r>
      <w:proofErr w:type="spellStart"/>
      <w:r w:rsidRPr="00FD6165">
        <w:rPr>
          <w:rFonts w:cs="Times New Roman"/>
          <w:sz w:val="26"/>
          <w:szCs w:val="26"/>
        </w:rPr>
        <w:t>Akivan</w:t>
      </w:r>
      <w:proofErr w:type="spellEnd"/>
      <w:r w:rsidRPr="00FD6165">
        <w:rPr>
          <w:rFonts w:cs="Times New Roman"/>
          <w:sz w:val="26"/>
          <w:szCs w:val="26"/>
        </w:rPr>
        <w:t xml:space="preserve"> Midrash deploys the since-addendum and the prove-addendum as rhetorical punctuation for its anonymous dialectic. While roughly parallel addenda occur in </w:t>
      </w:r>
      <w:proofErr w:type="spellStart"/>
      <w:r w:rsidRPr="00FD6165">
        <w:rPr>
          <w:rFonts w:cs="Times New Roman"/>
          <w:sz w:val="26"/>
          <w:szCs w:val="26"/>
        </w:rPr>
        <w:t>Ishmaelian</w:t>
      </w:r>
      <w:proofErr w:type="spellEnd"/>
      <w:r w:rsidRPr="00FD6165">
        <w:rPr>
          <w:rFonts w:cs="Times New Roman"/>
          <w:sz w:val="26"/>
          <w:szCs w:val="26"/>
        </w:rPr>
        <w:t xml:space="preserve"> Midrash, they never s</w:t>
      </w:r>
      <w:r w:rsidR="00D3678E">
        <w:rPr>
          <w:rFonts w:cs="Times New Roman"/>
          <w:sz w:val="26"/>
          <w:szCs w:val="26"/>
        </w:rPr>
        <w:t>erve this structuring function.</w:t>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lastRenderedPageBreak/>
        <w:t xml:space="preserve">Appendix 1: R. </w:t>
      </w:r>
      <w:proofErr w:type="spellStart"/>
      <w:r w:rsidRPr="00FD6165">
        <w:rPr>
          <w:rFonts w:cs="Times New Roman"/>
          <w:b/>
          <w:bCs/>
          <w:sz w:val="26"/>
          <w:szCs w:val="26"/>
        </w:rPr>
        <w:t>Ashi</w:t>
      </w:r>
      <w:proofErr w:type="spellEnd"/>
      <w:r w:rsidRPr="00FD6165">
        <w:rPr>
          <w:rFonts w:cs="Times New Roman"/>
          <w:b/>
          <w:bCs/>
          <w:sz w:val="26"/>
          <w:szCs w:val="26"/>
        </w:rPr>
        <w:t xml:space="preserve"> and the Illogical Dialectic</w:t>
      </w: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On five occasions in the Babylonian Talmud, a </w:t>
      </w:r>
      <w:proofErr w:type="spellStart"/>
      <w:r w:rsidRPr="00FD6165">
        <w:rPr>
          <w:rFonts w:cs="Times New Roman"/>
          <w:i/>
          <w:iCs/>
          <w:sz w:val="26"/>
          <w:szCs w:val="26"/>
        </w:rPr>
        <w:t>baraita</w:t>
      </w:r>
      <w:proofErr w:type="spellEnd"/>
      <w:r w:rsidRPr="00FD6165">
        <w:rPr>
          <w:rFonts w:cs="Times New Roman"/>
          <w:i/>
          <w:iCs/>
          <w:sz w:val="26"/>
          <w:szCs w:val="26"/>
        </w:rPr>
        <w:t xml:space="preserve"> </w:t>
      </w:r>
      <w:r w:rsidRPr="00FD6165">
        <w:rPr>
          <w:rFonts w:cs="Times New Roman"/>
          <w:sz w:val="26"/>
          <w:szCs w:val="26"/>
        </w:rPr>
        <w:t xml:space="preserve">is introduced in which a dialectical chain ends with the conclusion </w:t>
      </w:r>
      <w:r w:rsidRPr="00FD6165">
        <w:rPr>
          <w:rFonts w:cs="Times New Roman"/>
          <w:i/>
          <w:iCs/>
          <w:sz w:val="26"/>
          <w:szCs w:val="26"/>
        </w:rPr>
        <w:t>x</w:t>
      </w:r>
      <w:r w:rsidRPr="00FD6165">
        <w:rPr>
          <w:rFonts w:cs="Times New Roman"/>
          <w:sz w:val="26"/>
          <w:szCs w:val="26"/>
        </w:rPr>
        <w:t xml:space="preserve">, only to be followed by a verse that teaches </w:t>
      </w:r>
      <w:r w:rsidRPr="00FD6165">
        <w:rPr>
          <w:rFonts w:cs="Times New Roman"/>
          <w:i/>
          <w:iCs/>
          <w:sz w:val="26"/>
          <w:szCs w:val="26"/>
        </w:rPr>
        <w:t>x</w:t>
      </w:r>
      <w:r w:rsidRPr="00FD6165">
        <w:rPr>
          <w:rFonts w:cs="Times New Roman"/>
          <w:sz w:val="26"/>
          <w:szCs w:val="26"/>
        </w:rPr>
        <w:t xml:space="preserve">. Each time, the Bavli points out the obvious problem, with some variant of the question: “But what need have I of a verse? It comes [by </w:t>
      </w:r>
      <w:r w:rsidRPr="00FD6165">
        <w:rPr>
          <w:rFonts w:cs="Times New Roman"/>
          <w:i/>
          <w:iCs/>
          <w:sz w:val="26"/>
          <w:szCs w:val="26"/>
        </w:rPr>
        <w:t>din</w:t>
      </w:r>
      <w:r w:rsidRPr="00FD6165">
        <w:rPr>
          <w:rFonts w:cs="Times New Roman"/>
          <w:sz w:val="26"/>
          <w:szCs w:val="26"/>
        </w:rPr>
        <w:t xml:space="preserve">]!” R. </w:t>
      </w:r>
      <w:proofErr w:type="spellStart"/>
      <w:r w:rsidRPr="00FD6165">
        <w:rPr>
          <w:rFonts w:cs="Times New Roman"/>
          <w:sz w:val="26"/>
          <w:szCs w:val="26"/>
        </w:rPr>
        <w:t>Ashi</w:t>
      </w:r>
      <w:proofErr w:type="spellEnd"/>
      <w:r w:rsidRPr="00FD6165">
        <w:rPr>
          <w:rFonts w:cs="Times New Roman"/>
          <w:sz w:val="26"/>
          <w:szCs w:val="26"/>
        </w:rPr>
        <w:t xml:space="preserve"> responds by saying: “For one can say that from the root of the </w:t>
      </w:r>
      <w:r w:rsidRPr="00FD6165">
        <w:rPr>
          <w:rFonts w:cs="Times New Roman"/>
          <w:i/>
          <w:iCs/>
          <w:sz w:val="26"/>
          <w:szCs w:val="26"/>
        </w:rPr>
        <w:t xml:space="preserve">din </w:t>
      </w:r>
      <w:r w:rsidRPr="00FD6165">
        <w:rPr>
          <w:rFonts w:cs="Times New Roman"/>
          <w:sz w:val="26"/>
          <w:szCs w:val="26"/>
        </w:rPr>
        <w:t>(</w:t>
      </w:r>
      <w:r w:rsidRPr="00FD6165">
        <w:rPr>
          <w:rFonts w:cs="Times New Roman"/>
          <w:sz w:val="26"/>
          <w:szCs w:val="26"/>
          <w:rtl/>
        </w:rPr>
        <w:t>מעיקרא דדינא</w:t>
      </w:r>
      <w:r w:rsidRPr="00FD6165">
        <w:rPr>
          <w:rFonts w:cs="Times New Roman"/>
          <w:sz w:val="26"/>
          <w:szCs w:val="26"/>
        </w:rPr>
        <w:t xml:space="preserve">) there is a difficulty.” He (or possibly the </w:t>
      </w:r>
      <w:proofErr w:type="spellStart"/>
      <w:r w:rsidRPr="00FD6165">
        <w:rPr>
          <w:rFonts w:cs="Times New Roman"/>
          <w:i/>
          <w:iCs/>
          <w:sz w:val="26"/>
          <w:szCs w:val="26"/>
        </w:rPr>
        <w:t>stam</w:t>
      </w:r>
      <w:proofErr w:type="spellEnd"/>
      <w:r w:rsidRPr="00FD6165">
        <w:rPr>
          <w:rFonts w:cs="Times New Roman"/>
          <w:sz w:val="26"/>
          <w:szCs w:val="26"/>
        </w:rPr>
        <w:t xml:space="preserve">) then identifies a say-argument that scuttles the </w:t>
      </w:r>
      <w:r w:rsidRPr="00FD6165">
        <w:rPr>
          <w:rFonts w:cs="Times New Roman"/>
          <w:i/>
          <w:iCs/>
          <w:sz w:val="26"/>
          <w:szCs w:val="26"/>
        </w:rPr>
        <w:t>din</w:t>
      </w:r>
      <w:r w:rsidRPr="00FD6165">
        <w:rPr>
          <w:rFonts w:cs="Times New Roman"/>
          <w:sz w:val="26"/>
          <w:szCs w:val="26"/>
        </w:rPr>
        <w:t>.</w:t>
      </w:r>
      <w:r w:rsidRPr="00FD6165">
        <w:rPr>
          <w:rStyle w:val="FootnoteCharacters"/>
          <w:rFonts w:cs="Times New Roman"/>
          <w:sz w:val="26"/>
          <w:szCs w:val="26"/>
        </w:rPr>
        <w:footnoteReference w:id="29"/>
      </w:r>
      <w:r w:rsidRPr="00FD6165">
        <w:rPr>
          <w:rFonts w:cs="Times New Roman"/>
          <w:sz w:val="26"/>
          <w:szCs w:val="26"/>
        </w:rPr>
        <w:t xml:space="preserve"> The following example is from b. Tem. 28a-b. The dialectic concerns an animal through which a sin occurred, e.g., sodomy, that would entail the judicial execution of the animal. Prior to the execution, the animal is ineligible for the altar, nor may it be consumed profanely. If fewer than two witnesses testify to the sin, the animal may not be executed, but it nevertheless becomes ineligible for the altar. The </w:t>
      </w:r>
      <w:proofErr w:type="spellStart"/>
      <w:r w:rsidRPr="00FD6165">
        <w:rPr>
          <w:rFonts w:cs="Times New Roman"/>
          <w:i/>
          <w:iCs/>
          <w:sz w:val="26"/>
          <w:szCs w:val="26"/>
        </w:rPr>
        <w:t>baraita</w:t>
      </w:r>
      <w:proofErr w:type="spellEnd"/>
      <w:r w:rsidRPr="00FD6165">
        <w:rPr>
          <w:rFonts w:cs="Times New Roman"/>
          <w:sz w:val="26"/>
          <w:szCs w:val="26"/>
        </w:rPr>
        <w:t xml:space="preserve"> attempts to justify the latter rule.</w:t>
      </w:r>
    </w:p>
    <w:p w:rsidR="008C5B42" w:rsidRDefault="008C5B42" w:rsidP="008C5B42">
      <w:pPr>
        <w:pStyle w:val="11"/>
        <w:tabs>
          <w:tab w:val="left" w:pos="288"/>
        </w:tabs>
        <w:spacing w:before="0" w:after="0" w:line="300" w:lineRule="exact"/>
        <w:jc w:val="both"/>
        <w:rPr>
          <w:rFonts w:cs="Times New Roman"/>
          <w:b/>
          <w:bCs/>
          <w:i/>
          <w:iCs/>
          <w:sz w:val="26"/>
          <w:szCs w:val="26"/>
        </w:rPr>
      </w:pPr>
    </w:p>
    <w:p w:rsidR="008C5B42" w:rsidRPr="00017AC2" w:rsidRDefault="008C5B42" w:rsidP="008C5B42">
      <w:pPr>
        <w:pStyle w:val="11"/>
        <w:keepNext/>
        <w:tabs>
          <w:tab w:val="left" w:pos="288"/>
        </w:tabs>
        <w:spacing w:before="0" w:after="0" w:line="300" w:lineRule="exact"/>
        <w:jc w:val="both"/>
        <w:rPr>
          <w:rFonts w:cs="Times New Roman"/>
          <w:b/>
          <w:bCs/>
          <w:i/>
          <w:iCs/>
          <w:sz w:val="26"/>
          <w:szCs w:val="26"/>
        </w:rPr>
      </w:pPr>
      <w:r w:rsidRPr="00017AC2">
        <w:rPr>
          <w:rFonts w:cs="Times New Roman"/>
          <w:b/>
          <w:bCs/>
          <w:i/>
          <w:iCs/>
          <w:sz w:val="26"/>
          <w:szCs w:val="26"/>
        </w:rPr>
        <w:t xml:space="preserve">Case </w:t>
      </w:r>
      <w:r>
        <w:rPr>
          <w:rFonts w:cs="Times New Roman"/>
          <w:b/>
          <w:bCs/>
          <w:i/>
          <w:iCs/>
          <w:sz w:val="26"/>
          <w:szCs w:val="26"/>
        </w:rPr>
        <w:t>7</w:t>
      </w:r>
      <w:r w:rsidRPr="00FD6165">
        <w:rPr>
          <w:rStyle w:val="FootnoteCharacters"/>
          <w:rFonts w:cs="Times New Roman"/>
          <w:sz w:val="26"/>
          <w:szCs w:val="26"/>
        </w:rPr>
        <w:footnoteReference w:id="30"/>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535"/>
        <w:gridCol w:w="2305"/>
      </w:tblGrid>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If a transgression was committed through it by one witness, or with only the owner </w:t>
            </w:r>
            <w:proofErr w:type="gramStart"/>
            <w:r w:rsidRPr="00FD6165">
              <w:rPr>
                <w:rFonts w:cs="Times New Roman"/>
                <w:sz w:val="26"/>
                <w:szCs w:val="26"/>
              </w:rPr>
              <w:t>present[</w:t>
            </w:r>
            <w:proofErr w:type="gramEnd"/>
            <w:r w:rsidRPr="00FD6165">
              <w:rPr>
                <w:rFonts w:cs="Times New Roman"/>
                <w:sz w:val="26"/>
                <w:szCs w:val="26"/>
              </w:rPr>
              <w:t>, whence that it is ineligible?]</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נעברה בהן עבירה בעד אחד או על פי הבעלים</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Said R. Ishmael: I reason. If a blemished animal, which does not become ineligible for consumption through the testimony of two witnesses, becomes </w:t>
            </w:r>
            <w:r w:rsidRPr="00FD6165">
              <w:rPr>
                <w:rFonts w:cs="Times New Roman"/>
                <w:sz w:val="26"/>
                <w:szCs w:val="26"/>
              </w:rPr>
              <w:lastRenderedPageBreak/>
              <w:t xml:space="preserve">ineligible for offering [upon the altar] through the testimony of one witness, then the sodomizing and sodomized animals, which do become ineligible for consumption through the testimony of two witnesses, should, by </w:t>
            </w:r>
            <w:r w:rsidRPr="00FD6165">
              <w:rPr>
                <w:rFonts w:cs="Times New Roman"/>
                <w:i/>
                <w:iCs/>
                <w:sz w:val="26"/>
                <w:szCs w:val="26"/>
              </w:rPr>
              <w:t>din</w:t>
            </w:r>
            <w:r w:rsidRPr="00FD6165">
              <w:rPr>
                <w:rFonts w:cs="Times New Roman"/>
                <w:sz w:val="26"/>
                <w:szCs w:val="26"/>
              </w:rPr>
              <w:t>, become ineligible for offering through the testimony of one witness.</w:t>
            </w:r>
          </w:p>
          <w:p w:rsidR="00827AD0" w:rsidRPr="002F64DD" w:rsidRDefault="00827AD0"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lastRenderedPageBreak/>
              <w:t xml:space="preserve">א"ר ישמעל אני דן ומה בעל מום שאין הודאת שני עדים פוסלתו מאכילה הור(!)את עד </w:t>
            </w:r>
            <w:r w:rsidRPr="00FD6165">
              <w:rPr>
                <w:rFonts w:cs="Times New Roman"/>
                <w:sz w:val="26"/>
                <w:szCs w:val="26"/>
                <w:rtl/>
              </w:rPr>
              <w:lastRenderedPageBreak/>
              <w:t>אח' פוסלתו מהקרבה רובע ונרבע שהוראת שני עדים פוסלתן מאכילה אינו דין שהוראת עד אחד פוסלתן מהקרבה</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lastRenderedPageBreak/>
              <w:t>3</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“from cattle” (Lev 1:2): to exclude the sodomizing and sodomized animals [from the altar].</w:t>
            </w:r>
          </w:p>
          <w:p w:rsidR="00827AD0" w:rsidRPr="002F64DD" w:rsidRDefault="00827AD0"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ת"ל מן הבהמ' להוציא את הרובע ואת הנרבע</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But it comes [by </w:t>
            </w:r>
            <w:r w:rsidRPr="00FD6165">
              <w:rPr>
                <w:rFonts w:cs="Times New Roman"/>
                <w:i/>
                <w:iCs/>
                <w:sz w:val="26"/>
                <w:szCs w:val="26"/>
              </w:rPr>
              <w:t>din</w:t>
            </w:r>
            <w:r w:rsidRPr="00FD6165">
              <w:rPr>
                <w:rFonts w:cs="Times New Roman"/>
                <w:sz w:val="26"/>
                <w:szCs w:val="26"/>
              </w:rPr>
              <w:t>]?</w:t>
            </w:r>
          </w:p>
          <w:p w:rsidR="00827AD0" w:rsidRPr="002F64DD" w:rsidRDefault="00827AD0"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והא אתיא מדינא</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5</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Said R. </w:t>
            </w:r>
            <w:proofErr w:type="spellStart"/>
            <w:r w:rsidRPr="00FD6165">
              <w:rPr>
                <w:rFonts w:cs="Times New Roman"/>
                <w:sz w:val="26"/>
                <w:szCs w:val="26"/>
              </w:rPr>
              <w:t>Ashi</w:t>
            </w:r>
            <w:proofErr w:type="spellEnd"/>
            <w:r w:rsidRPr="00FD6165">
              <w:rPr>
                <w:rFonts w:cs="Times New Roman"/>
                <w:sz w:val="26"/>
                <w:szCs w:val="26"/>
              </w:rPr>
              <w:t>: For one can raise a difficulty.</w:t>
            </w:r>
            <w:r w:rsidRPr="00FD6165">
              <w:rPr>
                <w:rStyle w:val="FootnoteCharacters"/>
                <w:rFonts w:cs="Times New Roman"/>
                <w:sz w:val="26"/>
                <w:szCs w:val="26"/>
              </w:rPr>
              <w:footnoteReference w:id="31"/>
            </w:r>
            <w:r w:rsidRPr="00FD6165">
              <w:rPr>
                <w:rFonts w:cs="Times New Roman"/>
                <w:sz w:val="26"/>
                <w:szCs w:val="26"/>
              </w:rPr>
              <w:t xml:space="preserve"> What holds of a blemished animal? Its blemish is recognizable [in the animal’s body]. Will you say concerning the sodomizing and sodomized animals, whose blemish is not recognizable? Since their blemish is not recognizable, they should be eligible for the altar.</w:t>
            </w:r>
          </w:p>
          <w:p w:rsidR="00827AD0" w:rsidRPr="002F64DD" w:rsidRDefault="00827AD0"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א' רב אשי משו' דאיכ' למיפרך מה לבעל מום שכן מומו נכר תאמר ברובע ונרבע שאין מומו נכר הואיל ואין מומן נכר יהו כשרין לגבי מזבח</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Pr>
                <w:rFonts w:cs="Times New Roman"/>
                <w:sz w:val="26"/>
                <w:szCs w:val="26"/>
              </w:rPr>
              <w:t>6.</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“from cattle”: to exclude the sodomizing and sodomized animals.</w:t>
            </w:r>
          </w:p>
          <w:p w:rsidR="00827AD0" w:rsidRPr="00FD6165" w:rsidRDefault="00827AD0" w:rsidP="008C5B42">
            <w:pPr>
              <w:pStyle w:val="11"/>
              <w:tabs>
                <w:tab w:val="left" w:pos="288"/>
              </w:tabs>
              <w:spacing w:before="0" w:after="0" w:line="300" w:lineRule="exact"/>
              <w:rPr>
                <w:rFonts w:cs="Times New Roman"/>
                <w:sz w:val="26"/>
                <w:szCs w:val="26"/>
              </w:rPr>
            </w:pPr>
          </w:p>
        </w:tc>
        <w:tc>
          <w:tcPr>
            <w:tcW w:w="2374" w:type="dxa"/>
          </w:tcPr>
          <w:p w:rsidR="008C5B42" w:rsidRPr="00FD6165" w:rsidRDefault="008C5B42" w:rsidP="008C5B42">
            <w:pPr>
              <w:pStyle w:val="11"/>
              <w:tabs>
                <w:tab w:val="left" w:pos="288"/>
              </w:tabs>
              <w:spacing w:before="0" w:after="0" w:line="300" w:lineRule="exact"/>
              <w:jc w:val="right"/>
              <w:rPr>
                <w:rFonts w:cs="Times New Roman"/>
                <w:sz w:val="26"/>
                <w:szCs w:val="26"/>
                <w:rtl/>
              </w:rPr>
            </w:pPr>
            <w:r w:rsidRPr="00FD6165">
              <w:rPr>
                <w:rFonts w:cs="Times New Roman"/>
                <w:sz w:val="26"/>
                <w:szCs w:val="26"/>
                <w:rtl/>
              </w:rPr>
              <w:t>ת"ל מן הבהמה להוציא את הרובע והנרבע</w:t>
            </w:r>
          </w:p>
        </w:tc>
      </w:tr>
    </w:tbl>
    <w:p w:rsidR="008C5B42" w:rsidRPr="00FD6165" w:rsidRDefault="008C5B42" w:rsidP="008C5B42">
      <w:pPr>
        <w:pStyle w:val="11"/>
        <w:tabs>
          <w:tab w:val="left" w:pos="288"/>
        </w:tabs>
        <w:spacing w:before="0" w:after="0" w:line="300" w:lineRule="exact"/>
        <w:ind w:left="1440" w:right="1440" w:firstLine="288"/>
        <w:jc w:val="both"/>
        <w:rPr>
          <w:rFonts w:cs="Times New Roman"/>
          <w:sz w:val="26"/>
          <w:szCs w:val="26"/>
        </w:rPr>
      </w:pPr>
    </w:p>
    <w:p w:rsidR="008C5B42"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There is a parallel to the </w:t>
      </w:r>
      <w:proofErr w:type="spellStart"/>
      <w:r w:rsidRPr="00FD6165">
        <w:rPr>
          <w:rFonts w:cs="Times New Roman"/>
          <w:i/>
          <w:iCs/>
          <w:sz w:val="26"/>
          <w:szCs w:val="26"/>
        </w:rPr>
        <w:t>baraita</w:t>
      </w:r>
      <w:proofErr w:type="spellEnd"/>
      <w:r w:rsidRPr="00FD6165">
        <w:rPr>
          <w:rFonts w:cs="Times New Roman"/>
          <w:sz w:val="26"/>
          <w:szCs w:val="26"/>
        </w:rPr>
        <w:t xml:space="preserve"> in </w:t>
      </w:r>
      <w:proofErr w:type="spellStart"/>
      <w:r w:rsidRPr="00FD6165">
        <w:rPr>
          <w:rFonts w:cs="Times New Roman"/>
          <w:sz w:val="26"/>
          <w:szCs w:val="26"/>
        </w:rPr>
        <w:t>Sifra</w:t>
      </w:r>
      <w:proofErr w:type="spellEnd"/>
      <w:r w:rsidRPr="00FD6165">
        <w:rPr>
          <w:rFonts w:cs="Times New Roman"/>
          <w:sz w:val="26"/>
          <w:szCs w:val="26"/>
        </w:rPr>
        <w:t xml:space="preserve"> </w:t>
      </w:r>
      <w:proofErr w:type="spellStart"/>
      <w:r w:rsidRPr="00FD6165">
        <w:rPr>
          <w:rFonts w:cs="Times New Roman"/>
          <w:sz w:val="26"/>
          <w:szCs w:val="26"/>
        </w:rPr>
        <w:t>Nedava</w:t>
      </w:r>
      <w:proofErr w:type="spellEnd"/>
      <w:r w:rsidRPr="00FD6165">
        <w:rPr>
          <w:rFonts w:cs="Times New Roman"/>
          <w:sz w:val="26"/>
          <w:szCs w:val="26"/>
        </w:rPr>
        <w:t xml:space="preserve"> 3:1 (Weiss ed., 4d), as follows.</w:t>
      </w:r>
    </w:p>
    <w:p w:rsidR="00F37FF7" w:rsidRPr="00FD6165" w:rsidRDefault="00F37FF7" w:rsidP="008C5B42">
      <w:pPr>
        <w:pStyle w:val="11"/>
        <w:tabs>
          <w:tab w:val="left" w:pos="288"/>
        </w:tabs>
        <w:spacing w:before="0" w:after="0" w:line="300" w:lineRule="exact"/>
        <w:jc w:val="both"/>
        <w:rPr>
          <w:rFonts w:cs="Times New Roman"/>
          <w:sz w:val="26"/>
          <w:szCs w:val="26"/>
        </w:rPr>
      </w:pPr>
    </w:p>
    <w:p w:rsidR="008C5B42" w:rsidRPr="00017AC2" w:rsidRDefault="008C5B42" w:rsidP="008C5B42">
      <w:pPr>
        <w:pStyle w:val="11"/>
        <w:keepNext/>
        <w:tabs>
          <w:tab w:val="left" w:pos="288"/>
        </w:tabs>
        <w:spacing w:before="0" w:after="0" w:line="300" w:lineRule="exact"/>
        <w:jc w:val="both"/>
        <w:rPr>
          <w:rFonts w:cs="Times New Roman"/>
          <w:b/>
          <w:bCs/>
          <w:i/>
          <w:iCs/>
          <w:sz w:val="26"/>
          <w:szCs w:val="26"/>
        </w:rPr>
      </w:pPr>
      <w:r w:rsidRPr="00017AC2">
        <w:rPr>
          <w:rFonts w:cs="Times New Roman"/>
          <w:b/>
          <w:bCs/>
          <w:i/>
          <w:iCs/>
          <w:sz w:val="26"/>
          <w:szCs w:val="26"/>
        </w:rPr>
        <w:t xml:space="preserve">Case </w:t>
      </w:r>
      <w:r>
        <w:rPr>
          <w:rFonts w:cs="Times New Roman"/>
          <w:b/>
          <w:bCs/>
          <w:i/>
          <w:iCs/>
          <w:sz w:val="26"/>
          <w:szCs w:val="26"/>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538"/>
        <w:gridCol w:w="2302"/>
      </w:tblGrid>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If a transgression was committed through it by one witness, or with only the owner present, whence [that it is ineligible]?</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lastRenderedPageBreak/>
              <w:t>נעברה בו עבירה על פי עד אחד או על פי הבעלים מנין</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Said R. Ishmael: I reason. If a blemished animal, which does not become ineligible for consumption through the testimony of two witnesses, becomes ineligible for offering [upon the altar] through the testimony of one witness, then the sodomizing and sodomized animals, which do become ineligible for consumption through the testimony of two witnesses, should, by </w:t>
            </w:r>
            <w:r w:rsidRPr="00FD6165">
              <w:rPr>
                <w:rFonts w:cs="Times New Roman"/>
                <w:i/>
                <w:iCs/>
                <w:sz w:val="26"/>
                <w:szCs w:val="26"/>
              </w:rPr>
              <w:t>din</w:t>
            </w:r>
            <w:r w:rsidRPr="00FD6165">
              <w:rPr>
                <w:rFonts w:cs="Times New Roman"/>
                <w:sz w:val="26"/>
                <w:szCs w:val="26"/>
              </w:rPr>
              <w:t>, become ineligible for offering through the testimony of one witness.</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אמר רבי ישמעאל הרי אני דן מה אם בעל מום שאין יעידת שני עידים פוסלתו מן האכילה יעידת עד אחד פוסלתו מן ההקרבה הרוביע והנירבע שיעידת שני עידים פוסלתן מן האכילה אינו דין שתהא יעידת עד אחד פוסלתן מן ההקרבה</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Said to him R. </w:t>
            </w:r>
            <w:proofErr w:type="spellStart"/>
            <w:r w:rsidRPr="00FD6165">
              <w:rPr>
                <w:rFonts w:cs="Times New Roman"/>
                <w:sz w:val="26"/>
                <w:szCs w:val="26"/>
              </w:rPr>
              <w:t>Akiva</w:t>
            </w:r>
            <w:proofErr w:type="spellEnd"/>
            <w:r w:rsidRPr="00FD6165">
              <w:rPr>
                <w:rFonts w:cs="Times New Roman"/>
                <w:sz w:val="26"/>
                <w:szCs w:val="26"/>
              </w:rPr>
              <w:t>: No. If you say concerning a blemished animal, whose blemish is exposed, will you say concerning the sodomizing and sodomized animals, whose blemish is not exposed? Since their blemish is not recognizable, they should be eligible for the altar.</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אמר לו רבי עקיבה לא אם אמרתה בבעל מום שמומו בגלוי תאמר ברובע ונירבע שאין מומם בגלוי הואיל ואין מומן בגלוי לא יפסלו מעל גבי המזבח</w:t>
            </w:r>
          </w:p>
        </w:tc>
      </w:tr>
      <w:tr w:rsidR="008C5B42" w:rsidRPr="002F64DD" w:rsidTr="004C6374">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“from cattle”: to exclude the sodomizing and sodomized animals.</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תל' לו' מן הבהמה להוציא את הרוביע ואת הנירבע</w:t>
            </w:r>
          </w:p>
        </w:tc>
      </w:tr>
    </w:tbl>
    <w:p w:rsidR="008C5B42" w:rsidRPr="00FD6165" w:rsidRDefault="008C5B42" w:rsidP="008C5B42">
      <w:pPr>
        <w:pStyle w:val="11"/>
        <w:tabs>
          <w:tab w:val="left" w:pos="288"/>
        </w:tabs>
        <w:spacing w:before="0" w:after="0" w:line="300" w:lineRule="exact"/>
        <w:ind w:left="1440" w:right="1440" w:firstLine="288"/>
        <w:jc w:val="both"/>
        <w:rPr>
          <w:rFonts w:cs="Times New Roman"/>
          <w:b/>
          <w:bCs/>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In the Bavli, R. </w:t>
      </w:r>
      <w:proofErr w:type="spellStart"/>
      <w:r w:rsidRPr="00FD6165">
        <w:rPr>
          <w:rFonts w:cs="Times New Roman"/>
          <w:sz w:val="26"/>
          <w:szCs w:val="26"/>
        </w:rPr>
        <w:t>Akiva’s</w:t>
      </w:r>
      <w:proofErr w:type="spellEnd"/>
      <w:r w:rsidRPr="00FD6165">
        <w:rPr>
          <w:rFonts w:cs="Times New Roman"/>
          <w:sz w:val="26"/>
          <w:szCs w:val="26"/>
        </w:rPr>
        <w:t xml:space="preserve"> response to R. Ishmael’s </w:t>
      </w:r>
      <w:r w:rsidRPr="00FD6165">
        <w:rPr>
          <w:rFonts w:cs="Times New Roman"/>
          <w:i/>
          <w:iCs/>
          <w:sz w:val="26"/>
          <w:szCs w:val="26"/>
        </w:rPr>
        <w:t xml:space="preserve">din </w:t>
      </w:r>
      <w:r w:rsidRPr="00FD6165">
        <w:rPr>
          <w:rFonts w:cs="Times New Roman"/>
          <w:sz w:val="26"/>
          <w:szCs w:val="26"/>
        </w:rPr>
        <w:t xml:space="preserve">is missing from the </w:t>
      </w:r>
      <w:proofErr w:type="spellStart"/>
      <w:r w:rsidRPr="00FD6165">
        <w:rPr>
          <w:rFonts w:cs="Times New Roman"/>
          <w:i/>
          <w:iCs/>
          <w:sz w:val="26"/>
          <w:szCs w:val="26"/>
        </w:rPr>
        <w:t>baraita</w:t>
      </w:r>
      <w:proofErr w:type="spellEnd"/>
      <w:r w:rsidRPr="00FD6165">
        <w:rPr>
          <w:rFonts w:cs="Times New Roman"/>
          <w:sz w:val="26"/>
          <w:szCs w:val="26"/>
        </w:rPr>
        <w:t>.</w:t>
      </w:r>
      <w:r w:rsidR="00EA590F">
        <w:rPr>
          <w:rFonts w:cs="Times New Roman"/>
          <w:sz w:val="26"/>
          <w:szCs w:val="26"/>
        </w:rPr>
        <w:t xml:space="preserve"> </w:t>
      </w:r>
      <w:r w:rsidRPr="00FD6165">
        <w:rPr>
          <w:rFonts w:cs="Times New Roman"/>
          <w:sz w:val="26"/>
          <w:szCs w:val="26"/>
        </w:rPr>
        <w:t xml:space="preserve">Hence the turn to the prooftext lacks apparent logic. R. </w:t>
      </w:r>
      <w:proofErr w:type="spellStart"/>
      <w:r w:rsidRPr="00FD6165">
        <w:rPr>
          <w:rFonts w:cs="Times New Roman"/>
          <w:sz w:val="26"/>
          <w:szCs w:val="26"/>
        </w:rPr>
        <w:t>Ashi</w:t>
      </w:r>
      <w:proofErr w:type="spellEnd"/>
      <w:r w:rsidRPr="00FD6165">
        <w:rPr>
          <w:rFonts w:cs="Times New Roman"/>
          <w:sz w:val="26"/>
          <w:szCs w:val="26"/>
        </w:rPr>
        <w:t xml:space="preserve"> remedies the </w:t>
      </w:r>
      <w:proofErr w:type="spellStart"/>
      <w:r w:rsidRPr="00FD6165">
        <w:rPr>
          <w:rFonts w:cs="Times New Roman"/>
          <w:i/>
          <w:iCs/>
          <w:sz w:val="26"/>
          <w:szCs w:val="26"/>
        </w:rPr>
        <w:t>baraita</w:t>
      </w:r>
      <w:proofErr w:type="spellEnd"/>
      <w:r w:rsidRPr="00FD6165">
        <w:rPr>
          <w:rFonts w:cs="Times New Roman"/>
          <w:sz w:val="26"/>
          <w:szCs w:val="26"/>
        </w:rPr>
        <w:t xml:space="preserve"> by supplying R. </w:t>
      </w:r>
      <w:proofErr w:type="spellStart"/>
      <w:r w:rsidRPr="00FD6165">
        <w:rPr>
          <w:rFonts w:cs="Times New Roman"/>
          <w:sz w:val="26"/>
          <w:szCs w:val="26"/>
        </w:rPr>
        <w:t>Akiva’s</w:t>
      </w:r>
      <w:proofErr w:type="spellEnd"/>
      <w:r w:rsidRPr="00FD6165">
        <w:rPr>
          <w:rFonts w:cs="Times New Roman"/>
          <w:sz w:val="26"/>
          <w:szCs w:val="26"/>
        </w:rPr>
        <w:t xml:space="preserve"> response.</w:t>
      </w:r>
      <w:r w:rsidRPr="00FD6165">
        <w:rPr>
          <w:rStyle w:val="FootnoteCharacters"/>
          <w:rFonts w:cs="Times New Roman"/>
          <w:sz w:val="26"/>
          <w:szCs w:val="26"/>
        </w:rPr>
        <w:footnoteReference w:id="32"/>
      </w:r>
      <w:r w:rsidRPr="00FD6165">
        <w:rPr>
          <w:rFonts w:cs="Times New Roman"/>
          <w:sz w:val="26"/>
          <w:szCs w:val="26"/>
        </w:rPr>
        <w:t xml:space="preserve"> How are we to make sense of the relationship between the </w:t>
      </w:r>
      <w:proofErr w:type="spellStart"/>
      <w:r w:rsidRPr="00FD6165">
        <w:rPr>
          <w:rFonts w:cs="Times New Roman"/>
          <w:sz w:val="26"/>
          <w:szCs w:val="26"/>
        </w:rPr>
        <w:t>Sifra</w:t>
      </w:r>
      <w:proofErr w:type="spellEnd"/>
      <w:r w:rsidRPr="00FD6165">
        <w:rPr>
          <w:rFonts w:cs="Times New Roman"/>
          <w:sz w:val="26"/>
          <w:szCs w:val="26"/>
        </w:rPr>
        <w:t xml:space="preserve"> passage and the </w:t>
      </w:r>
      <w:proofErr w:type="spellStart"/>
      <w:r w:rsidRPr="00FD6165">
        <w:rPr>
          <w:rFonts w:cs="Times New Roman"/>
          <w:i/>
          <w:iCs/>
          <w:sz w:val="26"/>
          <w:szCs w:val="26"/>
        </w:rPr>
        <w:t>baraita</w:t>
      </w:r>
      <w:proofErr w:type="spellEnd"/>
      <w:r w:rsidRPr="00FD6165">
        <w:rPr>
          <w:rFonts w:cs="Times New Roman"/>
          <w:sz w:val="26"/>
          <w:szCs w:val="26"/>
        </w:rPr>
        <w:t>? Before addressing this question, let us consider another, very similar example.</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In b. </w:t>
      </w:r>
      <w:proofErr w:type="spellStart"/>
      <w:r w:rsidRPr="00FD6165">
        <w:rPr>
          <w:rFonts w:cs="Times New Roman"/>
          <w:sz w:val="26"/>
          <w:szCs w:val="26"/>
        </w:rPr>
        <w:t>Qidd</w:t>
      </w:r>
      <w:proofErr w:type="spellEnd"/>
      <w:r w:rsidRPr="00FD6165">
        <w:rPr>
          <w:rFonts w:cs="Times New Roman"/>
          <w:sz w:val="26"/>
          <w:szCs w:val="26"/>
        </w:rPr>
        <w:t xml:space="preserve">. 4b, </w:t>
      </w:r>
      <w:proofErr w:type="gramStart"/>
      <w:r w:rsidRPr="00FD6165">
        <w:rPr>
          <w:rFonts w:cs="Times New Roman"/>
          <w:sz w:val="26"/>
          <w:szCs w:val="26"/>
        </w:rPr>
        <w:t>in the course of</w:t>
      </w:r>
      <w:proofErr w:type="gramEnd"/>
      <w:r w:rsidRPr="00FD6165">
        <w:rPr>
          <w:rFonts w:cs="Times New Roman"/>
          <w:sz w:val="26"/>
          <w:szCs w:val="26"/>
        </w:rPr>
        <w:t xml:space="preserve"> establishing the biblical basis for the various means by which a wife is “acquired,” the Bavli introduces a </w:t>
      </w:r>
      <w:proofErr w:type="spellStart"/>
      <w:r w:rsidRPr="00FD6165">
        <w:rPr>
          <w:rFonts w:cs="Times New Roman"/>
          <w:i/>
          <w:iCs/>
          <w:sz w:val="26"/>
          <w:szCs w:val="26"/>
        </w:rPr>
        <w:t>baraita</w:t>
      </w:r>
      <w:proofErr w:type="spellEnd"/>
      <w:r w:rsidRPr="00FD6165">
        <w:rPr>
          <w:rFonts w:cs="Times New Roman"/>
          <w:sz w:val="26"/>
          <w:szCs w:val="26"/>
        </w:rPr>
        <w:t>, which it then challenges.</w:t>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Pr="00017AC2" w:rsidRDefault="006D595B" w:rsidP="008C5B42">
      <w:pPr>
        <w:pStyle w:val="11"/>
        <w:keepNext/>
        <w:tabs>
          <w:tab w:val="left" w:pos="288"/>
        </w:tabs>
        <w:spacing w:before="0" w:after="0" w:line="300" w:lineRule="exact"/>
        <w:jc w:val="both"/>
        <w:rPr>
          <w:rFonts w:cs="Times New Roman"/>
          <w:b/>
          <w:bCs/>
          <w:i/>
          <w:iCs/>
          <w:sz w:val="26"/>
          <w:szCs w:val="26"/>
        </w:rPr>
      </w:pPr>
      <w:r>
        <w:rPr>
          <w:rFonts w:cs="Times New Roman"/>
          <w:b/>
          <w:bCs/>
          <w:i/>
          <w:iCs/>
          <w:sz w:val="26"/>
          <w:szCs w:val="26"/>
        </w:rPr>
        <w:br w:type="page"/>
      </w:r>
      <w:r w:rsidR="008C5B42" w:rsidRPr="00017AC2">
        <w:rPr>
          <w:rFonts w:cs="Times New Roman"/>
          <w:b/>
          <w:bCs/>
          <w:i/>
          <w:iCs/>
          <w:sz w:val="26"/>
          <w:szCs w:val="26"/>
        </w:rPr>
        <w:lastRenderedPageBreak/>
        <w:t xml:space="preserve">Case </w:t>
      </w:r>
      <w:r w:rsidR="008C5B42">
        <w:rPr>
          <w:rFonts w:cs="Times New Roman"/>
          <w:b/>
          <w:bCs/>
          <w:i/>
          <w:iCs/>
          <w:sz w:val="26"/>
          <w:szCs w:val="26"/>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538"/>
        <w:gridCol w:w="2302"/>
      </w:tblGrid>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“If a man takes a woman and cohabits with her” (Deut 22:13): There is no “taking” save through money. And </w:t>
            </w:r>
            <w:proofErr w:type="gramStart"/>
            <w:r w:rsidRPr="00FD6165">
              <w:rPr>
                <w:rFonts w:cs="Times New Roman"/>
                <w:sz w:val="26"/>
                <w:szCs w:val="26"/>
              </w:rPr>
              <w:t>likewise</w:t>
            </w:r>
            <w:proofErr w:type="gramEnd"/>
            <w:r w:rsidRPr="00FD6165">
              <w:rPr>
                <w:rFonts w:cs="Times New Roman"/>
                <w:sz w:val="26"/>
                <w:szCs w:val="26"/>
              </w:rPr>
              <w:t xml:space="preserve"> it says, “Let me give the money of the field, take it from me” (Gen 23:13).</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כי יקח איש אשה אין קיחה אלא בכסף וכן הוא או' נתתי כסף השדה קח ממני</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But is it not a </w:t>
            </w:r>
            <w:r w:rsidRPr="00FD6165">
              <w:rPr>
                <w:rFonts w:cs="Times New Roman"/>
                <w:i/>
                <w:iCs/>
                <w:sz w:val="26"/>
                <w:szCs w:val="26"/>
              </w:rPr>
              <w:t>din</w:t>
            </w:r>
            <w:r w:rsidRPr="00FD6165">
              <w:rPr>
                <w:rFonts w:cs="Times New Roman"/>
                <w:sz w:val="26"/>
                <w:szCs w:val="26"/>
              </w:rPr>
              <w:t xml:space="preserve">? If the Hebrew maidservant, who is not acquired through intercourse, is acquired through money, then by </w:t>
            </w:r>
            <w:r w:rsidRPr="00FD6165">
              <w:rPr>
                <w:rFonts w:cs="Times New Roman"/>
                <w:i/>
                <w:iCs/>
                <w:sz w:val="26"/>
                <w:szCs w:val="26"/>
              </w:rPr>
              <w:t xml:space="preserve">din </w:t>
            </w:r>
            <w:r w:rsidRPr="00FD6165">
              <w:rPr>
                <w:rFonts w:cs="Times New Roman"/>
                <w:sz w:val="26"/>
                <w:szCs w:val="26"/>
              </w:rPr>
              <w:t>should not this one (i.e., a wife), who is acquired through intercourse, be acquired through money?</w:t>
            </w:r>
            <w:r w:rsidRPr="00FD6165">
              <w:rPr>
                <w:rStyle w:val="FootnoteCharacters"/>
                <w:rFonts w:cs="Times New Roman"/>
                <w:sz w:val="26"/>
                <w:szCs w:val="26"/>
              </w:rPr>
              <w:footnoteReference w:id="33"/>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והלא דין הוא ומה אמה העבריה שאינה נקנית בביאה נקנית בכסף זו שנקנית בביאה אינו דין שנקנית בכסף</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The sister-in-law will prove, for she is acquired through intercourse but is not acquired through money.</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יבמה תוכיח שנקנית בביאה ואין נקנית בכסף</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4</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What holds of the sister-in-law? She is not acquired through a legal instrument. Will you say concerning this one, who is acquired through a legal instrument?</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מה ליבמה שכן אין נקנית בשטר תאמר בזו שנקנית בשטר</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5</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“if … takes.”</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ת"ל כי יקח</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Pr>
                <w:rFonts w:cs="Times New Roman"/>
                <w:sz w:val="26"/>
                <w:szCs w:val="26"/>
              </w:rPr>
              <w:t>6.</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What need have I of a verse? It comes [by </w:t>
            </w:r>
            <w:r w:rsidRPr="00FD6165">
              <w:rPr>
                <w:rFonts w:cs="Times New Roman"/>
                <w:i/>
                <w:iCs/>
                <w:sz w:val="26"/>
                <w:szCs w:val="26"/>
              </w:rPr>
              <w:t>din</w:t>
            </w:r>
            <w:r w:rsidRPr="00FD6165">
              <w:rPr>
                <w:rFonts w:cs="Times New Roman"/>
                <w:sz w:val="26"/>
                <w:szCs w:val="26"/>
              </w:rPr>
              <w:t>]!</w:t>
            </w:r>
          </w:p>
          <w:p w:rsidR="008C5B42" w:rsidRPr="00FD6165"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FD6165" w:rsidRDefault="008C5B42" w:rsidP="008C5B42">
            <w:pPr>
              <w:pStyle w:val="11"/>
              <w:tabs>
                <w:tab w:val="left" w:pos="288"/>
              </w:tabs>
              <w:spacing w:before="0" w:after="0" w:line="300" w:lineRule="exact"/>
              <w:jc w:val="right"/>
              <w:rPr>
                <w:rFonts w:cs="Times New Roman"/>
                <w:sz w:val="26"/>
                <w:szCs w:val="26"/>
                <w:rtl/>
              </w:rPr>
            </w:pPr>
            <w:r w:rsidRPr="00FD6165">
              <w:rPr>
                <w:rFonts w:cs="Times New Roman"/>
                <w:sz w:val="26"/>
                <w:szCs w:val="26"/>
                <w:rtl/>
              </w:rPr>
              <w:t>למה' לי קרא הא אתיא</w:t>
            </w:r>
          </w:p>
        </w:tc>
      </w:tr>
      <w:tr w:rsidR="008C5B42" w:rsidRPr="002F64DD" w:rsidTr="006D595B">
        <w:tc>
          <w:tcPr>
            <w:tcW w:w="411" w:type="dxa"/>
          </w:tcPr>
          <w:p w:rsidR="008C5B42" w:rsidRDefault="008C5B42" w:rsidP="008C5B42">
            <w:pPr>
              <w:pStyle w:val="11"/>
              <w:tabs>
                <w:tab w:val="left" w:pos="288"/>
              </w:tabs>
              <w:spacing w:before="0" w:after="0" w:line="300" w:lineRule="exact"/>
              <w:jc w:val="both"/>
              <w:rPr>
                <w:rFonts w:cs="Times New Roman"/>
                <w:sz w:val="26"/>
                <w:szCs w:val="26"/>
              </w:rPr>
            </w:pPr>
            <w:r>
              <w:rPr>
                <w:rFonts w:cs="Times New Roman"/>
                <w:sz w:val="26"/>
                <w:szCs w:val="26"/>
              </w:rPr>
              <w:t>7.</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Said R. </w:t>
            </w:r>
            <w:proofErr w:type="spellStart"/>
            <w:r w:rsidRPr="00FD6165">
              <w:rPr>
                <w:rFonts w:cs="Times New Roman"/>
                <w:sz w:val="26"/>
                <w:szCs w:val="26"/>
              </w:rPr>
              <w:t>Ashi</w:t>
            </w:r>
            <w:proofErr w:type="spellEnd"/>
            <w:r w:rsidRPr="00FD6165">
              <w:rPr>
                <w:rFonts w:cs="Times New Roman"/>
                <w:sz w:val="26"/>
                <w:szCs w:val="26"/>
              </w:rPr>
              <w:t xml:space="preserve">: For one can say that from the root of the </w:t>
            </w:r>
            <w:r w:rsidRPr="00FD6165">
              <w:rPr>
                <w:rFonts w:cs="Times New Roman"/>
                <w:i/>
                <w:iCs/>
                <w:sz w:val="26"/>
                <w:szCs w:val="26"/>
              </w:rPr>
              <w:t xml:space="preserve">din </w:t>
            </w:r>
            <w:r w:rsidRPr="00FD6165">
              <w:rPr>
                <w:rFonts w:cs="Times New Roman"/>
                <w:sz w:val="26"/>
                <w:szCs w:val="26"/>
              </w:rPr>
              <w:t>there is a difficulty. From where do you establish it?</w:t>
            </w:r>
            <w:r w:rsidR="00EA590F">
              <w:rPr>
                <w:rFonts w:cs="Times New Roman"/>
                <w:sz w:val="26"/>
                <w:szCs w:val="26"/>
              </w:rPr>
              <w:t xml:space="preserve"> </w:t>
            </w:r>
            <w:r w:rsidRPr="00FD6165">
              <w:rPr>
                <w:rFonts w:cs="Times New Roman"/>
                <w:sz w:val="26"/>
                <w:szCs w:val="26"/>
              </w:rPr>
              <w:t>From the Hebrew maidservant? What holds of the Hebrew maidservant? She exits through money. Will you say concerning this one, who does not exit through money?</w:t>
            </w:r>
          </w:p>
          <w:p w:rsidR="008C5B42" w:rsidRPr="00FD6165"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FD6165" w:rsidRDefault="008C5B42" w:rsidP="008C5B42">
            <w:pPr>
              <w:pStyle w:val="11"/>
              <w:tabs>
                <w:tab w:val="left" w:pos="288"/>
              </w:tabs>
              <w:spacing w:before="0" w:after="0" w:line="300" w:lineRule="exact"/>
              <w:jc w:val="right"/>
              <w:rPr>
                <w:rFonts w:cs="Times New Roman"/>
                <w:sz w:val="26"/>
                <w:szCs w:val="26"/>
                <w:rtl/>
              </w:rPr>
            </w:pPr>
            <w:r w:rsidRPr="00FD6165">
              <w:rPr>
                <w:rFonts w:cs="Times New Roman"/>
                <w:sz w:val="26"/>
                <w:szCs w:val="26"/>
                <w:rtl/>
              </w:rPr>
              <w:lastRenderedPageBreak/>
              <w:t>א' רב אשי משום דאיכא למימר מעיקרא דדינא פירכא מהיכא קמייתית לה מאמה העבריה מה לאמה העבריה שכן יוצאת בכסף תאמר בזו שאין יוצאת בכסף</w:t>
            </w:r>
          </w:p>
        </w:tc>
      </w:tr>
      <w:tr w:rsidR="008C5B42" w:rsidRPr="002F64DD" w:rsidTr="006D595B">
        <w:tc>
          <w:tcPr>
            <w:tcW w:w="411" w:type="dxa"/>
          </w:tcPr>
          <w:p w:rsidR="008C5B42" w:rsidRDefault="008C5B42" w:rsidP="008C5B42">
            <w:pPr>
              <w:pStyle w:val="11"/>
              <w:tabs>
                <w:tab w:val="left" w:pos="288"/>
              </w:tabs>
              <w:spacing w:before="0" w:after="0" w:line="300" w:lineRule="exact"/>
              <w:jc w:val="both"/>
              <w:rPr>
                <w:rFonts w:cs="Times New Roman"/>
                <w:sz w:val="26"/>
                <w:szCs w:val="26"/>
              </w:rPr>
            </w:pPr>
            <w:r>
              <w:rPr>
                <w:rFonts w:cs="Times New Roman"/>
                <w:sz w:val="26"/>
                <w:szCs w:val="26"/>
              </w:rPr>
              <w:t>8.</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“if … takes.”</w:t>
            </w:r>
          </w:p>
          <w:p w:rsidR="008C5B42" w:rsidRPr="00FD6165"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FD6165" w:rsidRDefault="008C5B42" w:rsidP="008C5B42">
            <w:pPr>
              <w:pStyle w:val="11"/>
              <w:tabs>
                <w:tab w:val="left" w:pos="288"/>
              </w:tabs>
              <w:spacing w:before="0" w:after="0" w:line="300" w:lineRule="exact"/>
              <w:jc w:val="right"/>
              <w:rPr>
                <w:rFonts w:cs="Times New Roman" w:hint="cs"/>
                <w:sz w:val="26"/>
                <w:szCs w:val="26"/>
                <w:rtl/>
              </w:rPr>
            </w:pPr>
            <w:r w:rsidRPr="00FD6165">
              <w:rPr>
                <w:rFonts w:cs="Times New Roman"/>
                <w:sz w:val="26"/>
                <w:szCs w:val="26"/>
                <w:rtl/>
              </w:rPr>
              <w:t>ת"ל כי יקח</w:t>
            </w:r>
          </w:p>
        </w:tc>
      </w:tr>
    </w:tbl>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The dialectic begins as an instance of category 2b. The </w:t>
      </w:r>
      <w:r w:rsidRPr="00FD6165">
        <w:rPr>
          <w:rFonts w:cs="Times New Roman"/>
          <w:i/>
          <w:iCs/>
          <w:sz w:val="26"/>
          <w:szCs w:val="26"/>
        </w:rPr>
        <w:t>din</w:t>
      </w:r>
      <w:r w:rsidRPr="00FD6165">
        <w:rPr>
          <w:rFonts w:cs="Times New Roman"/>
          <w:sz w:val="26"/>
          <w:szCs w:val="26"/>
        </w:rPr>
        <w:t xml:space="preserve"> (stage 2) reaches the same conclusion as the verse. A prove-argument challenges the </w:t>
      </w:r>
      <w:r w:rsidRPr="00FD6165">
        <w:rPr>
          <w:rFonts w:cs="Times New Roman"/>
          <w:i/>
          <w:iCs/>
          <w:sz w:val="26"/>
          <w:szCs w:val="26"/>
        </w:rPr>
        <w:t>din</w:t>
      </w:r>
      <w:r w:rsidRPr="00FD6165">
        <w:rPr>
          <w:rFonts w:cs="Times New Roman"/>
          <w:sz w:val="26"/>
          <w:szCs w:val="26"/>
        </w:rPr>
        <w:t xml:space="preserve"> (stage 3), but it is parried by a say-argument (stage 4). The </w:t>
      </w:r>
      <w:r w:rsidRPr="00FD6165">
        <w:rPr>
          <w:rFonts w:cs="Times New Roman"/>
          <w:i/>
          <w:iCs/>
          <w:sz w:val="26"/>
          <w:szCs w:val="26"/>
        </w:rPr>
        <w:t>din</w:t>
      </w:r>
      <w:r w:rsidRPr="00FD6165">
        <w:rPr>
          <w:rFonts w:cs="Times New Roman"/>
          <w:sz w:val="26"/>
          <w:szCs w:val="26"/>
        </w:rPr>
        <w:t xml:space="preserve"> thus stands as viable. Yet the verse nevertheless follows (stage 5). The Bavli points out the problem, to which R. </w:t>
      </w:r>
      <w:proofErr w:type="spellStart"/>
      <w:r w:rsidRPr="00FD6165">
        <w:rPr>
          <w:rFonts w:cs="Times New Roman"/>
          <w:sz w:val="26"/>
          <w:szCs w:val="26"/>
        </w:rPr>
        <w:t>Ashi</w:t>
      </w:r>
      <w:proofErr w:type="spellEnd"/>
      <w:r w:rsidRPr="00FD6165">
        <w:rPr>
          <w:rFonts w:cs="Times New Roman"/>
          <w:sz w:val="26"/>
          <w:szCs w:val="26"/>
        </w:rPr>
        <w:t xml:space="preserve"> responds (stage 7) by supplying a say-argument that challenges the </w:t>
      </w:r>
      <w:r w:rsidRPr="00FD6165">
        <w:rPr>
          <w:rFonts w:cs="Times New Roman"/>
          <w:i/>
          <w:iCs/>
          <w:sz w:val="26"/>
          <w:szCs w:val="26"/>
        </w:rPr>
        <w:t>din</w:t>
      </w:r>
      <w:r w:rsidRPr="00FD6165">
        <w:rPr>
          <w:rFonts w:cs="Times New Roman"/>
          <w:sz w:val="26"/>
          <w:szCs w:val="26"/>
        </w:rPr>
        <w:t xml:space="preserve"> (in accordance with dialectical category 2a). With the </w:t>
      </w:r>
      <w:r w:rsidRPr="00FD6165">
        <w:rPr>
          <w:rFonts w:cs="Times New Roman"/>
          <w:i/>
          <w:iCs/>
          <w:sz w:val="26"/>
          <w:szCs w:val="26"/>
        </w:rPr>
        <w:t>din</w:t>
      </w:r>
      <w:r w:rsidRPr="00FD6165">
        <w:rPr>
          <w:rFonts w:cs="Times New Roman"/>
          <w:sz w:val="26"/>
          <w:szCs w:val="26"/>
        </w:rPr>
        <w:t xml:space="preserve"> undermined, the verse enters again (stage 8).</w:t>
      </w:r>
    </w:p>
    <w:p w:rsidR="008C5B42" w:rsidRPr="00FD6165" w:rsidRDefault="008C5B42" w:rsidP="008C5B42">
      <w:pPr>
        <w:pStyle w:val="11"/>
        <w:tabs>
          <w:tab w:val="left" w:pos="288"/>
        </w:tabs>
        <w:spacing w:before="0" w:after="0" w:line="300" w:lineRule="exact"/>
        <w:ind w:firstLine="288"/>
        <w:jc w:val="both"/>
        <w:rPr>
          <w:rFonts w:cs="Times New Roman"/>
          <w:b/>
          <w:bCs/>
          <w:sz w:val="26"/>
          <w:szCs w:val="26"/>
        </w:rPr>
      </w:pPr>
      <w:r w:rsidRPr="00FD6165">
        <w:rPr>
          <w:rFonts w:cs="Times New Roman"/>
          <w:sz w:val="26"/>
          <w:szCs w:val="26"/>
        </w:rPr>
        <w:t xml:space="preserve">The same </w:t>
      </w:r>
      <w:r w:rsidRPr="00FD6165">
        <w:rPr>
          <w:rFonts w:cs="Times New Roman"/>
          <w:i/>
          <w:iCs/>
          <w:sz w:val="26"/>
          <w:szCs w:val="26"/>
        </w:rPr>
        <w:t>din</w:t>
      </w:r>
      <w:r w:rsidRPr="00FD6165">
        <w:rPr>
          <w:rFonts w:cs="Times New Roman"/>
          <w:sz w:val="26"/>
          <w:szCs w:val="26"/>
        </w:rPr>
        <w:t xml:space="preserve"> occurs in </w:t>
      </w:r>
      <w:proofErr w:type="spellStart"/>
      <w:r w:rsidRPr="00FD6165">
        <w:rPr>
          <w:rFonts w:cs="Times New Roman"/>
          <w:sz w:val="26"/>
          <w:szCs w:val="26"/>
        </w:rPr>
        <w:t>Mek</w:t>
      </w:r>
      <w:proofErr w:type="spellEnd"/>
      <w:r w:rsidRPr="00FD6165">
        <w:rPr>
          <w:rFonts w:cs="Times New Roman"/>
          <w:sz w:val="26"/>
          <w:szCs w:val="26"/>
        </w:rPr>
        <w:t xml:space="preserve">. R. </w:t>
      </w:r>
      <w:proofErr w:type="spellStart"/>
      <w:r w:rsidRPr="00FD6165">
        <w:rPr>
          <w:rFonts w:cs="Times New Roman"/>
          <w:sz w:val="26"/>
          <w:szCs w:val="26"/>
        </w:rPr>
        <w:t>Ish</w:t>
      </w:r>
      <w:proofErr w:type="spellEnd"/>
      <w:r w:rsidRPr="00FD6165">
        <w:rPr>
          <w:rFonts w:cs="Times New Roman"/>
          <w:sz w:val="26"/>
          <w:szCs w:val="26"/>
        </w:rPr>
        <w:t xml:space="preserve">. </w:t>
      </w:r>
      <w:proofErr w:type="spellStart"/>
      <w:r w:rsidRPr="00FD6165">
        <w:rPr>
          <w:rFonts w:cs="Times New Roman"/>
          <w:sz w:val="26"/>
          <w:szCs w:val="26"/>
        </w:rPr>
        <w:t>Nezikin</w:t>
      </w:r>
      <w:proofErr w:type="spellEnd"/>
      <w:r w:rsidRPr="00FD6165">
        <w:rPr>
          <w:rFonts w:cs="Times New Roman"/>
          <w:sz w:val="26"/>
          <w:szCs w:val="26"/>
        </w:rPr>
        <w:t xml:space="preserve"> 3 (Horovitz-Rabin ed., 256), where R. Ishmael introduces it to justify acquisition of a wife through money. In that context, the </w:t>
      </w:r>
      <w:r w:rsidRPr="00FD6165">
        <w:rPr>
          <w:rFonts w:cs="Times New Roman"/>
          <w:i/>
          <w:iCs/>
          <w:sz w:val="26"/>
          <w:szCs w:val="26"/>
        </w:rPr>
        <w:t>din</w:t>
      </w:r>
      <w:r w:rsidRPr="00FD6165">
        <w:rPr>
          <w:rFonts w:cs="Times New Roman"/>
          <w:sz w:val="26"/>
          <w:szCs w:val="26"/>
        </w:rPr>
        <w:t xml:space="preserve"> stands unchallenged. In </w:t>
      </w:r>
      <w:proofErr w:type="spellStart"/>
      <w:r w:rsidRPr="00FD6165">
        <w:rPr>
          <w:rFonts w:cs="Times New Roman"/>
          <w:sz w:val="26"/>
          <w:szCs w:val="26"/>
        </w:rPr>
        <w:t>Sifre</w:t>
      </w:r>
      <w:proofErr w:type="spellEnd"/>
      <w:r w:rsidRPr="00FD6165">
        <w:rPr>
          <w:rFonts w:cs="Times New Roman"/>
          <w:sz w:val="26"/>
          <w:szCs w:val="26"/>
        </w:rPr>
        <w:t xml:space="preserve"> Deut. 268 (Finkelstein ed., 287), a partial parallel to the Bavli </w:t>
      </w:r>
      <w:proofErr w:type="spellStart"/>
      <w:r w:rsidRPr="00FD6165">
        <w:rPr>
          <w:rFonts w:cs="Times New Roman"/>
          <w:i/>
          <w:iCs/>
          <w:sz w:val="26"/>
          <w:szCs w:val="26"/>
        </w:rPr>
        <w:t>baraita</w:t>
      </w:r>
      <w:proofErr w:type="spellEnd"/>
      <w:r w:rsidRPr="00FD6165">
        <w:rPr>
          <w:rFonts w:cs="Times New Roman"/>
          <w:sz w:val="26"/>
          <w:szCs w:val="26"/>
        </w:rPr>
        <w:t xml:space="preserve"> appears.</w:t>
      </w:r>
      <w:r w:rsidRPr="00FD6165">
        <w:rPr>
          <w:rStyle w:val="FootnoteCharacters"/>
          <w:rFonts w:cs="Times New Roman"/>
          <w:sz w:val="26"/>
          <w:szCs w:val="26"/>
        </w:rPr>
        <w:footnoteReference w:id="34"/>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Pr="00017AC2" w:rsidRDefault="008C5B42" w:rsidP="008C5B42">
      <w:pPr>
        <w:pStyle w:val="11"/>
        <w:tabs>
          <w:tab w:val="left" w:pos="288"/>
        </w:tabs>
        <w:spacing w:before="0" w:after="0" w:line="300" w:lineRule="exact"/>
        <w:jc w:val="both"/>
        <w:rPr>
          <w:rFonts w:cs="Times New Roman"/>
          <w:b/>
          <w:bCs/>
          <w:i/>
          <w:iCs/>
          <w:sz w:val="26"/>
          <w:szCs w:val="26"/>
        </w:rPr>
      </w:pPr>
      <w:r w:rsidRPr="00017AC2">
        <w:rPr>
          <w:rFonts w:cs="Times New Roman"/>
          <w:b/>
          <w:bCs/>
          <w:i/>
          <w:iCs/>
          <w:sz w:val="26"/>
          <w:szCs w:val="26"/>
        </w:rPr>
        <w:t xml:space="preserve">Case </w:t>
      </w:r>
      <w:r>
        <w:rPr>
          <w:rFonts w:cs="Times New Roman"/>
          <w:b/>
          <w:bCs/>
          <w:i/>
          <w:iCs/>
          <w:sz w:val="26"/>
          <w:szCs w:val="26"/>
        </w:rPr>
        <w:t>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4534"/>
        <w:gridCol w:w="2306"/>
      </w:tblGrid>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1</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“If a man takes a woman and cohabits with her” (Deut 22:13): This teaches that a wife is acquired through money.</w:t>
            </w:r>
          </w:p>
          <w:p w:rsidR="008C5B42" w:rsidRPr="002F64DD" w:rsidRDefault="008C5B42" w:rsidP="008C5B42">
            <w:pPr>
              <w:pStyle w:val="11"/>
              <w:tabs>
                <w:tab w:val="left" w:pos="288"/>
              </w:tabs>
              <w:spacing w:before="0" w:after="0" w:line="300" w:lineRule="exact"/>
              <w:rPr>
                <w:rFonts w:cs="Times New Roman"/>
                <w:sz w:val="26"/>
                <w:szCs w:val="26"/>
                <w:rtl/>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כי יקח איש אשה ובעלה מלמד שהאשה נקנית בכסף</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2</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 xml:space="preserve">For by </w:t>
            </w:r>
            <w:r w:rsidRPr="00FD6165">
              <w:rPr>
                <w:rFonts w:cs="Times New Roman"/>
                <w:i/>
                <w:iCs/>
                <w:sz w:val="26"/>
                <w:szCs w:val="26"/>
              </w:rPr>
              <w:t xml:space="preserve">din </w:t>
            </w:r>
            <w:r w:rsidRPr="00FD6165">
              <w:rPr>
                <w:rFonts w:cs="Times New Roman"/>
                <w:sz w:val="26"/>
                <w:szCs w:val="26"/>
              </w:rPr>
              <w:t xml:space="preserve">it should have been: If the Hebrew maidservant, who is not acquired through intercourse, is acquired through money, then by </w:t>
            </w:r>
            <w:r w:rsidRPr="00FD6165">
              <w:rPr>
                <w:rFonts w:cs="Times New Roman"/>
                <w:i/>
                <w:iCs/>
                <w:sz w:val="26"/>
                <w:szCs w:val="26"/>
              </w:rPr>
              <w:t xml:space="preserve">din </w:t>
            </w:r>
            <w:r w:rsidRPr="00FD6165">
              <w:rPr>
                <w:rFonts w:cs="Times New Roman"/>
                <w:sz w:val="26"/>
                <w:szCs w:val="26"/>
              </w:rPr>
              <w:t>should not a wife, who is acquired through intercourse, be acquired through money?</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שהיה בדין ומה אמה העבריה שאין נקנית בבעילה נקנית בכסף אשה שנקנית בבעילה אינו דין שתהא נקנית בכסף</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t>3</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1419E3">
              <w:rPr>
                <w:rFonts w:cs="Times New Roman"/>
                <w:sz w:val="26"/>
                <w:szCs w:val="26"/>
              </w:rPr>
              <w:t>The sister-in-law will prove, for she is acquired through intercourse but is not acquired through</w:t>
            </w:r>
            <w:r w:rsidRPr="00FD6165">
              <w:rPr>
                <w:rFonts w:cs="Times New Roman"/>
                <w:sz w:val="26"/>
                <w:szCs w:val="26"/>
              </w:rPr>
              <w:t xml:space="preserve"> money.</w:t>
            </w:r>
            <w:r w:rsidR="00EA590F">
              <w:rPr>
                <w:rFonts w:cs="Times New Roman"/>
                <w:sz w:val="26"/>
                <w:szCs w:val="26"/>
              </w:rPr>
              <w:t xml:space="preserve"> </w:t>
            </w:r>
            <w:proofErr w:type="gramStart"/>
            <w:r w:rsidRPr="00FD6165">
              <w:rPr>
                <w:rFonts w:cs="Times New Roman"/>
                <w:sz w:val="26"/>
                <w:szCs w:val="26"/>
              </w:rPr>
              <w:t>So</w:t>
            </w:r>
            <w:proofErr w:type="gramEnd"/>
            <w:r w:rsidRPr="00FD6165">
              <w:rPr>
                <w:rFonts w:cs="Times New Roman"/>
                <w:sz w:val="26"/>
                <w:szCs w:val="26"/>
              </w:rPr>
              <w:t xml:space="preserve"> you should not wonder about the wife, that even though she is acquired through intercourse, she is not acquired through money.</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יבמה תוכיח שנקנית בבעילה ואין נקנית בכסף ואף אתה אל תתמה על האשה שאפעלפי שנקנית בבעילה שלא תהא נקנית בכסף</w:t>
            </w:r>
          </w:p>
        </w:tc>
      </w:tr>
      <w:tr w:rsidR="008C5B42" w:rsidRPr="002F64DD" w:rsidTr="006D595B">
        <w:tc>
          <w:tcPr>
            <w:tcW w:w="411" w:type="dxa"/>
          </w:tcPr>
          <w:p w:rsidR="008C5B42" w:rsidRPr="002F64DD" w:rsidRDefault="008C5B42" w:rsidP="008C5B42">
            <w:pPr>
              <w:pStyle w:val="11"/>
              <w:tabs>
                <w:tab w:val="left" w:pos="288"/>
              </w:tabs>
              <w:spacing w:before="0" w:after="0" w:line="300" w:lineRule="exact"/>
              <w:jc w:val="both"/>
              <w:rPr>
                <w:rFonts w:cs="Times New Roman"/>
                <w:sz w:val="26"/>
                <w:szCs w:val="26"/>
              </w:rPr>
            </w:pPr>
            <w:r w:rsidRPr="002F64DD">
              <w:rPr>
                <w:rFonts w:cs="Times New Roman"/>
                <w:sz w:val="26"/>
                <w:szCs w:val="26"/>
              </w:rPr>
              <w:lastRenderedPageBreak/>
              <w:t>4</w:t>
            </w:r>
            <w:r>
              <w:rPr>
                <w:rFonts w:cs="Times New Roman"/>
                <w:sz w:val="26"/>
                <w:szCs w:val="26"/>
              </w:rPr>
              <w:t>.</w:t>
            </w:r>
          </w:p>
        </w:tc>
        <w:tc>
          <w:tcPr>
            <w:tcW w:w="4692" w:type="dxa"/>
          </w:tcPr>
          <w:p w:rsidR="008C5B42" w:rsidRDefault="008C5B42" w:rsidP="008C5B42">
            <w:pPr>
              <w:pStyle w:val="11"/>
              <w:tabs>
                <w:tab w:val="left" w:pos="288"/>
              </w:tabs>
              <w:spacing w:before="0" w:after="0" w:line="300" w:lineRule="exact"/>
              <w:rPr>
                <w:rFonts w:cs="Times New Roman"/>
                <w:sz w:val="26"/>
                <w:szCs w:val="26"/>
              </w:rPr>
            </w:pPr>
            <w:r w:rsidRPr="00FD6165">
              <w:rPr>
                <w:rFonts w:cs="Times New Roman"/>
                <w:sz w:val="26"/>
                <w:szCs w:val="26"/>
              </w:rPr>
              <w:t>Hence it says, “if a man takes a woman”: This teaches that a wife is acquired through money.</w:t>
            </w:r>
          </w:p>
          <w:p w:rsidR="008C5B42" w:rsidRPr="002F64DD" w:rsidRDefault="008C5B42" w:rsidP="008C5B42">
            <w:pPr>
              <w:pStyle w:val="11"/>
              <w:tabs>
                <w:tab w:val="left" w:pos="288"/>
              </w:tabs>
              <w:spacing w:before="0" w:after="0" w:line="300" w:lineRule="exact"/>
              <w:rPr>
                <w:rFonts w:cs="Times New Roman"/>
                <w:sz w:val="26"/>
                <w:szCs w:val="26"/>
              </w:rPr>
            </w:pPr>
          </w:p>
        </w:tc>
        <w:tc>
          <w:tcPr>
            <w:tcW w:w="2374" w:type="dxa"/>
          </w:tcPr>
          <w:p w:rsidR="008C5B42" w:rsidRPr="002F64DD" w:rsidRDefault="008C5B42" w:rsidP="008C5B42">
            <w:pPr>
              <w:pStyle w:val="11"/>
              <w:tabs>
                <w:tab w:val="left" w:pos="288"/>
              </w:tabs>
              <w:spacing w:before="0" w:after="0" w:line="300" w:lineRule="exact"/>
              <w:jc w:val="right"/>
              <w:rPr>
                <w:rFonts w:cs="Times New Roman"/>
                <w:sz w:val="26"/>
                <w:szCs w:val="26"/>
              </w:rPr>
            </w:pPr>
            <w:r w:rsidRPr="00FD6165">
              <w:rPr>
                <w:rFonts w:cs="Times New Roman"/>
                <w:sz w:val="26"/>
                <w:szCs w:val="26"/>
                <w:rtl/>
              </w:rPr>
              <w:t>ת' ל' כי יקח איש אשה מלמד שהאשה נקנית בכסף</w:t>
            </w:r>
          </w:p>
        </w:tc>
      </w:tr>
    </w:tbl>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The dialectic instantiates category 2b, and is the equivalent of stages 1-3 of case 9. Crucially, however, it omits the say-argument in stage 4 of case 9, so that the verse follows naturally.</w:t>
      </w:r>
      <w:r w:rsidR="00EA590F">
        <w:rPr>
          <w:rFonts w:cs="Times New Roman"/>
          <w:sz w:val="26"/>
          <w:szCs w:val="26"/>
        </w:rPr>
        <w:t xml:space="preserve"> </w:t>
      </w:r>
    </w:p>
    <w:p w:rsidR="008C5B42" w:rsidRPr="00FD6165"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 xml:space="preserve">The example of b. </w:t>
      </w:r>
      <w:proofErr w:type="spellStart"/>
      <w:r w:rsidRPr="00FD6165">
        <w:rPr>
          <w:rFonts w:cs="Times New Roman"/>
          <w:sz w:val="26"/>
          <w:szCs w:val="26"/>
        </w:rPr>
        <w:t>Qidd</w:t>
      </w:r>
      <w:proofErr w:type="spellEnd"/>
      <w:r w:rsidRPr="00FD6165">
        <w:rPr>
          <w:rFonts w:cs="Times New Roman"/>
          <w:sz w:val="26"/>
          <w:szCs w:val="26"/>
        </w:rPr>
        <w:t xml:space="preserve">. 4b, like that of b. Tem. 28a-b, thus involves an underlying </w:t>
      </w:r>
      <w:r w:rsidRPr="00FD6165">
        <w:rPr>
          <w:rFonts w:cs="Times New Roman"/>
          <w:i/>
          <w:iCs/>
          <w:sz w:val="26"/>
          <w:szCs w:val="26"/>
        </w:rPr>
        <w:t>din</w:t>
      </w:r>
      <w:r w:rsidRPr="00FD6165">
        <w:rPr>
          <w:rFonts w:cs="Times New Roman"/>
          <w:sz w:val="26"/>
          <w:szCs w:val="26"/>
        </w:rPr>
        <w:t xml:space="preserve"> that represents the view of R. Ishmael, and the rejection of that </w:t>
      </w:r>
      <w:r w:rsidRPr="00FD6165">
        <w:rPr>
          <w:rFonts w:cs="Times New Roman"/>
          <w:i/>
          <w:iCs/>
          <w:sz w:val="26"/>
          <w:szCs w:val="26"/>
        </w:rPr>
        <w:t>din</w:t>
      </w:r>
      <w:r w:rsidRPr="00FD6165">
        <w:rPr>
          <w:rFonts w:cs="Times New Roman"/>
          <w:sz w:val="26"/>
          <w:szCs w:val="26"/>
        </w:rPr>
        <w:t xml:space="preserve"> in favor of a prooftext in the school of R. </w:t>
      </w:r>
      <w:proofErr w:type="spellStart"/>
      <w:r w:rsidRPr="00FD6165">
        <w:rPr>
          <w:rFonts w:cs="Times New Roman"/>
          <w:sz w:val="26"/>
          <w:szCs w:val="26"/>
        </w:rPr>
        <w:t>Akiva</w:t>
      </w:r>
      <w:proofErr w:type="spellEnd"/>
      <w:r w:rsidRPr="00FD6165">
        <w:rPr>
          <w:rFonts w:cs="Times New Roman"/>
          <w:sz w:val="26"/>
          <w:szCs w:val="26"/>
        </w:rPr>
        <w:t>.</w:t>
      </w:r>
      <w:r w:rsidRPr="00FD6165">
        <w:rPr>
          <w:rStyle w:val="FootnoteCharacters"/>
          <w:rFonts w:cs="Times New Roman"/>
          <w:sz w:val="26"/>
          <w:szCs w:val="26"/>
        </w:rPr>
        <w:footnoteReference w:id="35"/>
      </w:r>
      <w:r w:rsidRPr="00FD6165">
        <w:rPr>
          <w:rFonts w:cs="Times New Roman"/>
          <w:sz w:val="26"/>
          <w:szCs w:val="26"/>
        </w:rPr>
        <w:t xml:space="preserve"> Possibly, this pattern may be generalized: the “illogical” </w:t>
      </w:r>
      <w:proofErr w:type="spellStart"/>
      <w:r w:rsidRPr="00FD6165">
        <w:rPr>
          <w:rFonts w:cs="Times New Roman"/>
          <w:i/>
          <w:iCs/>
          <w:sz w:val="26"/>
          <w:szCs w:val="26"/>
        </w:rPr>
        <w:t>baraitot</w:t>
      </w:r>
      <w:proofErr w:type="spellEnd"/>
      <w:r w:rsidRPr="00FD6165">
        <w:rPr>
          <w:rFonts w:cs="Times New Roman"/>
          <w:sz w:val="26"/>
          <w:szCs w:val="26"/>
        </w:rPr>
        <w:t xml:space="preserve"> to which R. </w:t>
      </w:r>
      <w:proofErr w:type="spellStart"/>
      <w:r w:rsidRPr="00FD6165">
        <w:rPr>
          <w:rFonts w:cs="Times New Roman"/>
          <w:sz w:val="26"/>
          <w:szCs w:val="26"/>
        </w:rPr>
        <w:t>Ashi</w:t>
      </w:r>
      <w:proofErr w:type="spellEnd"/>
      <w:r w:rsidRPr="00FD6165">
        <w:rPr>
          <w:rFonts w:cs="Times New Roman"/>
          <w:sz w:val="26"/>
          <w:szCs w:val="26"/>
        </w:rPr>
        <w:t xml:space="preserve"> responds arise from the total or partial omission, for one reason or another, of the </w:t>
      </w:r>
      <w:proofErr w:type="spellStart"/>
      <w:r w:rsidRPr="00FD6165">
        <w:rPr>
          <w:rFonts w:cs="Times New Roman"/>
          <w:sz w:val="26"/>
          <w:szCs w:val="26"/>
        </w:rPr>
        <w:t>Akivan</w:t>
      </w:r>
      <w:proofErr w:type="spellEnd"/>
      <w:r w:rsidRPr="00FD6165">
        <w:rPr>
          <w:rFonts w:cs="Times New Roman"/>
          <w:sz w:val="26"/>
          <w:szCs w:val="26"/>
        </w:rPr>
        <w:t xml:space="preserve"> dialectic that leads from the </w:t>
      </w:r>
      <w:proofErr w:type="spellStart"/>
      <w:r w:rsidRPr="00FD6165">
        <w:rPr>
          <w:rFonts w:cs="Times New Roman"/>
          <w:sz w:val="26"/>
          <w:szCs w:val="26"/>
        </w:rPr>
        <w:t>Ishmaelian</w:t>
      </w:r>
      <w:proofErr w:type="spellEnd"/>
      <w:r w:rsidRPr="00FD6165">
        <w:rPr>
          <w:rFonts w:cs="Times New Roman"/>
          <w:sz w:val="26"/>
          <w:szCs w:val="26"/>
        </w:rPr>
        <w:t xml:space="preserve"> </w:t>
      </w:r>
      <w:r w:rsidRPr="00FD6165">
        <w:rPr>
          <w:rFonts w:cs="Times New Roman"/>
          <w:i/>
          <w:iCs/>
          <w:sz w:val="26"/>
          <w:szCs w:val="26"/>
        </w:rPr>
        <w:t>din</w:t>
      </w:r>
      <w:r w:rsidRPr="00FD6165">
        <w:rPr>
          <w:rFonts w:cs="Times New Roman"/>
          <w:sz w:val="26"/>
          <w:szCs w:val="26"/>
        </w:rPr>
        <w:t xml:space="preserve"> to the prooftext that displaces it.</w:t>
      </w:r>
      <w:r w:rsidRPr="00FD6165">
        <w:rPr>
          <w:rStyle w:val="FootnoteCharacters"/>
          <w:rFonts w:cs="Times New Roman"/>
          <w:sz w:val="26"/>
          <w:szCs w:val="26"/>
        </w:rPr>
        <w:footnoteReference w:id="36"/>
      </w:r>
      <w:r w:rsidRPr="00FD6165">
        <w:rPr>
          <w:rFonts w:cs="Times New Roman"/>
          <w:sz w:val="26"/>
          <w:szCs w:val="26"/>
        </w:rPr>
        <w:t xml:space="preserve"> Possibly, however, the </w:t>
      </w:r>
      <w:proofErr w:type="spellStart"/>
      <w:r w:rsidRPr="00FD6165">
        <w:rPr>
          <w:rFonts w:cs="Times New Roman"/>
          <w:i/>
          <w:iCs/>
          <w:sz w:val="26"/>
          <w:szCs w:val="26"/>
        </w:rPr>
        <w:t>baraitot</w:t>
      </w:r>
      <w:proofErr w:type="spellEnd"/>
      <w:r w:rsidRPr="00FD6165">
        <w:rPr>
          <w:rFonts w:cs="Times New Roman"/>
          <w:sz w:val="26"/>
          <w:szCs w:val="26"/>
        </w:rPr>
        <w:t xml:space="preserve"> are not illogical at all, but reflect a pattern, common in </w:t>
      </w:r>
      <w:proofErr w:type="spellStart"/>
      <w:r w:rsidRPr="00FD6165">
        <w:rPr>
          <w:rFonts w:cs="Times New Roman"/>
          <w:sz w:val="26"/>
          <w:szCs w:val="26"/>
        </w:rPr>
        <w:t>Ishmaelian</w:t>
      </w:r>
      <w:proofErr w:type="spellEnd"/>
      <w:r w:rsidRPr="00FD6165">
        <w:rPr>
          <w:rFonts w:cs="Times New Roman"/>
          <w:sz w:val="26"/>
          <w:szCs w:val="26"/>
        </w:rPr>
        <w:t xml:space="preserve"> Midrash, wherein the dialectic, involving say- and prove-arguments, aims to support, rather than negate, a non-obvious interpretation of a verse, in the face of an alternative plausible interpretation.</w:t>
      </w:r>
      <w:r w:rsidRPr="00FD6165">
        <w:rPr>
          <w:rStyle w:val="FootnoteCharacters"/>
          <w:rFonts w:cs="Times New Roman"/>
          <w:sz w:val="26"/>
          <w:szCs w:val="26"/>
        </w:rPr>
        <w:footnoteReference w:id="37"/>
      </w:r>
      <w:r w:rsidRPr="00FD6165">
        <w:rPr>
          <w:rFonts w:cs="Times New Roman"/>
          <w:sz w:val="26"/>
          <w:szCs w:val="26"/>
        </w:rPr>
        <w:t xml:space="preserve"> Even if the Bavli </w:t>
      </w:r>
      <w:proofErr w:type="spellStart"/>
      <w:r w:rsidRPr="00FD6165">
        <w:rPr>
          <w:rFonts w:cs="Times New Roman"/>
          <w:i/>
          <w:iCs/>
          <w:sz w:val="26"/>
          <w:szCs w:val="26"/>
        </w:rPr>
        <w:t>baraitot</w:t>
      </w:r>
      <w:proofErr w:type="spellEnd"/>
      <w:r w:rsidRPr="00FD6165">
        <w:rPr>
          <w:rFonts w:cs="Times New Roman"/>
          <w:i/>
          <w:iCs/>
          <w:sz w:val="26"/>
          <w:szCs w:val="26"/>
        </w:rPr>
        <w:t xml:space="preserve"> </w:t>
      </w:r>
      <w:r w:rsidRPr="00FD6165">
        <w:rPr>
          <w:rFonts w:cs="Times New Roman"/>
          <w:sz w:val="26"/>
          <w:szCs w:val="26"/>
        </w:rPr>
        <w:t xml:space="preserve">do not instantiate this pattern, the existence of this pattern helps to explain why these </w:t>
      </w:r>
      <w:proofErr w:type="spellStart"/>
      <w:r w:rsidRPr="00FD6165">
        <w:rPr>
          <w:rFonts w:cs="Times New Roman"/>
          <w:i/>
          <w:iCs/>
          <w:sz w:val="26"/>
          <w:szCs w:val="26"/>
        </w:rPr>
        <w:t>baraitot</w:t>
      </w:r>
      <w:proofErr w:type="spellEnd"/>
      <w:r w:rsidRPr="00FD6165">
        <w:rPr>
          <w:rFonts w:cs="Times New Roman"/>
          <w:i/>
          <w:iCs/>
          <w:sz w:val="26"/>
          <w:szCs w:val="26"/>
        </w:rPr>
        <w:t xml:space="preserve"> </w:t>
      </w:r>
      <w:r w:rsidRPr="00FD6165">
        <w:rPr>
          <w:rFonts w:cs="Times New Roman"/>
          <w:sz w:val="26"/>
          <w:szCs w:val="26"/>
        </w:rPr>
        <w:t>became corrupted in transmission.</w:t>
      </w:r>
    </w:p>
    <w:p w:rsidR="008C5B42" w:rsidRDefault="008C5B42" w:rsidP="008C5B42">
      <w:pPr>
        <w:pStyle w:val="11"/>
        <w:tabs>
          <w:tab w:val="left" w:pos="288"/>
        </w:tabs>
        <w:spacing w:before="0" w:after="0" w:line="300" w:lineRule="exact"/>
        <w:jc w:val="both"/>
        <w:rPr>
          <w:rFonts w:cs="Times New Roman"/>
          <w:b/>
          <w:bCs/>
          <w:sz w:val="26"/>
          <w:szCs w:val="26"/>
        </w:rPr>
      </w:pPr>
    </w:p>
    <w:p w:rsidR="008C5B42" w:rsidRPr="00FD6165" w:rsidRDefault="008C5B42" w:rsidP="008C5B42">
      <w:pPr>
        <w:pStyle w:val="11"/>
        <w:keepNext/>
        <w:tabs>
          <w:tab w:val="left" w:pos="288"/>
        </w:tabs>
        <w:spacing w:before="0" w:after="0" w:line="300" w:lineRule="exact"/>
        <w:jc w:val="both"/>
        <w:rPr>
          <w:rFonts w:cs="Times New Roman"/>
          <w:b/>
          <w:bCs/>
          <w:sz w:val="26"/>
          <w:szCs w:val="26"/>
        </w:rPr>
      </w:pPr>
      <w:r w:rsidRPr="00FD6165">
        <w:rPr>
          <w:rFonts w:cs="Times New Roman"/>
          <w:b/>
          <w:bCs/>
          <w:sz w:val="26"/>
          <w:szCs w:val="26"/>
        </w:rPr>
        <w:lastRenderedPageBreak/>
        <w:t>Appendix 2: Against Wonderment in Homiletical Contexts</w:t>
      </w:r>
    </w:p>
    <w:p w:rsidR="008C5B42" w:rsidRDefault="008C5B42" w:rsidP="007E375C">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The wonder-addendum has a homiletical parallel, in such cases as the following, from </w:t>
      </w:r>
      <w:proofErr w:type="spellStart"/>
      <w:r w:rsidRPr="00FD6165">
        <w:rPr>
          <w:rFonts w:cs="Times New Roman"/>
          <w:sz w:val="26"/>
          <w:szCs w:val="26"/>
        </w:rPr>
        <w:t>Mek</w:t>
      </w:r>
      <w:proofErr w:type="spellEnd"/>
      <w:r w:rsidRPr="00FD6165">
        <w:rPr>
          <w:rFonts w:cs="Times New Roman"/>
          <w:sz w:val="26"/>
          <w:szCs w:val="26"/>
        </w:rPr>
        <w:t xml:space="preserve">. R. </w:t>
      </w:r>
      <w:proofErr w:type="spellStart"/>
      <w:r w:rsidRPr="00FD6165">
        <w:rPr>
          <w:rFonts w:cs="Times New Roman"/>
          <w:sz w:val="26"/>
          <w:szCs w:val="26"/>
        </w:rPr>
        <w:t>Ish</w:t>
      </w:r>
      <w:proofErr w:type="spellEnd"/>
      <w:r w:rsidRPr="00FD6165">
        <w:rPr>
          <w:rFonts w:cs="Times New Roman"/>
          <w:sz w:val="26"/>
          <w:szCs w:val="26"/>
        </w:rPr>
        <w:t xml:space="preserve">. </w:t>
      </w:r>
      <w:proofErr w:type="spellStart"/>
      <w:r w:rsidRPr="00FD6165">
        <w:rPr>
          <w:rFonts w:cs="Times New Roman"/>
          <w:i/>
          <w:iCs/>
          <w:sz w:val="26"/>
          <w:szCs w:val="26"/>
        </w:rPr>
        <w:t>Pis</w:t>
      </w:r>
      <w:r w:rsidR="007E375C" w:rsidRPr="007E375C">
        <w:rPr>
          <w:rFonts w:cs="Times New Roman"/>
          <w:i/>
          <w:iCs/>
          <w:sz w:val="26"/>
          <w:szCs w:val="26"/>
        </w:rPr>
        <w:t>ḥ</w:t>
      </w:r>
      <w:r w:rsidRPr="00FD6165">
        <w:rPr>
          <w:rFonts w:cs="Times New Roman"/>
          <w:i/>
          <w:iCs/>
          <w:sz w:val="26"/>
          <w:szCs w:val="26"/>
        </w:rPr>
        <w:t>a</w:t>
      </w:r>
      <w:proofErr w:type="spellEnd"/>
      <w:r w:rsidRPr="00FD6165">
        <w:rPr>
          <w:rFonts w:cs="Times New Roman"/>
          <w:i/>
          <w:iCs/>
          <w:sz w:val="26"/>
          <w:szCs w:val="26"/>
        </w:rPr>
        <w:t xml:space="preserve"> </w:t>
      </w:r>
      <w:r w:rsidRPr="00FD6165">
        <w:rPr>
          <w:rFonts w:cs="Times New Roman"/>
          <w:sz w:val="26"/>
          <w:szCs w:val="26"/>
        </w:rPr>
        <w:t>14 (Horovitz-Rabin ed., 47).</w:t>
      </w:r>
      <w:r w:rsidRPr="00FD6165">
        <w:rPr>
          <w:rStyle w:val="FootnoteCharacters"/>
          <w:rFonts w:cs="Times New Roman"/>
          <w:sz w:val="26"/>
          <w:szCs w:val="26"/>
        </w:rPr>
        <w:footnoteReference w:id="38"/>
      </w:r>
    </w:p>
    <w:p w:rsidR="005C51CB" w:rsidRPr="00FD6165" w:rsidRDefault="005C51CB" w:rsidP="008C5B42">
      <w:pPr>
        <w:pStyle w:val="11"/>
        <w:tabs>
          <w:tab w:val="left" w:pos="288"/>
        </w:tabs>
        <w:spacing w:before="0" w:after="0" w:line="300" w:lineRule="exact"/>
        <w:jc w:val="both"/>
        <w:rPr>
          <w:rFonts w:cs="Times New Roman"/>
          <w:sz w:val="26"/>
          <w:szCs w:val="26"/>
          <w:rtl/>
        </w:rPr>
      </w:pPr>
    </w:p>
    <w:p w:rsidR="008C5B42" w:rsidRPr="00FD6165" w:rsidRDefault="008C5B42" w:rsidP="00F64191">
      <w:pPr>
        <w:pStyle w:val="11"/>
        <w:tabs>
          <w:tab w:val="left" w:pos="288"/>
        </w:tabs>
        <w:spacing w:before="0" w:after="0" w:line="300" w:lineRule="exact"/>
        <w:ind w:left="720"/>
        <w:jc w:val="both"/>
        <w:rPr>
          <w:rFonts w:cs="Times New Roman" w:hint="cs"/>
          <w:sz w:val="26"/>
          <w:szCs w:val="26"/>
          <w:rtl/>
        </w:rPr>
      </w:pPr>
      <w:r w:rsidRPr="00FD6165">
        <w:rPr>
          <w:rFonts w:cs="Times New Roman"/>
          <w:sz w:val="26"/>
          <w:szCs w:val="26"/>
          <w:rtl/>
        </w:rPr>
        <w:t>ויסעו בני ישראל מרעמסס סכתה מרעמסס לסוכות מאה וששים מיל מהלך ארב' פרסה הלך קולו של משה מהלך ארבעים יום ואל תתמה הרי הוא אומר ויאמר יי אל משה ואל אהרן קחו לכם מלא חפניכם וגו' והיה לאבק על כל ארץ מצרים וגו' והרי דברים קל וחמר ומה אם אבק שאין דרכו להלוך והלך מהלך ארבעים יום קל וחמר לקול שדרכו להלוך כהרף עין</w:t>
      </w:r>
    </w:p>
    <w:p w:rsidR="008C5B42" w:rsidRDefault="008C5B42" w:rsidP="00F64191">
      <w:pPr>
        <w:pStyle w:val="11"/>
        <w:tabs>
          <w:tab w:val="left" w:pos="288"/>
        </w:tabs>
        <w:spacing w:before="0" w:after="0" w:line="300" w:lineRule="exact"/>
        <w:ind w:left="720"/>
        <w:jc w:val="both"/>
        <w:rPr>
          <w:rFonts w:cs="Times New Roman"/>
          <w:sz w:val="26"/>
          <w:szCs w:val="26"/>
        </w:rPr>
      </w:pPr>
      <w:r w:rsidRPr="00FD6165">
        <w:rPr>
          <w:rFonts w:cs="Times New Roman"/>
          <w:sz w:val="26"/>
          <w:szCs w:val="26"/>
        </w:rPr>
        <w:t xml:space="preserve">“And the children of Israel traveled from Rameses to Sukkot” (Ex 12:37). From Rameses to Sukkot is one hundred and sixty </w:t>
      </w:r>
      <w:proofErr w:type="gramStart"/>
      <w:r w:rsidRPr="00FD6165">
        <w:rPr>
          <w:rFonts w:cs="Times New Roman"/>
          <w:i/>
          <w:iCs/>
          <w:sz w:val="26"/>
          <w:szCs w:val="26"/>
        </w:rPr>
        <w:t>mil</w:t>
      </w:r>
      <w:proofErr w:type="gramEnd"/>
      <w:r w:rsidRPr="00FD6165">
        <w:rPr>
          <w:rFonts w:cs="Times New Roman"/>
          <w:sz w:val="26"/>
          <w:szCs w:val="26"/>
        </w:rPr>
        <w:t>, or a distance of forty</w:t>
      </w:r>
      <w:r w:rsidRPr="00FD6165">
        <w:rPr>
          <w:rFonts w:cs="Times New Roman"/>
          <w:i/>
          <w:iCs/>
          <w:sz w:val="26"/>
          <w:szCs w:val="26"/>
        </w:rPr>
        <w:t xml:space="preserve"> </w:t>
      </w:r>
      <w:proofErr w:type="spellStart"/>
      <w:r w:rsidRPr="00FD6165">
        <w:rPr>
          <w:rFonts w:cs="Times New Roman"/>
          <w:sz w:val="26"/>
          <w:szCs w:val="26"/>
        </w:rPr>
        <w:t>parsangs</w:t>
      </w:r>
      <w:proofErr w:type="spellEnd"/>
      <w:r w:rsidRPr="00FD6165">
        <w:rPr>
          <w:rFonts w:cs="Times New Roman"/>
          <w:sz w:val="26"/>
          <w:szCs w:val="26"/>
        </w:rPr>
        <w:t xml:space="preserve">. Moses’ voice traveled the distance of a forty-day journey. And do not wonder. Behold it says: “And the Lord said to Moses and Aaron, take for yourselves handfuls, etc., and it will become dust over all of the land of Egypt, etc.” (Ex 9:8-9). And the matter is </w:t>
      </w:r>
      <w:r w:rsidRPr="00FD6165">
        <w:rPr>
          <w:rFonts w:cs="Times New Roman"/>
          <w:i/>
          <w:iCs/>
          <w:sz w:val="26"/>
          <w:szCs w:val="26"/>
        </w:rPr>
        <w:t>a fortiori</w:t>
      </w:r>
      <w:r w:rsidRPr="00FD6165">
        <w:rPr>
          <w:rFonts w:cs="Times New Roman"/>
          <w:sz w:val="26"/>
          <w:szCs w:val="26"/>
        </w:rPr>
        <w:t xml:space="preserve">. If dust, which does not ordinarily travel, traveled the distance of a forty-day journey, </w:t>
      </w:r>
      <w:r w:rsidRPr="00FD6165">
        <w:rPr>
          <w:rFonts w:cs="Times New Roman"/>
          <w:i/>
          <w:iCs/>
          <w:sz w:val="26"/>
          <w:szCs w:val="26"/>
        </w:rPr>
        <w:t>a fortiori</w:t>
      </w:r>
      <w:r w:rsidRPr="00FD6165">
        <w:rPr>
          <w:rFonts w:cs="Times New Roman"/>
          <w:sz w:val="26"/>
          <w:szCs w:val="26"/>
        </w:rPr>
        <w:t xml:space="preserve"> a voice, which ordinarily travels as quick as a wink.</w:t>
      </w:r>
    </w:p>
    <w:p w:rsidR="005C51CB" w:rsidRPr="00FD6165" w:rsidRDefault="005C51CB" w:rsidP="008C5B42">
      <w:pPr>
        <w:pStyle w:val="11"/>
        <w:tabs>
          <w:tab w:val="left" w:pos="288"/>
        </w:tabs>
        <w:spacing w:before="40" w:after="40" w:line="300" w:lineRule="exact"/>
        <w:ind w:left="1440" w:right="1440"/>
        <w:jc w:val="both"/>
        <w:rPr>
          <w:rFonts w:cs="Times New Roman"/>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Just as the prove-argument adduces a parallel from a different body of law to counter legal wonder, so the homilist invokes another narrative to silence an audience surprised by the claim that Moses’ voice traveled the distance of a forty-day journey.</w:t>
      </w:r>
      <w:r w:rsidRPr="00FD6165">
        <w:rPr>
          <w:rStyle w:val="FootnoteCharacters"/>
          <w:rFonts w:cs="Times New Roman"/>
          <w:sz w:val="26"/>
          <w:szCs w:val="26"/>
        </w:rPr>
        <w:footnoteReference w:id="39"/>
      </w:r>
    </w:p>
    <w:p w:rsidR="008C5B42" w:rsidRDefault="008C5B42" w:rsidP="008C5B42">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lastRenderedPageBreak/>
        <w:t xml:space="preserve">The same exegetical strategy, and the same terminology, occurs in classical and post-classical Homeric exegesis. Thus, for example, </w:t>
      </w:r>
      <w:proofErr w:type="spellStart"/>
      <w:r w:rsidRPr="00FD6165">
        <w:rPr>
          <w:rFonts w:cs="Times New Roman"/>
          <w:sz w:val="26"/>
          <w:szCs w:val="26"/>
        </w:rPr>
        <w:t>scholion</w:t>
      </w:r>
      <w:proofErr w:type="spellEnd"/>
      <w:r w:rsidRPr="00FD6165">
        <w:rPr>
          <w:rFonts w:cs="Times New Roman"/>
          <w:sz w:val="26"/>
          <w:szCs w:val="26"/>
        </w:rPr>
        <w:t xml:space="preserve"> </w:t>
      </w:r>
      <w:proofErr w:type="spellStart"/>
      <w:r w:rsidRPr="00FD6165">
        <w:rPr>
          <w:rFonts w:cs="Times New Roman"/>
          <w:sz w:val="26"/>
          <w:szCs w:val="26"/>
        </w:rPr>
        <w:t>bT</w:t>
      </w:r>
      <w:proofErr w:type="spellEnd"/>
      <w:r w:rsidRPr="00FD6165">
        <w:rPr>
          <w:rFonts w:cs="Times New Roman"/>
          <w:sz w:val="26"/>
          <w:szCs w:val="26"/>
        </w:rPr>
        <w:t xml:space="preserve"> comments as follows on </w:t>
      </w:r>
      <w:r w:rsidRPr="00FD6165">
        <w:rPr>
          <w:rFonts w:cs="Times New Roman"/>
          <w:i/>
          <w:iCs/>
          <w:sz w:val="26"/>
          <w:szCs w:val="26"/>
        </w:rPr>
        <w:t>Il.</w:t>
      </w:r>
      <w:r w:rsidRPr="00FD6165">
        <w:rPr>
          <w:rFonts w:cs="Times New Roman"/>
          <w:sz w:val="26"/>
          <w:szCs w:val="26"/>
        </w:rPr>
        <w:t xml:space="preserve"> 3.424, where Aphrodite furnishes a chair for Helen</w:t>
      </w:r>
      <w:r>
        <w:rPr>
          <w:rFonts w:cs="Times New Roman"/>
          <w:sz w:val="26"/>
          <w:szCs w:val="26"/>
        </w:rPr>
        <w:t>:</w:t>
      </w:r>
    </w:p>
    <w:p w:rsidR="00F64191" w:rsidRPr="00FD6165" w:rsidRDefault="00F64191" w:rsidP="008C5B42">
      <w:pPr>
        <w:pStyle w:val="11"/>
        <w:tabs>
          <w:tab w:val="left" w:pos="288"/>
        </w:tabs>
        <w:spacing w:before="0" w:after="0" w:line="300" w:lineRule="exact"/>
        <w:ind w:firstLine="288"/>
        <w:jc w:val="both"/>
        <w:rPr>
          <w:rFonts w:cs="Times New Roman"/>
          <w:sz w:val="26"/>
          <w:szCs w:val="26"/>
        </w:rPr>
      </w:pPr>
    </w:p>
    <w:p w:rsidR="008C5B42" w:rsidRDefault="008C5B42" w:rsidP="00F64191">
      <w:pPr>
        <w:pStyle w:val="11"/>
        <w:tabs>
          <w:tab w:val="left" w:pos="288"/>
        </w:tabs>
        <w:spacing w:before="40" w:after="40" w:line="300" w:lineRule="exact"/>
        <w:ind w:left="720"/>
        <w:jc w:val="both"/>
        <w:rPr>
          <w:rFonts w:cs="Times New Roman"/>
          <w:sz w:val="26"/>
          <w:szCs w:val="26"/>
        </w:rPr>
      </w:pPr>
      <w:r w:rsidRPr="00FD6165">
        <w:rPr>
          <w:rFonts w:cs="Times New Roman"/>
          <w:sz w:val="26"/>
          <w:szCs w:val="26"/>
        </w:rPr>
        <w:t>If as an old woman, it is not unseemly. If as Aphrodite, Athena</w:t>
      </w:r>
      <w:r w:rsidR="00EA590F">
        <w:rPr>
          <w:rFonts w:cs="Times New Roman"/>
          <w:sz w:val="26"/>
          <w:szCs w:val="26"/>
        </w:rPr>
        <w:t xml:space="preserve"> </w:t>
      </w:r>
      <w:r w:rsidRPr="00FD6165">
        <w:rPr>
          <w:rFonts w:cs="Times New Roman"/>
          <w:sz w:val="26"/>
          <w:szCs w:val="26"/>
        </w:rPr>
        <w:t>too revealed a lamp to Odysseus (</w:t>
      </w:r>
      <w:proofErr w:type="spellStart"/>
      <w:r w:rsidRPr="00FD6165">
        <w:rPr>
          <w:rFonts w:cs="Times New Roman"/>
          <w:i/>
          <w:iCs/>
          <w:sz w:val="26"/>
          <w:szCs w:val="26"/>
        </w:rPr>
        <w:t>Ody</w:t>
      </w:r>
      <w:proofErr w:type="spellEnd"/>
      <w:r w:rsidRPr="00FD6165">
        <w:rPr>
          <w:rFonts w:cs="Times New Roman"/>
          <w:i/>
          <w:iCs/>
          <w:sz w:val="26"/>
          <w:szCs w:val="26"/>
        </w:rPr>
        <w:t>.</w:t>
      </w:r>
      <w:r w:rsidRPr="00FD6165">
        <w:rPr>
          <w:rFonts w:cs="Times New Roman"/>
          <w:sz w:val="26"/>
          <w:szCs w:val="26"/>
        </w:rPr>
        <w:t xml:space="preserve"> 19.33-34).</w:t>
      </w:r>
      <w:r w:rsidR="00EA590F">
        <w:rPr>
          <w:rFonts w:cs="Times New Roman"/>
          <w:sz w:val="26"/>
          <w:szCs w:val="26"/>
        </w:rPr>
        <w:t xml:space="preserve"> </w:t>
      </w:r>
      <w:r w:rsidRPr="00FD6165">
        <w:rPr>
          <w:rFonts w:cs="Times New Roman"/>
          <w:sz w:val="26"/>
          <w:szCs w:val="26"/>
        </w:rPr>
        <w:t>And it is no wonder (</w:t>
      </w:r>
      <w:r w:rsidR="00E21EDE" w:rsidRPr="00E21EDE">
        <w:rPr>
          <w:rFonts w:ascii="SPIonic" w:hAnsi="SPIonic" w:cs="SPIonic"/>
          <w:sz w:val="26"/>
          <w:szCs w:val="26"/>
          <w:lang w:eastAsia="en-US"/>
        </w:rPr>
        <w:t xml:space="preserve">ou0 </w:t>
      </w:r>
      <w:proofErr w:type="spellStart"/>
      <w:r w:rsidR="00E21EDE" w:rsidRPr="00E21EDE">
        <w:rPr>
          <w:rFonts w:ascii="SPIonic" w:hAnsi="SPIonic" w:cs="SPIonic"/>
          <w:sz w:val="26"/>
          <w:szCs w:val="26"/>
          <w:lang w:eastAsia="en-US"/>
        </w:rPr>
        <w:t>qaumasto</w:t>
      </w:r>
      <w:proofErr w:type="spellEnd"/>
      <w:r w:rsidR="00E21EDE" w:rsidRPr="00E21EDE">
        <w:rPr>
          <w:rFonts w:ascii="SPIonic" w:hAnsi="SPIonic" w:cs="SPIonic"/>
          <w:sz w:val="26"/>
          <w:szCs w:val="26"/>
          <w:lang w:eastAsia="en-US"/>
        </w:rPr>
        <w:t>/n</w:t>
      </w:r>
      <w:r w:rsidRPr="00FD6165">
        <w:rPr>
          <w:rFonts w:cs="Times New Roman"/>
          <w:sz w:val="26"/>
          <w:szCs w:val="26"/>
        </w:rPr>
        <w:t xml:space="preserve">) if she does a service for her sister; for this </w:t>
      </w:r>
      <w:proofErr w:type="gramStart"/>
      <w:r w:rsidRPr="00FD6165">
        <w:rPr>
          <w:rFonts w:cs="Times New Roman"/>
          <w:sz w:val="26"/>
          <w:szCs w:val="26"/>
        </w:rPr>
        <w:t>reason</w:t>
      </w:r>
      <w:proofErr w:type="gramEnd"/>
      <w:r w:rsidRPr="00FD6165">
        <w:rPr>
          <w:rFonts w:cs="Times New Roman"/>
          <w:sz w:val="26"/>
          <w:szCs w:val="26"/>
        </w:rPr>
        <w:t xml:space="preserve"> it adds, “the daughter of Zeus” (</w:t>
      </w:r>
      <w:r w:rsidRPr="00FD6165">
        <w:rPr>
          <w:rFonts w:cs="Times New Roman"/>
          <w:i/>
          <w:iCs/>
          <w:sz w:val="26"/>
          <w:szCs w:val="26"/>
        </w:rPr>
        <w:t>Il.</w:t>
      </w:r>
      <w:r w:rsidRPr="00FD6165">
        <w:rPr>
          <w:rFonts w:cs="Times New Roman"/>
          <w:sz w:val="26"/>
          <w:szCs w:val="26"/>
        </w:rPr>
        <w:t xml:space="preserve"> 3.426).</w:t>
      </w:r>
      <w:r w:rsidRPr="00FD6165">
        <w:rPr>
          <w:rStyle w:val="FootnoteCharacters"/>
          <w:rFonts w:cs="Times New Roman"/>
          <w:sz w:val="26"/>
          <w:szCs w:val="26"/>
        </w:rPr>
        <w:footnoteReference w:id="40"/>
      </w:r>
    </w:p>
    <w:p w:rsidR="00F64191" w:rsidRPr="00FD6165" w:rsidRDefault="00F64191" w:rsidP="00E21EDE">
      <w:pPr>
        <w:pStyle w:val="11"/>
        <w:tabs>
          <w:tab w:val="left" w:pos="288"/>
        </w:tabs>
        <w:spacing w:before="40" w:after="40" w:line="300" w:lineRule="exact"/>
        <w:ind w:left="1440" w:right="1440"/>
        <w:jc w:val="both"/>
        <w:rPr>
          <w:rFonts w:cs="Times New Roman"/>
          <w:sz w:val="26"/>
          <w:szCs w:val="26"/>
        </w:rPr>
      </w:pPr>
    </w:p>
    <w:p w:rsidR="008C5B42"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 xml:space="preserve">If Aphrodite served Helen in the guise of an old woman, her action was obviously appropriate. One might think it improper if she did so in her own divine form, but the </w:t>
      </w:r>
      <w:proofErr w:type="spellStart"/>
      <w:r w:rsidRPr="00FD6165">
        <w:rPr>
          <w:rFonts w:cs="Times New Roman"/>
          <w:sz w:val="26"/>
          <w:szCs w:val="26"/>
        </w:rPr>
        <w:t>scholion</w:t>
      </w:r>
      <w:proofErr w:type="spellEnd"/>
      <w:r w:rsidRPr="00FD6165">
        <w:rPr>
          <w:rFonts w:cs="Times New Roman"/>
          <w:sz w:val="26"/>
          <w:szCs w:val="26"/>
        </w:rPr>
        <w:t xml:space="preserve"> defends this possibility with two arguments. First, the same phenomenon occurs elsewhere: Athena provided Odysseus with a lamp. Second, Helen was herself of divine origin, as Homer takes care to point out. Philo, too, adopts this exegetical technique to defend his claim that, after the flood, the earth produced fruit within a single day.</w:t>
      </w:r>
    </w:p>
    <w:p w:rsidR="00F64191" w:rsidRPr="00FD6165" w:rsidRDefault="00F64191" w:rsidP="008C5B42">
      <w:pPr>
        <w:pStyle w:val="11"/>
        <w:tabs>
          <w:tab w:val="left" w:pos="288"/>
        </w:tabs>
        <w:spacing w:before="0" w:after="0" w:line="300" w:lineRule="exact"/>
        <w:jc w:val="both"/>
        <w:rPr>
          <w:rFonts w:cs="Times New Roman"/>
          <w:sz w:val="26"/>
          <w:szCs w:val="26"/>
        </w:rPr>
      </w:pPr>
    </w:p>
    <w:p w:rsidR="008C5B42" w:rsidRDefault="008C5B42" w:rsidP="00F64191">
      <w:pPr>
        <w:pStyle w:val="11"/>
        <w:tabs>
          <w:tab w:val="left" w:pos="288"/>
        </w:tabs>
        <w:spacing w:before="0" w:after="0" w:line="300" w:lineRule="exact"/>
        <w:ind w:left="720" w:right="720"/>
        <w:jc w:val="both"/>
        <w:rPr>
          <w:rFonts w:cs="Times New Roman"/>
          <w:sz w:val="26"/>
          <w:szCs w:val="26"/>
        </w:rPr>
      </w:pPr>
      <w:r w:rsidRPr="00FD6165">
        <w:rPr>
          <w:rFonts w:cs="Times New Roman"/>
          <w:sz w:val="26"/>
          <w:szCs w:val="26"/>
        </w:rPr>
        <w:t>And do not wonder that the earth, given one day, grew all things through the power of God …. For also in the creation of the world, in one day out of the six He completed the production of plants.</w:t>
      </w:r>
      <w:r w:rsidRPr="00FD6165">
        <w:rPr>
          <w:rStyle w:val="FootnoteCharacters"/>
          <w:rFonts w:cs="Times New Roman"/>
          <w:sz w:val="26"/>
          <w:szCs w:val="26"/>
        </w:rPr>
        <w:footnoteReference w:id="41"/>
      </w:r>
    </w:p>
    <w:p w:rsidR="00F64191" w:rsidRPr="00FD6165" w:rsidRDefault="00F64191" w:rsidP="008C5B42">
      <w:pPr>
        <w:pStyle w:val="11"/>
        <w:tabs>
          <w:tab w:val="left" w:pos="288"/>
        </w:tabs>
        <w:spacing w:before="40" w:after="40" w:line="300" w:lineRule="exact"/>
        <w:ind w:left="1440" w:right="1440"/>
        <w:jc w:val="both"/>
        <w:rPr>
          <w:rFonts w:cs="Times New Roman"/>
          <w:sz w:val="26"/>
          <w:szCs w:val="26"/>
        </w:rPr>
      </w:pPr>
    </w:p>
    <w:p w:rsidR="008C5B42" w:rsidRPr="00FD6165" w:rsidRDefault="008C5B42" w:rsidP="008C5B42">
      <w:pPr>
        <w:pStyle w:val="11"/>
        <w:tabs>
          <w:tab w:val="left" w:pos="288"/>
        </w:tabs>
        <w:spacing w:before="0" w:after="0" w:line="300" w:lineRule="exact"/>
        <w:jc w:val="both"/>
        <w:rPr>
          <w:rFonts w:cs="Times New Roman"/>
          <w:sz w:val="26"/>
          <w:szCs w:val="26"/>
        </w:rPr>
      </w:pPr>
      <w:r w:rsidRPr="00FD6165">
        <w:rPr>
          <w:rFonts w:cs="Times New Roman"/>
          <w:sz w:val="26"/>
          <w:szCs w:val="26"/>
        </w:rPr>
        <w:t>It is of course possible, indeed probable, that rabbis, scholiasts, and Philo came independently to use the same term and technique, but the possibility that these similarities are a product of their common exegetical milieu cannot be excluded.</w:t>
      </w:r>
    </w:p>
    <w:p w:rsidR="00CF4D2A" w:rsidRPr="00950C23" w:rsidRDefault="008C5B42" w:rsidP="00950C23">
      <w:pPr>
        <w:pStyle w:val="11"/>
        <w:tabs>
          <w:tab w:val="left" w:pos="288"/>
        </w:tabs>
        <w:spacing w:before="0" w:after="0" w:line="300" w:lineRule="exact"/>
        <w:ind w:firstLine="288"/>
        <w:jc w:val="both"/>
        <w:rPr>
          <w:rFonts w:cs="Times New Roman"/>
          <w:sz w:val="26"/>
          <w:szCs w:val="26"/>
        </w:rPr>
      </w:pPr>
      <w:r w:rsidRPr="00FD6165">
        <w:rPr>
          <w:rFonts w:cs="Times New Roman"/>
          <w:sz w:val="26"/>
          <w:szCs w:val="26"/>
        </w:rPr>
        <w:tab/>
      </w:r>
    </w:p>
    <w:sectPr w:rsidR="00CF4D2A" w:rsidRPr="00950C23" w:rsidSect="008519A5">
      <w:headerReference w:type="even" r:id="rId8"/>
      <w:headerReference w:type="default" r:id="rId9"/>
      <w:footerReference w:type="even" r:id="rId10"/>
      <w:footerReference w:type="default" r:id="rId11"/>
      <w:headerReference w:type="first" r:id="rId12"/>
      <w:footerReference w:type="first" r:id="rId13"/>
      <w:pgSz w:w="11905" w:h="16837"/>
      <w:pgMar w:top="2155" w:right="2268" w:bottom="2155" w:left="2268" w:header="1418" w:footer="1418" w:gutter="0"/>
      <w:pgNumType w:start="18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FE4" w:rsidRDefault="00837FE4">
      <w:r>
        <w:separator/>
      </w:r>
    </w:p>
  </w:endnote>
  <w:endnote w:type="continuationSeparator" w:id="0">
    <w:p w:rsidR="00837FE4" w:rsidRDefault="0083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F8501DEE-20B4-4244-B784-19DF6743D79A}"/>
  </w:font>
  <w:font w:name="Palatino Linotype">
    <w:panose1 w:val="02040502050505030304"/>
    <w:charset w:val="00"/>
    <w:family w:val="roman"/>
    <w:pitch w:val="variable"/>
    <w:sig w:usb0="E0000287" w:usb1="40000013" w:usb2="00000000" w:usb3="00000000" w:csb0="0000019F" w:csb1="00000000"/>
    <w:embedRegular r:id="rId2" w:fontKey="{8F08AA21-4B84-4309-B942-69AD7A85DC24}"/>
    <w:embedItalic r:id="rId3" w:fontKey="{20B7DB20-6DBF-42E7-AA29-75D462712DB8}"/>
  </w:font>
  <w:font w:name="Lucida Sans Unicode">
    <w:panose1 w:val="020B0602030504020204"/>
    <w:charset w:val="00"/>
    <w:family w:val="swiss"/>
    <w:pitch w:val="variable"/>
    <w:sig w:usb0="80000AFF" w:usb1="0000396B" w:usb2="00000000" w:usb3="00000000" w:csb0="000000BF" w:csb1="00000000"/>
    <w:embedRegular r:id="rId4" w:fontKey="{F95B642A-761E-4BB8-93CA-722176AA3B9B}"/>
  </w:font>
  <w:font w:name="David">
    <w:panose1 w:val="020E0502060401010101"/>
    <w:charset w:val="00"/>
    <w:family w:val="swiss"/>
    <w:pitch w:val="variable"/>
    <w:sig w:usb0="00000803" w:usb1="00000000" w:usb2="00000000" w:usb3="00000000" w:csb0="00000021" w:csb1="00000000"/>
    <w:embedRegular r:id="rId5" w:fontKey="{D37A5800-857F-4D4F-BB45-0E665B928BB0}"/>
    <w:embedItalic r:id="rId6" w:fontKey="{E28BCE72-6FC6-4AB0-A1C4-52EE09AC1DBA}"/>
  </w:font>
  <w:font w:name="Tahoma">
    <w:panose1 w:val="020B0604030504040204"/>
    <w:charset w:val="00"/>
    <w:family w:val="swiss"/>
    <w:pitch w:val="variable"/>
    <w:sig w:usb0="E1002EFF" w:usb1="C000605B" w:usb2="00000029" w:usb3="00000000" w:csb0="000101FF" w:csb1="00000000"/>
    <w:embedRegular r:id="rId7" w:fontKey="{3B5DF40A-3426-4267-8A0C-6A67852FFCCF}"/>
  </w:font>
  <w:font w:name="Calibri">
    <w:panose1 w:val="020F0502020204030204"/>
    <w:charset w:val="00"/>
    <w:family w:val="swiss"/>
    <w:pitch w:val="variable"/>
    <w:sig w:usb0="E0002AFF" w:usb1="C000247B" w:usb2="00000009" w:usb3="00000000" w:csb0="000001FF" w:csb1="00000000"/>
    <w:embedRegular r:id="rId8" w:fontKey="{A3010893-BA82-476B-A334-42E863BD9AFD}"/>
  </w:font>
  <w:font w:name="Arial">
    <w:panose1 w:val="020B0604020202020204"/>
    <w:charset w:val="00"/>
    <w:family w:val="swiss"/>
    <w:pitch w:val="variable"/>
    <w:sig w:usb0="E0002EFF" w:usb1="C0007843" w:usb2="00000009" w:usb3="00000000" w:csb0="000001FF" w:csb1="00000000"/>
  </w:font>
  <w:font w:name="SPIonic">
    <w:charset w:val="00"/>
    <w:family w:val="auto"/>
    <w:pitch w:val="variable"/>
    <w:sig w:usb0="00000003" w:usb1="00000000" w:usb2="00000000" w:usb3="00000000" w:csb0="00000001" w:csb1="00000000"/>
    <w:embedRegular r:id="rId9" w:fontKey="{3BD90643-D847-4270-8C05-745485740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Default="00547B0B" w:rsidP="00547B0B">
    <w:pPr>
      <w:pStyle w:val="af1"/>
      <w:rPr>
        <w:u w:val="single"/>
      </w:rPr>
    </w:pPr>
    <w:hyperlink r:id="rId1" w:history="1">
      <w:r w:rsidRPr="00E82FB7">
        <w:rPr>
          <w:rStyle w:val="Hyperlink"/>
        </w:rPr>
        <w:t>http://www.biu.ac.il/JS/JSIJ/11-2012/Novick.pdf</w:t>
      </w:r>
    </w:hyperlink>
    <w:r w:rsidR="008C5B42">
      <w:rPr>
        <w:u w:val="singl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Default="00547B0B" w:rsidP="00547B0B">
    <w:pPr>
      <w:pStyle w:val="af1"/>
      <w:rPr>
        <w:u w:val="single"/>
      </w:rPr>
    </w:pPr>
    <w:hyperlink r:id="rId1" w:history="1">
      <w:r w:rsidRPr="00E82FB7">
        <w:rPr>
          <w:rStyle w:val="Hyperlink"/>
        </w:rPr>
        <w:t>http://www.biu.ac.il/JS/JSIJ/11-2012/Novick.pdf</w:t>
      </w:r>
    </w:hyperlink>
    <w:r w:rsidR="008C5B42">
      <w:rPr>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Default="00547B0B" w:rsidP="00547B0B">
    <w:pPr>
      <w:pStyle w:val="af1"/>
      <w:rPr>
        <w:u w:val="single"/>
      </w:rPr>
    </w:pPr>
    <w:hyperlink r:id="rId1" w:history="1">
      <w:r w:rsidRPr="00E82FB7">
        <w:rPr>
          <w:rStyle w:val="Hyperlink"/>
        </w:rPr>
        <w:t>http://www.biu.ac.il/JS/JSIJ/11-2012/Novick.pdf</w:t>
      </w:r>
    </w:hyperlink>
    <w:r w:rsidR="008C5B42">
      <w:rPr>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FE4" w:rsidRDefault="00837FE4">
      <w:r>
        <w:separator/>
      </w:r>
    </w:p>
  </w:footnote>
  <w:footnote w:type="continuationSeparator" w:id="0">
    <w:p w:rsidR="00837FE4" w:rsidRDefault="00837FE4">
      <w:r>
        <w:continuationSeparator/>
      </w:r>
    </w:p>
  </w:footnote>
  <w:footnote w:id="1">
    <w:p w:rsidR="00C874DE" w:rsidRPr="00C874DE" w:rsidRDefault="00C874DE" w:rsidP="00495FEB">
      <w:pPr>
        <w:pStyle w:val="ac"/>
        <w:tabs>
          <w:tab w:val="left" w:pos="284"/>
        </w:tabs>
        <w:spacing w:line="270" w:lineRule="exact"/>
        <w:jc w:val="both"/>
        <w:rPr>
          <w:sz w:val="23"/>
          <w:szCs w:val="23"/>
        </w:rPr>
      </w:pPr>
      <w:r w:rsidRPr="00BC0B80">
        <w:rPr>
          <w:rStyle w:val="a7"/>
          <w:sz w:val="23"/>
          <w:szCs w:val="23"/>
          <w:vertAlign w:val="baseline"/>
        </w:rPr>
        <w:t>*</w:t>
      </w:r>
      <w:r>
        <w:rPr>
          <w:sz w:val="23"/>
          <w:szCs w:val="23"/>
        </w:rPr>
        <w:tab/>
      </w:r>
      <w:r w:rsidRPr="00C874DE">
        <w:rPr>
          <w:sz w:val="23"/>
          <w:szCs w:val="23"/>
        </w:rPr>
        <w:t xml:space="preserve">I presented a version of part of the current paper at a panel on rabbinic pedagogy at the 2009 Association for Jewish Studies conference. My thanks to the organizers of that panel and especially to the respondent, Steven </w:t>
      </w:r>
      <w:proofErr w:type="spellStart"/>
      <w:r w:rsidRPr="00C874DE">
        <w:rPr>
          <w:sz w:val="23"/>
          <w:szCs w:val="23"/>
        </w:rPr>
        <w:t>Fraade</w:t>
      </w:r>
      <w:proofErr w:type="spellEnd"/>
      <w:r w:rsidRPr="00C874DE">
        <w:rPr>
          <w:sz w:val="23"/>
          <w:szCs w:val="23"/>
        </w:rPr>
        <w:t xml:space="preserve">, who suggested the phrase that I have used as the title of the third section. I also thank </w:t>
      </w:r>
      <w:proofErr w:type="spellStart"/>
      <w:r w:rsidRPr="00C874DE">
        <w:rPr>
          <w:sz w:val="23"/>
          <w:szCs w:val="23"/>
        </w:rPr>
        <w:t>Ishay</w:t>
      </w:r>
      <w:proofErr w:type="spellEnd"/>
      <w:r w:rsidRPr="00C874DE">
        <w:rPr>
          <w:sz w:val="23"/>
          <w:szCs w:val="23"/>
        </w:rPr>
        <w:t xml:space="preserve"> Rosen-Zvi for his comments on an earlier draft of the paper.</w:t>
      </w:r>
    </w:p>
  </w:footnote>
  <w:footnote w:id="2">
    <w:p w:rsidR="00C874DE" w:rsidRPr="00C874DE" w:rsidRDefault="00C874DE" w:rsidP="00495FEB">
      <w:pPr>
        <w:pStyle w:val="ac"/>
        <w:tabs>
          <w:tab w:val="left" w:pos="284"/>
        </w:tabs>
        <w:spacing w:line="270" w:lineRule="exact"/>
        <w:jc w:val="both"/>
        <w:rPr>
          <w:sz w:val="23"/>
          <w:szCs w:val="23"/>
          <w:lang w:bidi="he-IL"/>
        </w:rPr>
      </w:pPr>
      <w:r w:rsidRPr="00BC0B80">
        <w:rPr>
          <w:rStyle w:val="a7"/>
          <w:sz w:val="23"/>
          <w:szCs w:val="23"/>
          <w:vertAlign w:val="baseline"/>
        </w:rPr>
        <w:t>**</w:t>
      </w:r>
      <w:r>
        <w:rPr>
          <w:sz w:val="23"/>
          <w:szCs w:val="23"/>
        </w:rPr>
        <w:tab/>
      </w:r>
      <w:r w:rsidRPr="00C874DE">
        <w:rPr>
          <w:sz w:val="23"/>
          <w:szCs w:val="23"/>
        </w:rPr>
        <w:t xml:space="preserve">Jordan H. </w:t>
      </w:r>
      <w:proofErr w:type="spellStart"/>
      <w:r w:rsidRPr="00C874DE">
        <w:rPr>
          <w:sz w:val="23"/>
          <w:szCs w:val="23"/>
        </w:rPr>
        <w:t>Kapson</w:t>
      </w:r>
      <w:proofErr w:type="spellEnd"/>
      <w:r w:rsidRPr="00C874DE">
        <w:rPr>
          <w:sz w:val="23"/>
          <w:szCs w:val="23"/>
        </w:rPr>
        <w:t xml:space="preserve"> Assistant Professor of Jewish Studies, University of Notre Dame.</w:t>
      </w:r>
    </w:p>
  </w:footnote>
  <w:footnote w:id="3">
    <w:p w:rsidR="008C5B42" w:rsidRPr="00D03905" w:rsidRDefault="008C5B42" w:rsidP="00C60AAD">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r>
      <w:proofErr w:type="spellStart"/>
      <w:r w:rsidRPr="00D03905">
        <w:rPr>
          <w:sz w:val="23"/>
          <w:szCs w:val="23"/>
        </w:rPr>
        <w:t>Shamma</w:t>
      </w:r>
      <w:proofErr w:type="spellEnd"/>
      <w:r w:rsidRPr="00D03905">
        <w:rPr>
          <w:sz w:val="23"/>
          <w:szCs w:val="23"/>
        </w:rPr>
        <w:t xml:space="preserve"> Friedman, </w:t>
      </w:r>
      <w:proofErr w:type="spellStart"/>
      <w:r w:rsidRPr="00D03905">
        <w:rPr>
          <w:i/>
          <w:iCs/>
          <w:sz w:val="23"/>
          <w:szCs w:val="23"/>
        </w:rPr>
        <w:t>Tosefta</w:t>
      </w:r>
      <w:proofErr w:type="spellEnd"/>
      <w:r w:rsidRPr="00D03905">
        <w:rPr>
          <w:i/>
          <w:iCs/>
          <w:sz w:val="23"/>
          <w:szCs w:val="23"/>
        </w:rPr>
        <w:t xml:space="preserve"> </w:t>
      </w:r>
      <w:proofErr w:type="spellStart"/>
      <w:r w:rsidRPr="00D03905">
        <w:rPr>
          <w:i/>
          <w:iCs/>
          <w:sz w:val="23"/>
          <w:szCs w:val="23"/>
        </w:rPr>
        <w:t>Atiqta</w:t>
      </w:r>
      <w:proofErr w:type="spellEnd"/>
      <w:r w:rsidRPr="00D03905">
        <w:rPr>
          <w:i/>
          <w:iCs/>
          <w:sz w:val="23"/>
          <w:szCs w:val="23"/>
        </w:rPr>
        <w:t xml:space="preserve">, </w:t>
      </w:r>
      <w:proofErr w:type="spellStart"/>
      <w:r w:rsidRPr="00D03905">
        <w:rPr>
          <w:i/>
          <w:iCs/>
          <w:sz w:val="23"/>
          <w:szCs w:val="23"/>
        </w:rPr>
        <w:t>Pesah</w:t>
      </w:r>
      <w:proofErr w:type="spellEnd"/>
      <w:r w:rsidRPr="00D03905">
        <w:rPr>
          <w:i/>
          <w:iCs/>
          <w:sz w:val="23"/>
          <w:szCs w:val="23"/>
        </w:rPr>
        <w:t xml:space="preserve"> </w:t>
      </w:r>
      <w:proofErr w:type="spellStart"/>
      <w:r w:rsidRPr="00D03905">
        <w:rPr>
          <w:i/>
          <w:iCs/>
          <w:sz w:val="23"/>
          <w:szCs w:val="23"/>
        </w:rPr>
        <w:t>Rishon</w:t>
      </w:r>
      <w:proofErr w:type="spellEnd"/>
      <w:r w:rsidRPr="00D03905">
        <w:rPr>
          <w:i/>
          <w:iCs/>
          <w:sz w:val="23"/>
          <w:szCs w:val="23"/>
        </w:rPr>
        <w:t>: Synoptic Parallels of Mishna and Tosefta Analyzed with a Methodological Introduction</w:t>
      </w:r>
      <w:r w:rsidRPr="00D03905">
        <w:rPr>
          <w:sz w:val="23"/>
          <w:szCs w:val="23"/>
        </w:rPr>
        <w:t xml:space="preserve"> (Ramat-Gan: Bar-Ilan University Press, 2002), 129 (Heb.). </w:t>
      </w:r>
    </w:p>
  </w:footnote>
  <w:footnote w:id="4">
    <w:p w:rsidR="008C5B42" w:rsidRPr="00D03905" w:rsidRDefault="008C5B42" w:rsidP="001A064C">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e.g.,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Nedava</w:t>
      </w:r>
      <w:proofErr w:type="spellEnd"/>
      <w:r w:rsidRPr="00D03905">
        <w:rPr>
          <w:sz w:val="23"/>
          <w:szCs w:val="23"/>
        </w:rPr>
        <w:t xml:space="preserve"> 9:1 (Weiss ed., 9c); </w:t>
      </w:r>
      <w:proofErr w:type="spellStart"/>
      <w:r w:rsidR="001A064C">
        <w:rPr>
          <w:i/>
          <w:iCs/>
          <w:sz w:val="23"/>
          <w:szCs w:val="23"/>
        </w:rPr>
        <w:t>Ḥ</w:t>
      </w:r>
      <w:r w:rsidRPr="00D03905">
        <w:rPr>
          <w:i/>
          <w:iCs/>
          <w:sz w:val="23"/>
          <w:szCs w:val="23"/>
        </w:rPr>
        <w:t>ova</w:t>
      </w:r>
      <w:proofErr w:type="spellEnd"/>
      <w:r w:rsidRPr="00D03905">
        <w:rPr>
          <w:sz w:val="23"/>
          <w:szCs w:val="23"/>
        </w:rPr>
        <w:t xml:space="preserve"> 1:2 (Weiss ed., 16c).</w:t>
      </w:r>
    </w:p>
  </w:footnote>
  <w:footnote w:id="5">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In some passages in the Bavli, the say-argument is characterized as a challenge </w:t>
      </w:r>
      <w:r w:rsidRPr="00D03905">
        <w:rPr>
          <w:sz w:val="23"/>
          <w:szCs w:val="23"/>
          <w:rtl/>
        </w:rPr>
        <w:t>מעיקרא דדינא</w:t>
      </w:r>
      <w:r w:rsidRPr="00D03905">
        <w:rPr>
          <w:sz w:val="23"/>
          <w:szCs w:val="23"/>
          <w:cs/>
        </w:rPr>
        <w:t xml:space="preserve"> “</w:t>
      </w:r>
      <w:r w:rsidRPr="00D03905">
        <w:rPr>
          <w:sz w:val="23"/>
          <w:szCs w:val="23"/>
        </w:rPr>
        <w:t xml:space="preserve">from the root of the </w:t>
      </w:r>
      <w:r w:rsidRPr="00D03905">
        <w:rPr>
          <w:i/>
          <w:iCs/>
          <w:sz w:val="23"/>
          <w:szCs w:val="23"/>
        </w:rPr>
        <w:t>din</w:t>
      </w:r>
      <w:r w:rsidRPr="00D03905">
        <w:rPr>
          <w:sz w:val="23"/>
          <w:szCs w:val="23"/>
        </w:rPr>
        <w:t>.” For sources and analysis see Appendix 1, and see also the next note.</w:t>
      </w:r>
    </w:p>
  </w:footnote>
  <w:footnote w:id="6">
    <w:p w:rsidR="008C5B42" w:rsidRPr="00D03905" w:rsidRDefault="008C5B42" w:rsidP="001D7CCE">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Cf. the observation of R. Yom Tov ben Avraham </w:t>
      </w:r>
      <w:proofErr w:type="spellStart"/>
      <w:r w:rsidRPr="00D03905">
        <w:rPr>
          <w:sz w:val="23"/>
          <w:szCs w:val="23"/>
        </w:rPr>
        <w:t>Asevilli</w:t>
      </w:r>
      <w:proofErr w:type="spellEnd"/>
      <w:r w:rsidRPr="00D03905">
        <w:rPr>
          <w:sz w:val="23"/>
          <w:szCs w:val="23"/>
        </w:rPr>
        <w:t xml:space="preserve"> (</w:t>
      </w:r>
      <w:proofErr w:type="spellStart"/>
      <w:r w:rsidRPr="00D03905">
        <w:rPr>
          <w:sz w:val="23"/>
          <w:szCs w:val="23"/>
        </w:rPr>
        <w:t>Ritba</w:t>
      </w:r>
      <w:proofErr w:type="spellEnd"/>
      <w:r w:rsidRPr="00D03905">
        <w:rPr>
          <w:sz w:val="23"/>
          <w:szCs w:val="23"/>
        </w:rPr>
        <w:t xml:space="preserve">) </w:t>
      </w:r>
      <w:r w:rsidRPr="00D03905">
        <w:rPr>
          <w:i/>
          <w:iCs/>
          <w:sz w:val="23"/>
          <w:szCs w:val="23"/>
        </w:rPr>
        <w:t xml:space="preserve">ad </w:t>
      </w:r>
      <w:r w:rsidRPr="00D03905">
        <w:rPr>
          <w:sz w:val="23"/>
          <w:szCs w:val="23"/>
        </w:rPr>
        <w:t xml:space="preserve">b. </w:t>
      </w:r>
      <w:proofErr w:type="spellStart"/>
      <w:r w:rsidR="001D7CCE">
        <w:rPr>
          <w:sz w:val="23"/>
          <w:szCs w:val="23"/>
        </w:rPr>
        <w:t>Ḥ</w:t>
      </w:r>
      <w:r w:rsidRPr="00D03905">
        <w:rPr>
          <w:sz w:val="23"/>
          <w:szCs w:val="23"/>
        </w:rPr>
        <w:t>ul</w:t>
      </w:r>
      <w:proofErr w:type="spellEnd"/>
      <w:r w:rsidRPr="00D03905">
        <w:rPr>
          <w:sz w:val="23"/>
          <w:szCs w:val="23"/>
        </w:rPr>
        <w:t>. 114a: “Take this rule in hand: Whenever we ask, ‘what holds of so-and-so’ (</w:t>
      </w:r>
      <w:proofErr w:type="spellStart"/>
      <w:r w:rsidRPr="00D03905">
        <w:rPr>
          <w:sz w:val="23"/>
          <w:szCs w:val="23"/>
          <w:rtl/>
        </w:rPr>
        <w:t>מה</w:t>
      </w:r>
      <w:proofErr w:type="spellEnd"/>
      <w:r w:rsidR="001D7CCE">
        <w:rPr>
          <w:rFonts w:hint="cs"/>
          <w:sz w:val="23"/>
          <w:szCs w:val="23"/>
          <w:rtl/>
          <w:lang w:bidi="he-IL"/>
        </w:rPr>
        <w:br/>
      </w:r>
      <w:proofErr w:type="spellStart"/>
      <w:r w:rsidRPr="00D03905">
        <w:rPr>
          <w:sz w:val="23"/>
          <w:szCs w:val="23"/>
          <w:rtl/>
        </w:rPr>
        <w:t>לפלוני</w:t>
      </w:r>
      <w:proofErr w:type="spellEnd"/>
      <w:r w:rsidRPr="00D03905">
        <w:rPr>
          <w:sz w:val="23"/>
          <w:szCs w:val="23"/>
        </w:rPr>
        <w:t xml:space="preserve">, the standard opening of say-arguments in the </w:t>
      </w:r>
      <w:proofErr w:type="spellStart"/>
      <w:r w:rsidRPr="00D03905">
        <w:rPr>
          <w:sz w:val="23"/>
          <w:szCs w:val="23"/>
        </w:rPr>
        <w:t>Bavli</w:t>
      </w:r>
      <w:proofErr w:type="spellEnd"/>
      <w:r w:rsidRPr="00D03905">
        <w:rPr>
          <w:sz w:val="23"/>
          <w:szCs w:val="23"/>
        </w:rPr>
        <w:t xml:space="preserve">), this is a challenge from the root of the </w:t>
      </w:r>
      <w:r w:rsidRPr="00D03905">
        <w:rPr>
          <w:i/>
          <w:iCs/>
          <w:sz w:val="23"/>
          <w:szCs w:val="23"/>
        </w:rPr>
        <w:t>din</w:t>
      </w:r>
      <w:r w:rsidRPr="00D03905">
        <w:rPr>
          <w:sz w:val="23"/>
          <w:szCs w:val="23"/>
        </w:rPr>
        <w:t>, and whenever we ask, ‘so-and-so will prove’ (</w:t>
      </w:r>
      <w:proofErr w:type="spellStart"/>
      <w:r w:rsidRPr="00D03905">
        <w:rPr>
          <w:sz w:val="23"/>
          <w:szCs w:val="23"/>
          <w:rtl/>
        </w:rPr>
        <w:t>פלוני</w:t>
      </w:r>
      <w:proofErr w:type="spellEnd"/>
      <w:r w:rsidR="001D7CCE">
        <w:rPr>
          <w:rFonts w:hint="cs"/>
          <w:sz w:val="23"/>
          <w:szCs w:val="23"/>
          <w:rtl/>
          <w:lang w:bidi="he-IL"/>
        </w:rPr>
        <w:br/>
      </w:r>
      <w:proofErr w:type="spellStart"/>
      <w:r w:rsidRPr="00D03905">
        <w:rPr>
          <w:sz w:val="23"/>
          <w:szCs w:val="23"/>
          <w:rtl/>
        </w:rPr>
        <w:t>יוכיח</w:t>
      </w:r>
      <w:proofErr w:type="spellEnd"/>
      <w:r w:rsidRPr="00D03905">
        <w:rPr>
          <w:sz w:val="23"/>
          <w:szCs w:val="23"/>
        </w:rPr>
        <w:t xml:space="preserve">), this is a challenge from the end of the </w:t>
      </w:r>
      <w:r w:rsidRPr="00D03905">
        <w:rPr>
          <w:i/>
          <w:iCs/>
          <w:sz w:val="23"/>
          <w:szCs w:val="23"/>
        </w:rPr>
        <w:t>din</w:t>
      </w:r>
      <w:r w:rsidRPr="00D03905">
        <w:rPr>
          <w:sz w:val="23"/>
          <w:szCs w:val="23"/>
        </w:rPr>
        <w:t xml:space="preserve">.” While the phrase “the end of the </w:t>
      </w:r>
      <w:r w:rsidRPr="00D03905">
        <w:rPr>
          <w:i/>
          <w:iCs/>
          <w:sz w:val="23"/>
          <w:szCs w:val="23"/>
        </w:rPr>
        <w:t>din</w:t>
      </w:r>
      <w:r w:rsidRPr="00D03905">
        <w:rPr>
          <w:sz w:val="23"/>
          <w:szCs w:val="23"/>
        </w:rPr>
        <w:t>” (</w:t>
      </w:r>
      <w:r w:rsidRPr="00D03905">
        <w:rPr>
          <w:sz w:val="23"/>
          <w:szCs w:val="23"/>
          <w:rtl/>
        </w:rPr>
        <w:t>סופא דדינא</w:t>
      </w:r>
      <w:r w:rsidRPr="00D03905">
        <w:rPr>
          <w:sz w:val="23"/>
          <w:szCs w:val="23"/>
        </w:rPr>
        <w:t xml:space="preserve">) is found elsewhere in the Bavli, the technical usage evidently represents the </w:t>
      </w:r>
      <w:proofErr w:type="spellStart"/>
      <w:r w:rsidRPr="00D03905">
        <w:rPr>
          <w:sz w:val="23"/>
          <w:szCs w:val="23"/>
        </w:rPr>
        <w:t>Ritba’s</w:t>
      </w:r>
      <w:proofErr w:type="spellEnd"/>
      <w:r w:rsidRPr="00D03905">
        <w:rPr>
          <w:sz w:val="23"/>
          <w:szCs w:val="23"/>
        </w:rPr>
        <w:t xml:space="preserve"> own coinage, on the pattern of </w:t>
      </w:r>
      <w:r w:rsidRPr="00D03905">
        <w:rPr>
          <w:sz w:val="23"/>
          <w:szCs w:val="23"/>
          <w:rtl/>
        </w:rPr>
        <w:t>עיקרא דדינא</w:t>
      </w:r>
      <w:r w:rsidRPr="00D03905">
        <w:rPr>
          <w:sz w:val="23"/>
          <w:szCs w:val="23"/>
        </w:rPr>
        <w:t>.</w:t>
      </w:r>
    </w:p>
  </w:footnote>
  <w:footnote w:id="7">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 xml:space="preserve"> </w:t>
      </w:r>
      <w:r>
        <w:rPr>
          <w:sz w:val="23"/>
          <w:szCs w:val="23"/>
        </w:rPr>
        <w:tab/>
      </w:r>
      <w:r w:rsidRPr="00D03905">
        <w:rPr>
          <w:sz w:val="23"/>
          <w:szCs w:val="23"/>
        </w:rPr>
        <w:t xml:space="preserve">The text for this and all other quotations of the </w:t>
      </w:r>
      <w:proofErr w:type="spellStart"/>
      <w:r w:rsidRPr="00D03905">
        <w:rPr>
          <w:sz w:val="23"/>
          <w:szCs w:val="23"/>
        </w:rPr>
        <w:t>Sifra</w:t>
      </w:r>
      <w:proofErr w:type="spellEnd"/>
      <w:r w:rsidRPr="00D03905">
        <w:rPr>
          <w:sz w:val="23"/>
          <w:szCs w:val="23"/>
        </w:rPr>
        <w:t xml:space="preserve"> comes from </w:t>
      </w:r>
      <w:r w:rsidRPr="00D03905">
        <w:rPr>
          <w:smallCaps/>
          <w:sz w:val="23"/>
          <w:szCs w:val="23"/>
        </w:rPr>
        <w:t>ms</w:t>
      </w:r>
      <w:r w:rsidRPr="00D03905">
        <w:rPr>
          <w:sz w:val="23"/>
          <w:szCs w:val="23"/>
        </w:rPr>
        <w:t xml:space="preserve"> Vatican 66 (</w:t>
      </w:r>
      <w:proofErr w:type="spellStart"/>
      <w:r w:rsidRPr="00D03905">
        <w:rPr>
          <w:sz w:val="23"/>
          <w:szCs w:val="23"/>
        </w:rPr>
        <w:t>Assemani</w:t>
      </w:r>
      <w:proofErr w:type="spellEnd"/>
      <w:r w:rsidRPr="00D03905">
        <w:rPr>
          <w:sz w:val="23"/>
          <w:szCs w:val="23"/>
        </w:rPr>
        <w:t xml:space="preserve">). Given that most of the cases to be considered below come from the </w:t>
      </w:r>
      <w:proofErr w:type="spellStart"/>
      <w:r w:rsidRPr="00D03905">
        <w:rPr>
          <w:sz w:val="23"/>
          <w:szCs w:val="23"/>
        </w:rPr>
        <w:t>Sifra</w:t>
      </w:r>
      <w:proofErr w:type="spellEnd"/>
      <w:r w:rsidRPr="00D03905">
        <w:rPr>
          <w:sz w:val="23"/>
          <w:szCs w:val="23"/>
        </w:rPr>
        <w:t xml:space="preserve">, and given our interest in the relationship between attributed and anonymous usage, the results of this study should be considered together with Yonatan </w:t>
      </w:r>
      <w:proofErr w:type="spellStart"/>
      <w:r w:rsidRPr="00D03905">
        <w:rPr>
          <w:sz w:val="23"/>
          <w:szCs w:val="23"/>
        </w:rPr>
        <w:t>Sagiv’s</w:t>
      </w:r>
      <w:proofErr w:type="spellEnd"/>
      <w:r w:rsidRPr="00D03905">
        <w:rPr>
          <w:sz w:val="23"/>
          <w:szCs w:val="23"/>
        </w:rPr>
        <w:t xml:space="preserve"> recent dissertation (“Studies in Early Rabbinic Hermeneutics as Reflected in Selected Chapters in the </w:t>
      </w:r>
      <w:proofErr w:type="spellStart"/>
      <w:r w:rsidRPr="00D03905">
        <w:rPr>
          <w:sz w:val="23"/>
          <w:szCs w:val="23"/>
        </w:rPr>
        <w:t>Sifra</w:t>
      </w:r>
      <w:proofErr w:type="spellEnd"/>
      <w:r w:rsidRPr="00D03905">
        <w:rPr>
          <w:sz w:val="23"/>
          <w:szCs w:val="23"/>
        </w:rPr>
        <w:t xml:space="preserve">” [PhD thesis; Hebrew University, 2009] [Heb.]), which devotes close attention to the relationship between the attributed and anonymous material in the </w:t>
      </w:r>
      <w:proofErr w:type="spellStart"/>
      <w:r w:rsidRPr="00D03905">
        <w:rPr>
          <w:sz w:val="23"/>
          <w:szCs w:val="23"/>
        </w:rPr>
        <w:t>Sifra</w:t>
      </w:r>
      <w:proofErr w:type="spellEnd"/>
      <w:r w:rsidRPr="00D03905">
        <w:rPr>
          <w:sz w:val="23"/>
          <w:szCs w:val="23"/>
        </w:rPr>
        <w:t>.</w:t>
      </w:r>
    </w:p>
  </w:footnote>
  <w:footnote w:id="8">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Pr>
          <w:sz w:val="23"/>
          <w:szCs w:val="23"/>
        </w:rPr>
        <w:t xml:space="preserve"> </w:t>
      </w:r>
      <w:r>
        <w:rPr>
          <w:sz w:val="23"/>
          <w:szCs w:val="23"/>
        </w:rPr>
        <w:tab/>
      </w:r>
      <w:r w:rsidRPr="00D03905">
        <w:rPr>
          <w:sz w:val="23"/>
          <w:szCs w:val="23"/>
        </w:rPr>
        <w:t>That is, only unblemished (“whole”), male animals may serve as peace offerings, whereas bird offerings may be blemished, and female. In fact, as Louis Finkelstein notes (</w:t>
      </w:r>
      <w:proofErr w:type="spellStart"/>
      <w:r w:rsidRPr="00D03905">
        <w:rPr>
          <w:i/>
          <w:iCs/>
          <w:sz w:val="23"/>
          <w:szCs w:val="23"/>
        </w:rPr>
        <w:t>Sifra</w:t>
      </w:r>
      <w:proofErr w:type="spellEnd"/>
      <w:r w:rsidRPr="00D03905">
        <w:rPr>
          <w:i/>
          <w:iCs/>
          <w:sz w:val="23"/>
          <w:szCs w:val="23"/>
        </w:rPr>
        <w:t xml:space="preserve"> on Leviticus</w:t>
      </w:r>
      <w:r w:rsidRPr="00D03905">
        <w:rPr>
          <w:sz w:val="23"/>
          <w:szCs w:val="23"/>
        </w:rPr>
        <w:t xml:space="preserve"> [5 vol.; New York: Jewish Theological Seminary of America, 1983], 2.57; 4.53), peace offerings may be female; only whole offerings are obligatorily male. Finkelstein suggests that “male” enters as part of the formula “with respect to being whole and male,” even though the peace offering need only be whole, not male. Alternatively, but to my mind less likely, Finkelstein reads “male” to exclude not female animals, but animals of ambiguous sex.</w:t>
      </w:r>
    </w:p>
  </w:footnote>
  <w:footnote w:id="9">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I know of only one case in which the since-addendum occurs in non-final position, and only one in which the wonder-addendum does so. The latter is </w:t>
      </w:r>
      <w:proofErr w:type="spellStart"/>
      <w:r w:rsidRPr="00D03905">
        <w:rPr>
          <w:sz w:val="23"/>
          <w:szCs w:val="23"/>
        </w:rPr>
        <w:t>Sifre</w:t>
      </w:r>
      <w:proofErr w:type="spellEnd"/>
      <w:r w:rsidRPr="00D03905">
        <w:rPr>
          <w:sz w:val="23"/>
          <w:szCs w:val="23"/>
        </w:rPr>
        <w:t xml:space="preserve"> </w:t>
      </w:r>
      <w:proofErr w:type="spellStart"/>
      <w:r w:rsidRPr="00D03905">
        <w:rPr>
          <w:sz w:val="23"/>
          <w:szCs w:val="23"/>
        </w:rPr>
        <w:t>Zuta</w:t>
      </w:r>
      <w:proofErr w:type="spellEnd"/>
      <w:r w:rsidRPr="00D03905">
        <w:rPr>
          <w:sz w:val="23"/>
          <w:szCs w:val="23"/>
        </w:rPr>
        <w:t xml:space="preserve"> Numbers </w:t>
      </w:r>
      <w:r w:rsidRPr="00D03905">
        <w:rPr>
          <w:i/>
          <w:iCs/>
          <w:sz w:val="23"/>
          <w:szCs w:val="23"/>
        </w:rPr>
        <w:t xml:space="preserve">ad </w:t>
      </w:r>
      <w:r w:rsidRPr="00D03905">
        <w:rPr>
          <w:sz w:val="23"/>
          <w:szCs w:val="23"/>
        </w:rPr>
        <w:t>Num 6:3, discussed below. The former occurs in an alternative dialectic (</w:t>
      </w:r>
      <w:r w:rsidRPr="00D03905">
        <w:rPr>
          <w:sz w:val="23"/>
          <w:szCs w:val="23"/>
          <w:rtl/>
        </w:rPr>
        <w:t>דין אחר</w:t>
      </w:r>
      <w:r w:rsidRPr="00D03905">
        <w:rPr>
          <w:sz w:val="23"/>
          <w:szCs w:val="23"/>
        </w:rPr>
        <w:t>) that immediately follows case 3 above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Nedava</w:t>
      </w:r>
      <w:proofErr w:type="spellEnd"/>
      <w:r w:rsidRPr="00D03905">
        <w:rPr>
          <w:sz w:val="23"/>
          <w:szCs w:val="23"/>
        </w:rPr>
        <w:t xml:space="preserve"> 3:2 [Weiss ed., 5a]). In this dialectic, a since-addendum attaches to a say-argument in the penultimate stage. A prove-argument follows, supplemented by a wonder-addendum, that leads into the prooftext. But this case (for which Vatican 66 is not available) is exceptional in another respect, and possibly corrupt, for it involves two consecutive say-arguments.</w:t>
      </w:r>
    </w:p>
  </w:footnote>
  <w:footnote w:id="10">
    <w:p w:rsidR="008C5B42" w:rsidRPr="00D03905" w:rsidRDefault="008C5B42" w:rsidP="0093785D">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For the </w:t>
      </w:r>
      <w:proofErr w:type="spellStart"/>
      <w:r w:rsidRPr="00D03905">
        <w:rPr>
          <w:sz w:val="23"/>
          <w:szCs w:val="23"/>
        </w:rPr>
        <w:t>Akivan</w:t>
      </w:r>
      <w:proofErr w:type="spellEnd"/>
      <w:r w:rsidRPr="00D03905">
        <w:rPr>
          <w:sz w:val="23"/>
          <w:szCs w:val="23"/>
        </w:rPr>
        <w:t xml:space="preserve"> character of the wonder-addendum see </w:t>
      </w:r>
      <w:proofErr w:type="spellStart"/>
      <w:r w:rsidRPr="00D03905">
        <w:rPr>
          <w:sz w:val="23"/>
          <w:szCs w:val="23"/>
        </w:rPr>
        <w:t>Menahem</w:t>
      </w:r>
      <w:proofErr w:type="spellEnd"/>
      <w:r w:rsidRPr="00D03905">
        <w:rPr>
          <w:sz w:val="23"/>
          <w:szCs w:val="23"/>
        </w:rPr>
        <w:t xml:space="preserve"> I. </w:t>
      </w:r>
      <w:proofErr w:type="spellStart"/>
      <w:r w:rsidRPr="00D03905">
        <w:rPr>
          <w:sz w:val="23"/>
          <w:szCs w:val="23"/>
        </w:rPr>
        <w:t>Kahana</w:t>
      </w:r>
      <w:proofErr w:type="spellEnd"/>
      <w:r w:rsidRPr="00D03905">
        <w:rPr>
          <w:sz w:val="23"/>
          <w:szCs w:val="23"/>
        </w:rPr>
        <w:t xml:space="preserve">, </w:t>
      </w:r>
      <w:proofErr w:type="spellStart"/>
      <w:r w:rsidRPr="00D03905">
        <w:rPr>
          <w:i/>
          <w:iCs/>
          <w:sz w:val="23"/>
          <w:szCs w:val="23"/>
        </w:rPr>
        <w:t>Sifre</w:t>
      </w:r>
      <w:proofErr w:type="spellEnd"/>
      <w:r w:rsidRPr="00D03905">
        <w:rPr>
          <w:i/>
          <w:iCs/>
          <w:sz w:val="23"/>
          <w:szCs w:val="23"/>
        </w:rPr>
        <w:t xml:space="preserve"> on Numbers: An Annotated Edition</w:t>
      </w:r>
      <w:r w:rsidRPr="00D03905">
        <w:rPr>
          <w:sz w:val="23"/>
          <w:szCs w:val="23"/>
        </w:rPr>
        <w:t xml:space="preserve"> (3 vols.; Jerusalem: Hebrew University </w:t>
      </w:r>
      <w:proofErr w:type="spellStart"/>
      <w:r w:rsidRPr="00D03905">
        <w:rPr>
          <w:sz w:val="23"/>
          <w:szCs w:val="23"/>
        </w:rPr>
        <w:t>Magnes</w:t>
      </w:r>
      <w:proofErr w:type="spellEnd"/>
      <w:r w:rsidRPr="00D03905">
        <w:rPr>
          <w:sz w:val="23"/>
          <w:szCs w:val="23"/>
        </w:rPr>
        <w:t xml:space="preserve"> Press, 2011), 2.260 n. 3 (Heb.). “You should not wonder” (</w:t>
      </w:r>
      <w:r w:rsidRPr="00D03905">
        <w:rPr>
          <w:sz w:val="23"/>
          <w:szCs w:val="23"/>
          <w:rtl/>
        </w:rPr>
        <w:t>אל תתמה</w:t>
      </w:r>
      <w:r w:rsidRPr="00D03905">
        <w:rPr>
          <w:sz w:val="23"/>
          <w:szCs w:val="23"/>
        </w:rPr>
        <w:t xml:space="preserve">) occurs in another dialectical pattern closely related to category 1a, and it, too, is specific to the school of R. </w:t>
      </w:r>
      <w:proofErr w:type="spellStart"/>
      <w:r w:rsidRPr="00D03905">
        <w:rPr>
          <w:sz w:val="23"/>
          <w:szCs w:val="23"/>
        </w:rPr>
        <w:t>Akiva</w:t>
      </w:r>
      <w:proofErr w:type="spellEnd"/>
      <w:r w:rsidRPr="00D03905">
        <w:rPr>
          <w:sz w:val="23"/>
          <w:szCs w:val="23"/>
        </w:rPr>
        <w:t>.</w:t>
      </w:r>
      <w:r w:rsidR="00EA590F">
        <w:rPr>
          <w:sz w:val="23"/>
          <w:szCs w:val="23"/>
        </w:rPr>
        <w:t xml:space="preserve"> </w:t>
      </w:r>
      <w:r w:rsidRPr="00D03905">
        <w:rPr>
          <w:sz w:val="23"/>
          <w:szCs w:val="23"/>
        </w:rPr>
        <w:t xml:space="preserve">In this pattern, a </w:t>
      </w:r>
      <w:r w:rsidRPr="00D03905">
        <w:rPr>
          <w:sz w:val="23"/>
          <w:szCs w:val="23"/>
          <w:rtl/>
        </w:rPr>
        <w:t>יכול</w:t>
      </w:r>
      <w:r w:rsidRPr="00D03905">
        <w:rPr>
          <w:sz w:val="23"/>
          <w:szCs w:val="23"/>
          <w:cs/>
        </w:rPr>
        <w:t xml:space="preserve"> </w:t>
      </w:r>
      <w:r w:rsidRPr="00D03905">
        <w:rPr>
          <w:sz w:val="23"/>
          <w:szCs w:val="23"/>
        </w:rPr>
        <w:t xml:space="preserve">clause introduces a hypothesis that the verse will refute, or, to use the terminology introduced above, it establishes </w:t>
      </w:r>
      <w:r w:rsidRPr="00D03905">
        <w:rPr>
          <w:i/>
          <w:iCs/>
          <w:sz w:val="23"/>
          <w:szCs w:val="23"/>
        </w:rPr>
        <w:t>–x</w:t>
      </w:r>
      <w:r w:rsidRPr="00D03905">
        <w:rPr>
          <w:sz w:val="23"/>
          <w:szCs w:val="23"/>
        </w:rPr>
        <w:t xml:space="preserve">. The next sentence, beginning with “You should not wonder,” buttresses the hypothesis by identifying a different case in which it holds. The verse then refutes </w:t>
      </w:r>
      <w:r w:rsidRPr="00D03905">
        <w:rPr>
          <w:i/>
          <w:iCs/>
          <w:sz w:val="23"/>
          <w:szCs w:val="23"/>
        </w:rPr>
        <w:t>–x</w:t>
      </w:r>
      <w:r w:rsidRPr="00D03905">
        <w:rPr>
          <w:sz w:val="23"/>
          <w:szCs w:val="23"/>
        </w:rPr>
        <w:t xml:space="preserve">. See, e.g., </w:t>
      </w:r>
      <w:proofErr w:type="spellStart"/>
      <w:r w:rsidRPr="00D03905">
        <w:rPr>
          <w:sz w:val="23"/>
          <w:szCs w:val="23"/>
        </w:rPr>
        <w:t>Mek</w:t>
      </w:r>
      <w:proofErr w:type="spellEnd"/>
      <w:r w:rsidRPr="00D03905">
        <w:rPr>
          <w:sz w:val="23"/>
          <w:szCs w:val="23"/>
        </w:rPr>
        <w:t xml:space="preserve">. R. Sh. </w:t>
      </w:r>
      <w:r w:rsidRPr="00D03905">
        <w:rPr>
          <w:i/>
          <w:iCs/>
          <w:sz w:val="23"/>
          <w:szCs w:val="23"/>
        </w:rPr>
        <w:t xml:space="preserve">ad </w:t>
      </w:r>
      <w:r w:rsidRPr="00D03905">
        <w:rPr>
          <w:sz w:val="23"/>
          <w:szCs w:val="23"/>
        </w:rPr>
        <w:t xml:space="preserve">Ex 12:21 (Horovitz-Rabin ed., 25); </w:t>
      </w:r>
      <w:proofErr w:type="spellStart"/>
      <w:r w:rsidRPr="00D03905">
        <w:rPr>
          <w:sz w:val="23"/>
          <w:szCs w:val="23"/>
        </w:rPr>
        <w:t>Sifra</w:t>
      </w:r>
      <w:proofErr w:type="spellEnd"/>
      <w:r w:rsidRPr="00D03905">
        <w:rPr>
          <w:sz w:val="23"/>
          <w:szCs w:val="23"/>
        </w:rPr>
        <w:t xml:space="preserve"> </w:t>
      </w:r>
      <w:proofErr w:type="spellStart"/>
      <w:r w:rsidR="0093785D">
        <w:rPr>
          <w:i/>
          <w:iCs/>
          <w:sz w:val="23"/>
          <w:szCs w:val="23"/>
        </w:rPr>
        <w:t>Ḥ</w:t>
      </w:r>
      <w:r w:rsidRPr="00D03905">
        <w:rPr>
          <w:i/>
          <w:iCs/>
          <w:sz w:val="23"/>
          <w:szCs w:val="23"/>
        </w:rPr>
        <w:t>ovah</w:t>
      </w:r>
      <w:proofErr w:type="spellEnd"/>
      <w:r w:rsidRPr="00D03905">
        <w:rPr>
          <w:sz w:val="23"/>
          <w:szCs w:val="23"/>
        </w:rPr>
        <w:t xml:space="preserve"> 13:2 (Weiss ed., 28b); </w:t>
      </w:r>
      <w:proofErr w:type="spellStart"/>
      <w:r w:rsidRPr="00D03905">
        <w:rPr>
          <w:sz w:val="23"/>
          <w:szCs w:val="23"/>
        </w:rPr>
        <w:t>Sifre</w:t>
      </w:r>
      <w:proofErr w:type="spellEnd"/>
      <w:r w:rsidRPr="00D03905">
        <w:rPr>
          <w:sz w:val="23"/>
          <w:szCs w:val="23"/>
        </w:rPr>
        <w:t xml:space="preserve"> Deut. 110 (Finkelstein ed., 171).</w:t>
      </w:r>
    </w:p>
  </w:footnote>
  <w:footnote w:id="11">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Thus, of the four dialectical paths, only one, category 2b, occurs in </w:t>
      </w:r>
      <w:proofErr w:type="spellStart"/>
      <w:r w:rsidRPr="00D03905">
        <w:rPr>
          <w:sz w:val="23"/>
          <w:szCs w:val="23"/>
        </w:rPr>
        <w:t>Sifre</w:t>
      </w:r>
      <w:proofErr w:type="spellEnd"/>
      <w:r w:rsidRPr="00D03905">
        <w:rPr>
          <w:sz w:val="23"/>
          <w:szCs w:val="23"/>
        </w:rPr>
        <w:t xml:space="preserve"> Deuteronomy, and each of the four instances involves the minimal pattern: </w:t>
      </w:r>
      <w:r w:rsidRPr="00D03905">
        <w:rPr>
          <w:i/>
          <w:iCs/>
          <w:sz w:val="23"/>
          <w:szCs w:val="23"/>
        </w:rPr>
        <w:t>din</w:t>
      </w:r>
      <w:r w:rsidRPr="00D03905">
        <w:rPr>
          <w:sz w:val="23"/>
          <w:szCs w:val="23"/>
        </w:rPr>
        <w:t xml:space="preserve">; prove-argument. See </w:t>
      </w:r>
      <w:proofErr w:type="spellStart"/>
      <w:r w:rsidRPr="00D03905">
        <w:rPr>
          <w:sz w:val="23"/>
          <w:szCs w:val="23"/>
        </w:rPr>
        <w:t>Sifre</w:t>
      </w:r>
      <w:proofErr w:type="spellEnd"/>
      <w:r w:rsidRPr="00D03905">
        <w:rPr>
          <w:sz w:val="23"/>
          <w:szCs w:val="23"/>
        </w:rPr>
        <w:t xml:space="preserve"> Deut. 76 (</w:t>
      </w:r>
      <w:proofErr w:type="spellStart"/>
      <w:r w:rsidRPr="00D03905">
        <w:rPr>
          <w:i/>
          <w:iCs/>
          <w:sz w:val="23"/>
          <w:szCs w:val="23"/>
        </w:rPr>
        <w:t>bis</w:t>
      </w:r>
      <w:proofErr w:type="spellEnd"/>
      <w:r w:rsidRPr="00D03905">
        <w:rPr>
          <w:sz w:val="23"/>
          <w:szCs w:val="23"/>
        </w:rPr>
        <w:t>); 268 (</w:t>
      </w:r>
      <w:proofErr w:type="spellStart"/>
      <w:r w:rsidRPr="00D03905">
        <w:rPr>
          <w:i/>
          <w:iCs/>
          <w:sz w:val="23"/>
          <w:szCs w:val="23"/>
        </w:rPr>
        <w:t>bis</w:t>
      </w:r>
      <w:proofErr w:type="spellEnd"/>
      <w:r w:rsidRPr="00D03905">
        <w:rPr>
          <w:sz w:val="23"/>
          <w:szCs w:val="23"/>
        </w:rPr>
        <w:t>)</w:t>
      </w:r>
      <w:r w:rsidRPr="00D03905">
        <w:rPr>
          <w:i/>
          <w:iCs/>
          <w:sz w:val="23"/>
          <w:szCs w:val="23"/>
        </w:rPr>
        <w:t xml:space="preserve"> </w:t>
      </w:r>
      <w:r w:rsidRPr="00D03905">
        <w:rPr>
          <w:sz w:val="23"/>
          <w:szCs w:val="23"/>
        </w:rPr>
        <w:t xml:space="preserve">(Finkelstein ed., 141-42, 287). On </w:t>
      </w:r>
      <w:proofErr w:type="spellStart"/>
      <w:r w:rsidRPr="00D03905">
        <w:rPr>
          <w:sz w:val="23"/>
          <w:szCs w:val="23"/>
        </w:rPr>
        <w:t>Sifre</w:t>
      </w:r>
      <w:proofErr w:type="spellEnd"/>
      <w:r w:rsidRPr="00D03905">
        <w:rPr>
          <w:sz w:val="23"/>
          <w:szCs w:val="23"/>
        </w:rPr>
        <w:t xml:space="preserve"> Deut. 268 see Appendix 1.</w:t>
      </w:r>
    </w:p>
  </w:footnote>
  <w:footnote w:id="12">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w:t>
      </w:r>
      <w:proofErr w:type="spellStart"/>
      <w:r w:rsidRPr="00D03905">
        <w:rPr>
          <w:sz w:val="23"/>
          <w:szCs w:val="23"/>
        </w:rPr>
        <w:t>Kahana</w:t>
      </w:r>
      <w:proofErr w:type="spellEnd"/>
      <w:r w:rsidRPr="00D03905">
        <w:rPr>
          <w:sz w:val="23"/>
          <w:szCs w:val="23"/>
        </w:rPr>
        <w:t xml:space="preserve">, </w:t>
      </w:r>
      <w:proofErr w:type="spellStart"/>
      <w:r w:rsidRPr="00D03905">
        <w:rPr>
          <w:i/>
          <w:iCs/>
          <w:sz w:val="23"/>
          <w:szCs w:val="23"/>
        </w:rPr>
        <w:t>Sifre</w:t>
      </w:r>
      <w:proofErr w:type="spellEnd"/>
      <w:r w:rsidRPr="00D03905">
        <w:rPr>
          <w:sz w:val="23"/>
          <w:szCs w:val="23"/>
        </w:rPr>
        <w:t xml:space="preserve">, 2.260 n. 3, takes note of this difference. </w:t>
      </w:r>
      <w:r w:rsidRPr="00D03905">
        <w:rPr>
          <w:sz w:val="23"/>
          <w:szCs w:val="23"/>
          <w:rtl/>
        </w:rPr>
        <w:t>וכן</w:t>
      </w:r>
      <w:r w:rsidRPr="00D03905">
        <w:rPr>
          <w:sz w:val="23"/>
          <w:szCs w:val="23"/>
          <w:cs/>
        </w:rPr>
        <w:t xml:space="preserve"> </w:t>
      </w:r>
      <w:r w:rsidRPr="00D03905">
        <w:rPr>
          <w:sz w:val="23"/>
          <w:szCs w:val="23"/>
        </w:rPr>
        <w:t xml:space="preserve">also occurs in the instance </w:t>
      </w:r>
      <w:r w:rsidRPr="00D03905">
        <w:rPr>
          <w:i/>
          <w:iCs/>
          <w:sz w:val="23"/>
          <w:szCs w:val="23"/>
        </w:rPr>
        <w:t xml:space="preserve">ad </w:t>
      </w:r>
      <w:r w:rsidRPr="00D03905">
        <w:rPr>
          <w:sz w:val="23"/>
          <w:szCs w:val="23"/>
        </w:rPr>
        <w:t xml:space="preserve">Num 19:11. On the interchange of </w:t>
      </w:r>
      <w:r w:rsidRPr="00D03905">
        <w:rPr>
          <w:sz w:val="23"/>
          <w:szCs w:val="23"/>
          <w:rtl/>
        </w:rPr>
        <w:t>כן</w:t>
      </w:r>
      <w:r w:rsidRPr="00D03905">
        <w:rPr>
          <w:sz w:val="23"/>
          <w:szCs w:val="23"/>
          <w:cs/>
        </w:rPr>
        <w:t xml:space="preserve"> </w:t>
      </w:r>
      <w:r w:rsidRPr="00D03905">
        <w:rPr>
          <w:sz w:val="23"/>
          <w:szCs w:val="23"/>
        </w:rPr>
        <w:t xml:space="preserve">and </w:t>
      </w:r>
      <w:r w:rsidRPr="00D03905">
        <w:rPr>
          <w:sz w:val="23"/>
          <w:szCs w:val="23"/>
          <w:rtl/>
        </w:rPr>
        <w:t>אף</w:t>
      </w:r>
      <w:r w:rsidRPr="00D03905">
        <w:rPr>
          <w:sz w:val="23"/>
          <w:szCs w:val="23"/>
          <w:cs/>
        </w:rPr>
        <w:t xml:space="preserve"> </w:t>
      </w:r>
      <w:r w:rsidRPr="00D03905">
        <w:rPr>
          <w:sz w:val="23"/>
          <w:szCs w:val="23"/>
        </w:rPr>
        <w:t xml:space="preserve">in other contexts see Aharon </w:t>
      </w:r>
      <w:proofErr w:type="spellStart"/>
      <w:r w:rsidRPr="00D03905">
        <w:rPr>
          <w:sz w:val="23"/>
          <w:szCs w:val="23"/>
        </w:rPr>
        <w:t>Mirsky</w:t>
      </w:r>
      <w:proofErr w:type="spellEnd"/>
      <w:r w:rsidRPr="00D03905">
        <w:rPr>
          <w:sz w:val="23"/>
          <w:szCs w:val="23"/>
        </w:rPr>
        <w:t xml:space="preserve">, </w:t>
      </w:r>
      <w:r w:rsidRPr="00D03905">
        <w:rPr>
          <w:i/>
          <w:iCs/>
          <w:sz w:val="23"/>
          <w:szCs w:val="23"/>
        </w:rPr>
        <w:t xml:space="preserve">The Origin of Forms of Early Hebrew Poetry </w:t>
      </w:r>
      <w:r w:rsidRPr="00D03905">
        <w:rPr>
          <w:sz w:val="23"/>
          <w:szCs w:val="23"/>
        </w:rPr>
        <w:t xml:space="preserve">(Jerusalem: </w:t>
      </w:r>
      <w:proofErr w:type="spellStart"/>
      <w:r w:rsidRPr="00D03905">
        <w:rPr>
          <w:sz w:val="23"/>
          <w:szCs w:val="23"/>
        </w:rPr>
        <w:t>Magnes</w:t>
      </w:r>
      <w:proofErr w:type="spellEnd"/>
      <w:r w:rsidRPr="00D03905">
        <w:rPr>
          <w:sz w:val="23"/>
          <w:szCs w:val="23"/>
        </w:rPr>
        <w:t xml:space="preserve"> Press, 1985), 11-34 (Heb.).</w:t>
      </w:r>
    </w:p>
  </w:footnote>
  <w:footnote w:id="13">
    <w:p w:rsidR="008C5B42" w:rsidRPr="00D03905" w:rsidRDefault="008C5B42" w:rsidP="009E5737">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Intriguingly, </w:t>
      </w:r>
      <w:proofErr w:type="spellStart"/>
      <w:r w:rsidRPr="00D03905">
        <w:rPr>
          <w:sz w:val="23"/>
          <w:szCs w:val="23"/>
        </w:rPr>
        <w:t>Sifre</w:t>
      </w:r>
      <w:proofErr w:type="spellEnd"/>
      <w:r w:rsidRPr="00D03905">
        <w:rPr>
          <w:sz w:val="23"/>
          <w:szCs w:val="23"/>
        </w:rPr>
        <w:t xml:space="preserve"> </w:t>
      </w:r>
      <w:proofErr w:type="spellStart"/>
      <w:r w:rsidRPr="00D03905">
        <w:rPr>
          <w:sz w:val="23"/>
          <w:szCs w:val="23"/>
        </w:rPr>
        <w:t>Zuta</w:t>
      </w:r>
      <w:proofErr w:type="spellEnd"/>
      <w:r w:rsidRPr="00D03905">
        <w:rPr>
          <w:sz w:val="23"/>
          <w:szCs w:val="23"/>
        </w:rPr>
        <w:t xml:space="preserve"> Num. </w:t>
      </w:r>
      <w:r w:rsidRPr="00D03905">
        <w:rPr>
          <w:i/>
          <w:iCs/>
          <w:sz w:val="23"/>
          <w:szCs w:val="23"/>
        </w:rPr>
        <w:t xml:space="preserve">ad </w:t>
      </w:r>
      <w:r w:rsidRPr="00D03905">
        <w:rPr>
          <w:sz w:val="23"/>
          <w:szCs w:val="23"/>
        </w:rPr>
        <w:t xml:space="preserve">Num 6:3 distinguishes itself in another respect: it appears to represent an earlier form of the dialectic that occurs in the parallel </w:t>
      </w:r>
      <w:proofErr w:type="spellStart"/>
      <w:r w:rsidRPr="00D03905">
        <w:rPr>
          <w:sz w:val="23"/>
          <w:szCs w:val="23"/>
        </w:rPr>
        <w:t>Sifre</w:t>
      </w:r>
      <w:proofErr w:type="spellEnd"/>
      <w:r w:rsidRPr="00D03905">
        <w:rPr>
          <w:sz w:val="23"/>
          <w:szCs w:val="23"/>
        </w:rPr>
        <w:t xml:space="preserve"> Numbers passage, </w:t>
      </w:r>
      <w:proofErr w:type="spellStart"/>
      <w:r w:rsidRPr="00D03905">
        <w:rPr>
          <w:sz w:val="23"/>
          <w:szCs w:val="23"/>
        </w:rPr>
        <w:t>Sifre</w:t>
      </w:r>
      <w:proofErr w:type="spellEnd"/>
      <w:r w:rsidRPr="00D03905">
        <w:rPr>
          <w:sz w:val="23"/>
          <w:szCs w:val="23"/>
        </w:rPr>
        <w:t xml:space="preserve"> Num. 23 (Horovitz ed., 26-27). See </w:t>
      </w:r>
      <w:proofErr w:type="spellStart"/>
      <w:r w:rsidRPr="00D03905">
        <w:rPr>
          <w:sz w:val="23"/>
          <w:szCs w:val="23"/>
        </w:rPr>
        <w:t>Kahana</w:t>
      </w:r>
      <w:proofErr w:type="spellEnd"/>
      <w:r w:rsidRPr="00D03905">
        <w:rPr>
          <w:sz w:val="23"/>
          <w:szCs w:val="23"/>
        </w:rPr>
        <w:t xml:space="preserve">, </w:t>
      </w:r>
      <w:proofErr w:type="spellStart"/>
      <w:r w:rsidRPr="00D03905">
        <w:rPr>
          <w:i/>
          <w:iCs/>
          <w:sz w:val="23"/>
          <w:szCs w:val="23"/>
        </w:rPr>
        <w:t>Sifre</w:t>
      </w:r>
      <w:proofErr w:type="spellEnd"/>
      <w:r w:rsidRPr="00D03905">
        <w:rPr>
          <w:sz w:val="23"/>
          <w:szCs w:val="23"/>
        </w:rPr>
        <w:t>, 2.203-08, and especially 206 and 208.</w:t>
      </w:r>
      <w:r w:rsidR="00EA590F">
        <w:rPr>
          <w:sz w:val="23"/>
          <w:szCs w:val="23"/>
        </w:rPr>
        <w:t xml:space="preserve"> </w:t>
      </w:r>
      <w:r w:rsidRPr="00D03905">
        <w:rPr>
          <w:sz w:val="23"/>
          <w:szCs w:val="23"/>
        </w:rPr>
        <w:t xml:space="preserve">The dependence of the </w:t>
      </w:r>
      <w:proofErr w:type="spellStart"/>
      <w:r w:rsidRPr="00D03905">
        <w:rPr>
          <w:sz w:val="23"/>
          <w:szCs w:val="23"/>
        </w:rPr>
        <w:t>Sifre</w:t>
      </w:r>
      <w:proofErr w:type="spellEnd"/>
      <w:r w:rsidRPr="00D03905">
        <w:rPr>
          <w:sz w:val="23"/>
          <w:szCs w:val="23"/>
        </w:rPr>
        <w:t xml:space="preserve"> Num. 23 passage on the </w:t>
      </w:r>
      <w:proofErr w:type="spellStart"/>
      <w:r w:rsidRPr="00D03905">
        <w:rPr>
          <w:sz w:val="23"/>
          <w:szCs w:val="23"/>
        </w:rPr>
        <w:t>Akivan</w:t>
      </w:r>
      <w:proofErr w:type="spellEnd"/>
      <w:r w:rsidRPr="00D03905">
        <w:rPr>
          <w:sz w:val="23"/>
          <w:szCs w:val="23"/>
        </w:rPr>
        <w:t xml:space="preserve"> parallel is advanced on independent grounds in </w:t>
      </w:r>
      <w:proofErr w:type="spellStart"/>
      <w:r w:rsidRPr="00D03905">
        <w:rPr>
          <w:sz w:val="23"/>
          <w:szCs w:val="23"/>
        </w:rPr>
        <w:t>Tzvi</w:t>
      </w:r>
      <w:proofErr w:type="spellEnd"/>
      <w:r w:rsidRPr="00D03905">
        <w:rPr>
          <w:sz w:val="23"/>
          <w:szCs w:val="23"/>
        </w:rPr>
        <w:t xml:space="preserve"> Novick, </w:t>
      </w:r>
      <w:proofErr w:type="gramStart"/>
      <w:r w:rsidRPr="00D03905">
        <w:rPr>
          <w:i/>
          <w:iCs/>
          <w:sz w:val="23"/>
          <w:szCs w:val="23"/>
        </w:rPr>
        <w:t>What</w:t>
      </w:r>
      <w:proofErr w:type="gramEnd"/>
      <w:r w:rsidRPr="00D03905">
        <w:rPr>
          <w:i/>
          <w:iCs/>
          <w:sz w:val="23"/>
          <w:szCs w:val="23"/>
        </w:rPr>
        <w:t xml:space="preserve"> is Good, and What God Demands: Normative Structures in </w:t>
      </w:r>
      <w:proofErr w:type="spellStart"/>
      <w:r w:rsidRPr="00D03905">
        <w:rPr>
          <w:i/>
          <w:iCs/>
          <w:sz w:val="23"/>
          <w:szCs w:val="23"/>
        </w:rPr>
        <w:t>Tannaitic</w:t>
      </w:r>
      <w:proofErr w:type="spellEnd"/>
      <w:r w:rsidRPr="00D03905">
        <w:rPr>
          <w:i/>
          <w:iCs/>
          <w:sz w:val="23"/>
          <w:szCs w:val="23"/>
        </w:rPr>
        <w:t xml:space="preserve"> Literature</w:t>
      </w:r>
      <w:r w:rsidRPr="00D03905">
        <w:rPr>
          <w:sz w:val="23"/>
          <w:szCs w:val="23"/>
        </w:rPr>
        <w:t xml:space="preserve"> (</w:t>
      </w:r>
      <w:proofErr w:type="spellStart"/>
      <w:r w:rsidRPr="00D03905">
        <w:rPr>
          <w:sz w:val="23"/>
          <w:szCs w:val="23"/>
        </w:rPr>
        <w:t>Lieden</w:t>
      </w:r>
      <w:proofErr w:type="spellEnd"/>
      <w:r w:rsidRPr="00D03905">
        <w:rPr>
          <w:sz w:val="23"/>
          <w:szCs w:val="23"/>
        </w:rPr>
        <w:t>: Brill, 2010), 27, and see also the next note.</w:t>
      </w:r>
      <w:r w:rsidR="00AF59CB" w:rsidRPr="00AF59CB">
        <w:t xml:space="preserve"> </w:t>
      </w:r>
      <w:r w:rsidR="00AF59CB" w:rsidRPr="00AF59CB">
        <w:rPr>
          <w:sz w:val="23"/>
          <w:szCs w:val="23"/>
        </w:rPr>
        <w:t xml:space="preserve">The wonder-addendum in </w:t>
      </w:r>
      <w:proofErr w:type="spellStart"/>
      <w:r w:rsidR="00AF59CB" w:rsidRPr="00AF59CB">
        <w:rPr>
          <w:sz w:val="23"/>
          <w:szCs w:val="23"/>
        </w:rPr>
        <w:t>Sifra</w:t>
      </w:r>
      <w:proofErr w:type="spellEnd"/>
      <w:r w:rsidR="00AF59CB" w:rsidRPr="00AF59CB">
        <w:rPr>
          <w:sz w:val="23"/>
          <w:szCs w:val="23"/>
        </w:rPr>
        <w:t xml:space="preserve"> </w:t>
      </w:r>
      <w:proofErr w:type="spellStart"/>
      <w:r w:rsidR="009E5737">
        <w:rPr>
          <w:sz w:val="23"/>
          <w:szCs w:val="23"/>
        </w:rPr>
        <w:t>Ḥ</w:t>
      </w:r>
      <w:r w:rsidR="00AF59CB" w:rsidRPr="00AF59CB">
        <w:rPr>
          <w:sz w:val="23"/>
          <w:szCs w:val="23"/>
        </w:rPr>
        <w:t>ovah</w:t>
      </w:r>
      <w:proofErr w:type="spellEnd"/>
      <w:r w:rsidR="00AF59CB" w:rsidRPr="00AF59CB">
        <w:rPr>
          <w:sz w:val="23"/>
          <w:szCs w:val="23"/>
        </w:rPr>
        <w:t xml:space="preserve"> 3:1 (Weiss ed., 17c) occurs in the last stage of the dialectic, but in this case the dialectic ends with x, so that another line of reasoning must be developed </w:t>
      </w:r>
      <w:proofErr w:type="gramStart"/>
      <w:r w:rsidR="00AF59CB" w:rsidRPr="00AF59CB">
        <w:rPr>
          <w:sz w:val="23"/>
          <w:szCs w:val="23"/>
        </w:rPr>
        <w:t>in order to</w:t>
      </w:r>
      <w:proofErr w:type="gramEnd"/>
      <w:r w:rsidR="00AF59CB" w:rsidRPr="00AF59CB">
        <w:rPr>
          <w:sz w:val="23"/>
          <w:szCs w:val="23"/>
        </w:rPr>
        <w:t xml:space="preserve"> justify the necessity for the verse.</w:t>
      </w:r>
    </w:p>
  </w:footnote>
  <w:footnote w:id="14">
    <w:p w:rsidR="008C5B42" w:rsidRPr="00D03905" w:rsidRDefault="008C5B42" w:rsidP="009E5737">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wonder-addendum occurs in </w:t>
      </w:r>
      <w:proofErr w:type="spellStart"/>
      <w:r w:rsidRPr="00D03905">
        <w:rPr>
          <w:sz w:val="23"/>
          <w:szCs w:val="23"/>
        </w:rPr>
        <w:t>Sifre</w:t>
      </w:r>
      <w:proofErr w:type="spellEnd"/>
      <w:r w:rsidRPr="00D03905">
        <w:rPr>
          <w:sz w:val="23"/>
          <w:szCs w:val="23"/>
        </w:rPr>
        <w:t xml:space="preserve"> Num. 29 (Horovitz ed., 35) and </w:t>
      </w:r>
      <w:proofErr w:type="spellStart"/>
      <w:r w:rsidRPr="00D03905">
        <w:rPr>
          <w:sz w:val="23"/>
          <w:szCs w:val="23"/>
        </w:rPr>
        <w:t>Midr</w:t>
      </w:r>
      <w:proofErr w:type="spellEnd"/>
      <w:r w:rsidRPr="00D03905">
        <w:rPr>
          <w:sz w:val="23"/>
          <w:szCs w:val="23"/>
        </w:rPr>
        <w:t xml:space="preserve">. </w:t>
      </w:r>
      <w:proofErr w:type="spellStart"/>
      <w:r w:rsidRPr="00D03905">
        <w:rPr>
          <w:sz w:val="23"/>
          <w:szCs w:val="23"/>
        </w:rPr>
        <w:t>Tannaim</w:t>
      </w:r>
      <w:proofErr w:type="spellEnd"/>
      <w:r w:rsidRPr="00D03905">
        <w:rPr>
          <w:sz w:val="23"/>
          <w:szCs w:val="23"/>
        </w:rPr>
        <w:t xml:space="preserve"> </w:t>
      </w:r>
      <w:r w:rsidRPr="00D03905">
        <w:rPr>
          <w:i/>
          <w:iCs/>
          <w:sz w:val="23"/>
          <w:szCs w:val="23"/>
        </w:rPr>
        <w:t xml:space="preserve">ad </w:t>
      </w:r>
      <w:r w:rsidRPr="00D03905">
        <w:rPr>
          <w:sz w:val="23"/>
          <w:szCs w:val="23"/>
        </w:rPr>
        <w:t xml:space="preserve">Deut 14:22 (Hoffmann ed., 76). As </w:t>
      </w:r>
      <w:proofErr w:type="spellStart"/>
      <w:r w:rsidRPr="00D03905">
        <w:rPr>
          <w:sz w:val="23"/>
          <w:szCs w:val="23"/>
        </w:rPr>
        <w:t>Kahana</w:t>
      </w:r>
      <w:proofErr w:type="spellEnd"/>
      <w:r w:rsidRPr="00D03905">
        <w:rPr>
          <w:sz w:val="23"/>
          <w:szCs w:val="23"/>
        </w:rPr>
        <w:t xml:space="preserve"> (</w:t>
      </w:r>
      <w:proofErr w:type="spellStart"/>
      <w:r w:rsidRPr="00D03905">
        <w:rPr>
          <w:i/>
          <w:iCs/>
          <w:sz w:val="23"/>
          <w:szCs w:val="23"/>
        </w:rPr>
        <w:t>Sifre</w:t>
      </w:r>
      <w:proofErr w:type="spellEnd"/>
      <w:r w:rsidRPr="00D03905">
        <w:rPr>
          <w:sz w:val="23"/>
          <w:szCs w:val="23"/>
        </w:rPr>
        <w:t xml:space="preserve">, 2.260 n. 3) observes, the latter may trace to </w:t>
      </w:r>
      <w:proofErr w:type="spellStart"/>
      <w:r w:rsidRPr="00D03905">
        <w:rPr>
          <w:sz w:val="23"/>
          <w:szCs w:val="23"/>
        </w:rPr>
        <w:t>Mek</w:t>
      </w:r>
      <w:proofErr w:type="spellEnd"/>
      <w:r w:rsidRPr="00D03905">
        <w:rPr>
          <w:sz w:val="23"/>
          <w:szCs w:val="23"/>
        </w:rPr>
        <w:t xml:space="preserve">. Deuteronomy. Significantly, however, the exegesis centers on a verse from Numbers (Num 18:26). The since-addendum occurs in </w:t>
      </w:r>
      <w:proofErr w:type="spellStart"/>
      <w:r w:rsidRPr="00D03905">
        <w:rPr>
          <w:sz w:val="23"/>
          <w:szCs w:val="23"/>
        </w:rPr>
        <w:t>Sifre</w:t>
      </w:r>
      <w:proofErr w:type="spellEnd"/>
      <w:r w:rsidRPr="00D03905">
        <w:rPr>
          <w:sz w:val="23"/>
          <w:szCs w:val="23"/>
        </w:rPr>
        <w:t xml:space="preserve"> Num. 4, 28 (Horovitz ed., 7, 34). In some witnesses, most importantly Oxford 151, it also occurs in </w:t>
      </w:r>
      <w:proofErr w:type="spellStart"/>
      <w:r w:rsidRPr="00D03905">
        <w:rPr>
          <w:sz w:val="23"/>
          <w:szCs w:val="23"/>
        </w:rPr>
        <w:t>Sifre</w:t>
      </w:r>
      <w:proofErr w:type="spellEnd"/>
      <w:r w:rsidRPr="00D03905">
        <w:rPr>
          <w:sz w:val="23"/>
          <w:szCs w:val="23"/>
        </w:rPr>
        <w:t xml:space="preserve"> Num 23 (Horovitz ed., 26), a pericope whose apparent dependence on an </w:t>
      </w:r>
      <w:proofErr w:type="spellStart"/>
      <w:r w:rsidRPr="00D03905">
        <w:rPr>
          <w:sz w:val="23"/>
          <w:szCs w:val="23"/>
        </w:rPr>
        <w:t>Akivan</w:t>
      </w:r>
      <w:proofErr w:type="spellEnd"/>
      <w:r w:rsidRPr="00D03905">
        <w:rPr>
          <w:sz w:val="23"/>
          <w:szCs w:val="23"/>
        </w:rPr>
        <w:t xml:space="preserve"> parallel we observed in the previous note. But in some reliable witnesses, especially a Genizah fragment (RNL </w:t>
      </w:r>
      <w:proofErr w:type="spellStart"/>
      <w:proofErr w:type="gramStart"/>
      <w:r w:rsidRPr="00D03905">
        <w:rPr>
          <w:sz w:val="23"/>
          <w:szCs w:val="23"/>
        </w:rPr>
        <w:t>Yevr</w:t>
      </w:r>
      <w:proofErr w:type="spellEnd"/>
      <w:r w:rsidRPr="00D03905">
        <w:rPr>
          <w:sz w:val="23"/>
          <w:szCs w:val="23"/>
        </w:rPr>
        <w:t>.-</w:t>
      </w:r>
      <w:proofErr w:type="gramEnd"/>
      <w:r w:rsidRPr="00D03905">
        <w:rPr>
          <w:sz w:val="23"/>
          <w:szCs w:val="23"/>
        </w:rPr>
        <w:t xml:space="preserve">Arab. II A 269), the standard </w:t>
      </w:r>
      <w:proofErr w:type="spellStart"/>
      <w:r w:rsidRPr="00D03905">
        <w:rPr>
          <w:sz w:val="23"/>
          <w:szCs w:val="23"/>
        </w:rPr>
        <w:t>Ishmaelian</w:t>
      </w:r>
      <w:proofErr w:type="spellEnd"/>
      <w:r w:rsidRPr="00D03905">
        <w:rPr>
          <w:sz w:val="23"/>
          <w:szCs w:val="23"/>
        </w:rPr>
        <w:t xml:space="preserve"> terminology occurs instead.</w:t>
      </w:r>
      <w:r w:rsidR="00EA590F">
        <w:rPr>
          <w:sz w:val="23"/>
          <w:szCs w:val="23"/>
        </w:rPr>
        <w:t xml:space="preserve"> </w:t>
      </w:r>
      <w:r w:rsidRPr="00D03905">
        <w:rPr>
          <w:sz w:val="23"/>
          <w:szCs w:val="23"/>
        </w:rPr>
        <w:t xml:space="preserve">See </w:t>
      </w:r>
      <w:proofErr w:type="spellStart"/>
      <w:r w:rsidRPr="00D03905">
        <w:rPr>
          <w:sz w:val="23"/>
          <w:szCs w:val="23"/>
        </w:rPr>
        <w:t>Kahana</w:t>
      </w:r>
      <w:proofErr w:type="spellEnd"/>
      <w:r w:rsidRPr="00D03905">
        <w:rPr>
          <w:sz w:val="23"/>
          <w:szCs w:val="23"/>
        </w:rPr>
        <w:t xml:space="preserve">, </w:t>
      </w:r>
      <w:proofErr w:type="spellStart"/>
      <w:r w:rsidRPr="00D03905">
        <w:rPr>
          <w:i/>
          <w:iCs/>
          <w:sz w:val="23"/>
          <w:szCs w:val="23"/>
        </w:rPr>
        <w:t>Sifre</w:t>
      </w:r>
      <w:proofErr w:type="spellEnd"/>
      <w:r w:rsidRPr="00D03905">
        <w:rPr>
          <w:sz w:val="23"/>
          <w:szCs w:val="23"/>
        </w:rPr>
        <w:t xml:space="preserve">, 1.61. </w:t>
      </w:r>
      <w:proofErr w:type="gramStart"/>
      <w:r w:rsidRPr="00D03905">
        <w:rPr>
          <w:sz w:val="23"/>
          <w:szCs w:val="23"/>
        </w:rPr>
        <w:t>Also</w:t>
      </w:r>
      <w:proofErr w:type="gramEnd"/>
      <w:r w:rsidRPr="00D03905">
        <w:rPr>
          <w:sz w:val="23"/>
          <w:szCs w:val="23"/>
        </w:rPr>
        <w:t xml:space="preserve"> noteworthy, in this connection, is t. Yom Tov 1:7 (Lieberman ed., 2.280-81) = t. </w:t>
      </w:r>
      <w:proofErr w:type="spellStart"/>
      <w:r w:rsidR="009E5737">
        <w:rPr>
          <w:sz w:val="23"/>
          <w:szCs w:val="23"/>
        </w:rPr>
        <w:t>Ḥ</w:t>
      </w:r>
      <w:r w:rsidRPr="00D03905">
        <w:rPr>
          <w:sz w:val="23"/>
          <w:szCs w:val="23"/>
        </w:rPr>
        <w:t>ul</w:t>
      </w:r>
      <w:proofErr w:type="spellEnd"/>
      <w:r w:rsidRPr="00D03905">
        <w:rPr>
          <w:sz w:val="23"/>
          <w:szCs w:val="23"/>
        </w:rPr>
        <w:t>. 6:11 (</w:t>
      </w:r>
      <w:proofErr w:type="spellStart"/>
      <w:r w:rsidRPr="00D03905">
        <w:rPr>
          <w:sz w:val="23"/>
          <w:szCs w:val="23"/>
        </w:rPr>
        <w:t>Zuckermandel</w:t>
      </w:r>
      <w:proofErr w:type="spellEnd"/>
      <w:r w:rsidRPr="00D03905">
        <w:rPr>
          <w:sz w:val="23"/>
          <w:szCs w:val="23"/>
        </w:rPr>
        <w:t xml:space="preserve"> ed., 508). The dialectic therein includes the formula </w:t>
      </w:r>
      <w:r w:rsidRPr="00D03905">
        <w:rPr>
          <w:sz w:val="23"/>
          <w:szCs w:val="23"/>
          <w:rtl/>
        </w:rPr>
        <w:t>הן יוכיחו ל</w:t>
      </w:r>
      <w:r w:rsidRPr="00D03905">
        <w:rPr>
          <w:rFonts w:hint="cs"/>
          <w:sz w:val="23"/>
          <w:szCs w:val="23"/>
          <w:rtl/>
        </w:rPr>
        <w:t>-</w:t>
      </w:r>
      <w:r w:rsidRPr="00D03905">
        <w:rPr>
          <w:sz w:val="23"/>
          <w:szCs w:val="23"/>
        </w:rPr>
        <w:t xml:space="preserve">, which is otherwise, as we will see below, specific to </w:t>
      </w:r>
      <w:proofErr w:type="spellStart"/>
      <w:r w:rsidRPr="00D03905">
        <w:rPr>
          <w:sz w:val="23"/>
          <w:szCs w:val="23"/>
        </w:rPr>
        <w:t>Sifre</w:t>
      </w:r>
      <w:proofErr w:type="spellEnd"/>
      <w:r w:rsidRPr="00D03905">
        <w:rPr>
          <w:sz w:val="23"/>
          <w:szCs w:val="23"/>
        </w:rPr>
        <w:t xml:space="preserve"> Numbers, but it also includes the since-addendum.</w:t>
      </w:r>
    </w:p>
  </w:footnote>
  <w:footnote w:id="15">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w:t>
      </w:r>
      <w:proofErr w:type="spellStart"/>
      <w:r w:rsidRPr="00D03905">
        <w:rPr>
          <w:sz w:val="23"/>
          <w:szCs w:val="23"/>
        </w:rPr>
        <w:t>Mordechay</w:t>
      </w:r>
      <w:proofErr w:type="spellEnd"/>
      <w:r w:rsidRPr="00D03905">
        <w:rPr>
          <w:sz w:val="23"/>
          <w:szCs w:val="23"/>
        </w:rPr>
        <w:t xml:space="preserve"> </w:t>
      </w:r>
      <w:proofErr w:type="spellStart"/>
      <w:r w:rsidRPr="00D03905">
        <w:rPr>
          <w:sz w:val="23"/>
          <w:szCs w:val="23"/>
        </w:rPr>
        <w:t>Mishor</w:t>
      </w:r>
      <w:proofErr w:type="spellEnd"/>
      <w:r w:rsidRPr="00D03905">
        <w:rPr>
          <w:sz w:val="23"/>
          <w:szCs w:val="23"/>
        </w:rPr>
        <w:t xml:space="preserve">, “The Tense System in </w:t>
      </w:r>
      <w:proofErr w:type="spellStart"/>
      <w:r w:rsidRPr="00D03905">
        <w:rPr>
          <w:sz w:val="23"/>
          <w:szCs w:val="23"/>
        </w:rPr>
        <w:t>Tannaitic</w:t>
      </w:r>
      <w:proofErr w:type="spellEnd"/>
      <w:r w:rsidRPr="00D03905">
        <w:rPr>
          <w:sz w:val="23"/>
          <w:szCs w:val="23"/>
        </w:rPr>
        <w:t xml:space="preserve"> Hebrew,” (unpublished PhD; Hebrew University, 1983), 277-79 and </w:t>
      </w:r>
      <w:r w:rsidRPr="00D03905">
        <w:rPr>
          <w:i/>
          <w:iCs/>
          <w:sz w:val="23"/>
          <w:szCs w:val="23"/>
        </w:rPr>
        <w:t>passim</w:t>
      </w:r>
      <w:r w:rsidRPr="00D03905">
        <w:rPr>
          <w:sz w:val="23"/>
          <w:szCs w:val="23"/>
        </w:rPr>
        <w:t xml:space="preserve"> (Heb.). See also </w:t>
      </w:r>
      <w:proofErr w:type="spellStart"/>
      <w:r w:rsidRPr="00D03905">
        <w:rPr>
          <w:sz w:val="23"/>
          <w:szCs w:val="23"/>
        </w:rPr>
        <w:t>Tzvi</w:t>
      </w:r>
      <w:proofErr w:type="spellEnd"/>
      <w:r w:rsidRPr="00D03905">
        <w:rPr>
          <w:sz w:val="23"/>
          <w:szCs w:val="23"/>
        </w:rPr>
        <w:t xml:space="preserve"> Novick, “The ‘For I Say’ Presumption: A Study in Early Rabbinic Legal Rhetoric,” </w:t>
      </w:r>
      <w:r w:rsidRPr="00D03905">
        <w:rPr>
          <w:i/>
          <w:iCs/>
          <w:sz w:val="23"/>
          <w:szCs w:val="23"/>
        </w:rPr>
        <w:t>JJS</w:t>
      </w:r>
      <w:r w:rsidRPr="00D03905">
        <w:rPr>
          <w:sz w:val="23"/>
          <w:szCs w:val="23"/>
        </w:rPr>
        <w:t xml:space="preserve"> 61 (2010), 48-61; </w:t>
      </w:r>
      <w:r w:rsidRPr="00D03905">
        <w:rPr>
          <w:i/>
          <w:iCs/>
          <w:sz w:val="23"/>
          <w:szCs w:val="23"/>
        </w:rPr>
        <w:t>idem</w:t>
      </w:r>
      <w:r w:rsidRPr="00D03905">
        <w:rPr>
          <w:sz w:val="23"/>
          <w:szCs w:val="23"/>
        </w:rPr>
        <w:t xml:space="preserve">, “Crafting Legal Language: Four or Five in the Mishnah and the Tosefta,” </w:t>
      </w:r>
      <w:r w:rsidRPr="00D03905">
        <w:rPr>
          <w:i/>
          <w:iCs/>
          <w:sz w:val="23"/>
          <w:szCs w:val="23"/>
        </w:rPr>
        <w:t>JQR</w:t>
      </w:r>
      <w:r w:rsidRPr="00D03905">
        <w:rPr>
          <w:sz w:val="23"/>
          <w:szCs w:val="23"/>
        </w:rPr>
        <w:t xml:space="preserve"> 98 (2008), 289-304.</w:t>
      </w:r>
    </w:p>
  </w:footnote>
  <w:footnote w:id="16">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addenda occur both in </w:t>
      </w:r>
      <w:proofErr w:type="spellStart"/>
      <w:r w:rsidRPr="00D03905">
        <w:rPr>
          <w:sz w:val="23"/>
          <w:szCs w:val="23"/>
        </w:rPr>
        <w:t>Zuckermandel’s</w:t>
      </w:r>
      <w:proofErr w:type="spellEnd"/>
      <w:r w:rsidRPr="00D03905">
        <w:rPr>
          <w:sz w:val="23"/>
          <w:szCs w:val="23"/>
        </w:rPr>
        <w:t xml:space="preserve"> edition and in </w:t>
      </w:r>
      <w:r w:rsidRPr="00D03905">
        <w:rPr>
          <w:smallCaps/>
          <w:sz w:val="23"/>
          <w:szCs w:val="23"/>
        </w:rPr>
        <w:t xml:space="preserve">ms </w:t>
      </w:r>
      <w:r w:rsidRPr="00D03905">
        <w:rPr>
          <w:sz w:val="23"/>
          <w:szCs w:val="23"/>
        </w:rPr>
        <w:t xml:space="preserve">Vienna. </w:t>
      </w:r>
    </w:p>
  </w:footnote>
  <w:footnote w:id="17">
    <w:p w:rsidR="008C5B42" w:rsidRPr="00D03905" w:rsidRDefault="008C5B42" w:rsidP="009E5737">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Dialectical exchange between named parties about the viability of a </w:t>
      </w:r>
      <w:r w:rsidRPr="00D03905">
        <w:rPr>
          <w:i/>
          <w:iCs/>
          <w:sz w:val="23"/>
          <w:szCs w:val="23"/>
        </w:rPr>
        <w:t>din</w:t>
      </w:r>
      <w:r w:rsidRPr="00D03905">
        <w:rPr>
          <w:sz w:val="23"/>
          <w:szCs w:val="23"/>
        </w:rPr>
        <w:t xml:space="preserve"> frequently occurs without addenda. See, e.g., m. </w:t>
      </w:r>
      <w:proofErr w:type="spellStart"/>
      <w:r w:rsidRPr="00D03905">
        <w:rPr>
          <w:sz w:val="23"/>
          <w:szCs w:val="23"/>
        </w:rPr>
        <w:t>Karet</w:t>
      </w:r>
      <w:proofErr w:type="spellEnd"/>
      <w:r w:rsidRPr="00D03905">
        <w:rPr>
          <w:sz w:val="23"/>
          <w:szCs w:val="23"/>
        </w:rPr>
        <w:t xml:space="preserve">. 3:10; t. </w:t>
      </w:r>
      <w:proofErr w:type="spellStart"/>
      <w:r w:rsidRPr="00D03905">
        <w:rPr>
          <w:sz w:val="23"/>
          <w:szCs w:val="23"/>
        </w:rPr>
        <w:t>Šabb</w:t>
      </w:r>
      <w:proofErr w:type="spellEnd"/>
      <w:r w:rsidRPr="00D03905">
        <w:rPr>
          <w:sz w:val="23"/>
          <w:szCs w:val="23"/>
        </w:rPr>
        <w:t xml:space="preserve">. 15:10. It may prove useful to note other ways in which </w:t>
      </w:r>
      <w:proofErr w:type="spellStart"/>
      <w:r>
        <w:rPr>
          <w:sz w:val="23"/>
          <w:szCs w:val="23"/>
        </w:rPr>
        <w:t>t</w:t>
      </w:r>
      <w:r w:rsidRPr="00D03905">
        <w:rPr>
          <w:sz w:val="23"/>
          <w:szCs w:val="23"/>
        </w:rPr>
        <w:t>annaitic</w:t>
      </w:r>
      <w:proofErr w:type="spellEnd"/>
      <w:r w:rsidRPr="00D03905">
        <w:rPr>
          <w:sz w:val="23"/>
          <w:szCs w:val="23"/>
        </w:rPr>
        <w:t xml:space="preserve"> texts convey surprise in the context of legal debate. One is </w:t>
      </w:r>
      <w:r w:rsidRPr="00D03905">
        <w:rPr>
          <w:sz w:val="23"/>
          <w:szCs w:val="23"/>
          <w:rtl/>
        </w:rPr>
        <w:t>ואיפשר לומר כן</w:t>
      </w:r>
      <w:r w:rsidRPr="00D03905">
        <w:rPr>
          <w:sz w:val="23"/>
          <w:szCs w:val="23"/>
        </w:rPr>
        <w:t>, on which see n. 17 below. Another is “what is this?” (</w:t>
      </w:r>
      <w:r w:rsidRPr="00D03905">
        <w:rPr>
          <w:sz w:val="23"/>
          <w:szCs w:val="23"/>
          <w:rtl/>
        </w:rPr>
        <w:t>מה זה</w:t>
      </w:r>
      <w:r w:rsidRPr="00D03905">
        <w:rPr>
          <w:sz w:val="23"/>
          <w:szCs w:val="23"/>
        </w:rPr>
        <w:t xml:space="preserve">), which is followed, obligatory, by the interlocutor’s proper name. See, e.g., m. </w:t>
      </w:r>
      <w:proofErr w:type="spellStart"/>
      <w:r w:rsidRPr="00D03905">
        <w:rPr>
          <w:sz w:val="23"/>
          <w:szCs w:val="23"/>
        </w:rPr>
        <w:t>Pesa</w:t>
      </w:r>
      <w:r w:rsidR="00EC0155" w:rsidRPr="00EC0155">
        <w:rPr>
          <w:sz w:val="23"/>
          <w:szCs w:val="23"/>
        </w:rPr>
        <w:t>ḥ</w:t>
      </w:r>
      <w:proofErr w:type="spellEnd"/>
      <w:r>
        <w:rPr>
          <w:sz w:val="23"/>
          <w:szCs w:val="23"/>
        </w:rPr>
        <w:t>.</w:t>
      </w:r>
      <w:r w:rsidRPr="00D03905">
        <w:rPr>
          <w:sz w:val="23"/>
          <w:szCs w:val="23"/>
        </w:rPr>
        <w:t xml:space="preserve"> 6:2 (where the wonder-addendum also occurs), and especially t. B. </w:t>
      </w:r>
      <w:proofErr w:type="spellStart"/>
      <w:r w:rsidRPr="00D03905">
        <w:rPr>
          <w:sz w:val="23"/>
          <w:szCs w:val="23"/>
        </w:rPr>
        <w:t>Qamma</w:t>
      </w:r>
      <w:proofErr w:type="spellEnd"/>
      <w:r w:rsidRPr="00D03905">
        <w:rPr>
          <w:sz w:val="23"/>
          <w:szCs w:val="23"/>
        </w:rPr>
        <w:t xml:space="preserve"> 7:16 (Lieberman ed., 4.32), where a parable involving unnamed characters uses the expression, and introduces </w:t>
      </w:r>
      <w:r w:rsidRPr="00D03905">
        <w:rPr>
          <w:sz w:val="23"/>
          <w:szCs w:val="23"/>
          <w:rtl/>
        </w:rPr>
        <w:t>פל</w:t>
      </w:r>
      <w:r w:rsidRPr="00D03905">
        <w:rPr>
          <w:rFonts w:hint="cs"/>
          <w:sz w:val="23"/>
          <w:szCs w:val="23"/>
          <w:rtl/>
        </w:rPr>
        <w:t>'</w:t>
      </w:r>
      <w:r w:rsidRPr="00D03905">
        <w:rPr>
          <w:sz w:val="23"/>
          <w:szCs w:val="23"/>
        </w:rPr>
        <w:t xml:space="preserve"> (</w:t>
      </w:r>
      <w:r w:rsidRPr="00D03905">
        <w:rPr>
          <w:smallCaps/>
          <w:sz w:val="23"/>
          <w:szCs w:val="23"/>
        </w:rPr>
        <w:t xml:space="preserve">ms </w:t>
      </w:r>
      <w:r w:rsidRPr="00D03905">
        <w:rPr>
          <w:sz w:val="23"/>
          <w:szCs w:val="23"/>
        </w:rPr>
        <w:t xml:space="preserve">Vienna) = </w:t>
      </w:r>
      <w:r w:rsidRPr="00D03905">
        <w:rPr>
          <w:sz w:val="23"/>
          <w:szCs w:val="23"/>
          <w:rtl/>
        </w:rPr>
        <w:t>פלוני</w:t>
      </w:r>
      <w:r w:rsidRPr="00D03905">
        <w:rPr>
          <w:sz w:val="23"/>
          <w:szCs w:val="23"/>
          <w:cs/>
        </w:rPr>
        <w:t xml:space="preserve"> </w:t>
      </w:r>
      <w:r w:rsidRPr="00D03905">
        <w:rPr>
          <w:sz w:val="23"/>
          <w:szCs w:val="23"/>
        </w:rPr>
        <w:t xml:space="preserve">(“so and so”) in place of the expected proper name. In t. </w:t>
      </w:r>
      <w:proofErr w:type="spellStart"/>
      <w:r w:rsidR="009E5737">
        <w:rPr>
          <w:sz w:val="23"/>
          <w:szCs w:val="23"/>
        </w:rPr>
        <w:t>Ḥ</w:t>
      </w:r>
      <w:r w:rsidRPr="00D03905">
        <w:rPr>
          <w:sz w:val="23"/>
          <w:szCs w:val="23"/>
        </w:rPr>
        <w:t>ag</w:t>
      </w:r>
      <w:proofErr w:type="spellEnd"/>
      <w:r w:rsidRPr="00D03905">
        <w:rPr>
          <w:sz w:val="23"/>
          <w:szCs w:val="23"/>
        </w:rPr>
        <w:t xml:space="preserve">. 2:12 (Lieberman ed., 2:386; but see </w:t>
      </w:r>
      <w:r w:rsidRPr="00D03905">
        <w:rPr>
          <w:smallCaps/>
          <w:sz w:val="23"/>
          <w:szCs w:val="23"/>
        </w:rPr>
        <w:t xml:space="preserve">ms </w:t>
      </w:r>
      <w:r w:rsidRPr="00D03905">
        <w:rPr>
          <w:sz w:val="23"/>
          <w:szCs w:val="23"/>
        </w:rPr>
        <w:t xml:space="preserve">London), where the protagonist is likewise anonymous, the text adverts to a different usage of the expression, one that recollects the biblical usage (e.g., Gen 27:20; 2 Kgs 1:5). A third expression that conveys surprise in the context of legal debate, an expression that is, ironically, unconnected to the wonder-addendum, but seems likewise to be native to the school of R. </w:t>
      </w:r>
      <w:proofErr w:type="spellStart"/>
      <w:r w:rsidRPr="00D03905">
        <w:rPr>
          <w:sz w:val="23"/>
          <w:szCs w:val="23"/>
        </w:rPr>
        <w:t>Akiva</w:t>
      </w:r>
      <w:proofErr w:type="spellEnd"/>
      <w:r w:rsidRPr="00D03905">
        <w:rPr>
          <w:sz w:val="23"/>
          <w:szCs w:val="23"/>
        </w:rPr>
        <w:t>, is: “I wonder” (</w:t>
      </w:r>
      <w:r w:rsidRPr="00D03905">
        <w:rPr>
          <w:sz w:val="23"/>
          <w:szCs w:val="23"/>
          <w:rtl/>
        </w:rPr>
        <w:t>תמיה אני</w:t>
      </w:r>
      <w:r w:rsidRPr="00D03905">
        <w:rPr>
          <w:sz w:val="23"/>
          <w:szCs w:val="23"/>
          <w:cs/>
        </w:rPr>
        <w:t xml:space="preserve"> </w:t>
      </w:r>
      <w:r w:rsidRPr="00D03905">
        <w:rPr>
          <w:sz w:val="23"/>
          <w:szCs w:val="23"/>
        </w:rPr>
        <w:t xml:space="preserve">or </w:t>
      </w:r>
      <w:r w:rsidRPr="00D03905">
        <w:rPr>
          <w:sz w:val="23"/>
          <w:szCs w:val="23"/>
          <w:rtl/>
        </w:rPr>
        <w:t>תמיהני</w:t>
      </w:r>
      <w:r w:rsidRPr="00D03905">
        <w:rPr>
          <w:sz w:val="23"/>
          <w:szCs w:val="23"/>
        </w:rPr>
        <w:t xml:space="preserve">). See, e.g., m. B. </w:t>
      </w:r>
      <w:proofErr w:type="spellStart"/>
      <w:proofErr w:type="gramStart"/>
      <w:r w:rsidRPr="00D03905">
        <w:rPr>
          <w:sz w:val="23"/>
          <w:szCs w:val="23"/>
        </w:rPr>
        <w:t>Me</w:t>
      </w:r>
      <w:r w:rsidR="009E5737">
        <w:rPr>
          <w:sz w:val="23"/>
          <w:szCs w:val="23"/>
        </w:rPr>
        <w:t>ṣ</w:t>
      </w:r>
      <w:r w:rsidRPr="00D03905">
        <w:rPr>
          <w:sz w:val="23"/>
          <w:szCs w:val="23"/>
        </w:rPr>
        <w:t>i‘</w:t>
      </w:r>
      <w:proofErr w:type="gramEnd"/>
      <w:r w:rsidRPr="00D03905">
        <w:rPr>
          <w:sz w:val="23"/>
          <w:szCs w:val="23"/>
        </w:rPr>
        <w:t>a</w:t>
      </w:r>
      <w:proofErr w:type="spellEnd"/>
      <w:r w:rsidRPr="00D03905">
        <w:rPr>
          <w:sz w:val="23"/>
          <w:szCs w:val="23"/>
        </w:rPr>
        <w:t xml:space="preserve"> 6:8; m. </w:t>
      </w:r>
      <w:proofErr w:type="spellStart"/>
      <w:r w:rsidRPr="00D03905">
        <w:rPr>
          <w:sz w:val="23"/>
          <w:szCs w:val="23"/>
        </w:rPr>
        <w:t>Karet</w:t>
      </w:r>
      <w:proofErr w:type="spellEnd"/>
      <w:r w:rsidRPr="00D03905">
        <w:rPr>
          <w:sz w:val="23"/>
          <w:szCs w:val="23"/>
        </w:rPr>
        <w:t xml:space="preserve">. 4:3; m. </w:t>
      </w:r>
      <w:proofErr w:type="spellStart"/>
      <w:r w:rsidRPr="00D03905">
        <w:rPr>
          <w:sz w:val="23"/>
          <w:szCs w:val="23"/>
        </w:rPr>
        <w:t>Makš</w:t>
      </w:r>
      <w:proofErr w:type="spellEnd"/>
      <w:r w:rsidRPr="00D03905">
        <w:rPr>
          <w:sz w:val="23"/>
          <w:szCs w:val="23"/>
        </w:rPr>
        <w:t xml:space="preserve">. 4:3;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Šera</w:t>
      </w:r>
      <w:r w:rsidR="009E5737" w:rsidRPr="009E5737">
        <w:rPr>
          <w:i/>
          <w:iCs/>
          <w:sz w:val="23"/>
          <w:szCs w:val="23"/>
        </w:rPr>
        <w:t>ṣ</w:t>
      </w:r>
      <w:r w:rsidRPr="00D03905">
        <w:rPr>
          <w:i/>
          <w:iCs/>
          <w:sz w:val="23"/>
          <w:szCs w:val="23"/>
        </w:rPr>
        <w:t>im</w:t>
      </w:r>
      <w:proofErr w:type="spellEnd"/>
      <w:r w:rsidRPr="00D03905">
        <w:rPr>
          <w:i/>
          <w:iCs/>
          <w:sz w:val="23"/>
          <w:szCs w:val="23"/>
        </w:rPr>
        <w:t xml:space="preserve"> </w:t>
      </w:r>
      <w:r w:rsidRPr="00D03905">
        <w:rPr>
          <w:sz w:val="23"/>
          <w:szCs w:val="23"/>
        </w:rPr>
        <w:t xml:space="preserve">7:1 (Weiss ed., 54b); </w:t>
      </w:r>
      <w:proofErr w:type="spellStart"/>
      <w:r w:rsidRPr="00D03905">
        <w:rPr>
          <w:sz w:val="23"/>
          <w:szCs w:val="23"/>
        </w:rPr>
        <w:t>Sifre</w:t>
      </w:r>
      <w:proofErr w:type="spellEnd"/>
      <w:r w:rsidRPr="00D03905">
        <w:rPr>
          <w:sz w:val="23"/>
          <w:szCs w:val="23"/>
        </w:rPr>
        <w:t xml:space="preserve"> </w:t>
      </w:r>
      <w:proofErr w:type="spellStart"/>
      <w:r w:rsidRPr="00D03905">
        <w:rPr>
          <w:sz w:val="23"/>
          <w:szCs w:val="23"/>
        </w:rPr>
        <w:t>Zuta</w:t>
      </w:r>
      <w:proofErr w:type="spellEnd"/>
      <w:r w:rsidRPr="00D03905">
        <w:rPr>
          <w:sz w:val="23"/>
          <w:szCs w:val="23"/>
        </w:rPr>
        <w:t xml:space="preserve"> Num. </w:t>
      </w:r>
      <w:r w:rsidRPr="00D03905">
        <w:rPr>
          <w:i/>
          <w:iCs/>
          <w:sz w:val="23"/>
          <w:szCs w:val="23"/>
        </w:rPr>
        <w:t xml:space="preserve">ad </w:t>
      </w:r>
      <w:r w:rsidRPr="00D03905">
        <w:rPr>
          <w:sz w:val="23"/>
          <w:szCs w:val="23"/>
        </w:rPr>
        <w:t>Num 19:3 (Horovitz ed., 302). Finally, surprise can also be conveyed by having students interchange glances (</w:t>
      </w:r>
      <w:r w:rsidRPr="00D03905">
        <w:rPr>
          <w:sz w:val="23"/>
          <w:szCs w:val="23"/>
          <w:rtl/>
        </w:rPr>
        <w:t>מסתכלין זה בזה</w:t>
      </w:r>
      <w:r w:rsidRPr="00D03905">
        <w:rPr>
          <w:sz w:val="23"/>
          <w:szCs w:val="23"/>
        </w:rPr>
        <w:t>) upon hearing their master’s assertion.</w:t>
      </w:r>
      <w:r w:rsidR="00EA590F">
        <w:rPr>
          <w:sz w:val="23"/>
          <w:szCs w:val="23"/>
        </w:rPr>
        <w:t xml:space="preserve"> </w:t>
      </w:r>
      <w:r w:rsidRPr="00D03905">
        <w:rPr>
          <w:sz w:val="23"/>
          <w:szCs w:val="23"/>
        </w:rPr>
        <w:t xml:space="preserve">See m. </w:t>
      </w:r>
      <w:proofErr w:type="spellStart"/>
      <w:r w:rsidRPr="00D03905">
        <w:rPr>
          <w:sz w:val="23"/>
          <w:szCs w:val="23"/>
        </w:rPr>
        <w:t>Nid</w:t>
      </w:r>
      <w:proofErr w:type="spellEnd"/>
      <w:r w:rsidRPr="00D03905">
        <w:rPr>
          <w:sz w:val="23"/>
          <w:szCs w:val="23"/>
        </w:rPr>
        <w:t xml:space="preserve">. 8:3; b. </w:t>
      </w:r>
      <w:proofErr w:type="spellStart"/>
      <w:r w:rsidR="009E5737">
        <w:rPr>
          <w:sz w:val="23"/>
          <w:szCs w:val="23"/>
        </w:rPr>
        <w:t>Ḥ</w:t>
      </w:r>
      <w:r w:rsidRPr="00D03905">
        <w:rPr>
          <w:sz w:val="23"/>
          <w:szCs w:val="23"/>
        </w:rPr>
        <w:t>ul</w:t>
      </w:r>
      <w:proofErr w:type="spellEnd"/>
      <w:r w:rsidRPr="00D03905">
        <w:rPr>
          <w:sz w:val="23"/>
          <w:szCs w:val="23"/>
        </w:rPr>
        <w:t xml:space="preserve">. 27b. The connection between interchange of glances and the root </w:t>
      </w:r>
      <w:r w:rsidRPr="00D03905">
        <w:rPr>
          <w:sz w:val="23"/>
          <w:szCs w:val="23"/>
          <w:rtl/>
        </w:rPr>
        <w:t>תמה</w:t>
      </w:r>
      <w:r w:rsidRPr="00D03905">
        <w:rPr>
          <w:sz w:val="23"/>
          <w:szCs w:val="23"/>
          <w:cs/>
        </w:rPr>
        <w:t xml:space="preserve"> </w:t>
      </w:r>
      <w:r w:rsidRPr="00D03905">
        <w:rPr>
          <w:sz w:val="23"/>
          <w:szCs w:val="23"/>
        </w:rPr>
        <w:t>is clear from, e.g., Gen 43:33 (</w:t>
      </w:r>
      <w:r w:rsidRPr="00D03905">
        <w:rPr>
          <w:sz w:val="23"/>
          <w:szCs w:val="23"/>
          <w:rtl/>
        </w:rPr>
        <w:t>ויתמהו האנשים איש אל רעהו</w:t>
      </w:r>
      <w:r w:rsidRPr="00D03905">
        <w:rPr>
          <w:sz w:val="23"/>
          <w:szCs w:val="23"/>
        </w:rPr>
        <w:t>); Isa 13:8 (</w:t>
      </w:r>
      <w:r w:rsidRPr="00D03905">
        <w:rPr>
          <w:sz w:val="23"/>
          <w:szCs w:val="23"/>
          <w:rtl/>
        </w:rPr>
        <w:t>איש אל רעהו יתמהו</w:t>
      </w:r>
      <w:r w:rsidRPr="00D03905">
        <w:rPr>
          <w:sz w:val="23"/>
          <w:szCs w:val="23"/>
        </w:rPr>
        <w:t xml:space="preserve">); Pseudo-Jonathan </w:t>
      </w:r>
      <w:r w:rsidRPr="00D03905">
        <w:rPr>
          <w:i/>
          <w:iCs/>
          <w:sz w:val="23"/>
          <w:szCs w:val="23"/>
        </w:rPr>
        <w:t>ad</w:t>
      </w:r>
      <w:r w:rsidRPr="00D03905">
        <w:rPr>
          <w:sz w:val="23"/>
          <w:szCs w:val="23"/>
        </w:rPr>
        <w:t xml:space="preserve"> Ex 16:15 (</w:t>
      </w:r>
      <w:r w:rsidRPr="00D03905">
        <w:rPr>
          <w:sz w:val="23"/>
          <w:szCs w:val="23"/>
          <w:rtl/>
        </w:rPr>
        <w:t>והוון תמהין ואמרין אינש לחבריה</w:t>
      </w:r>
      <w:r w:rsidRPr="00D03905">
        <w:rPr>
          <w:sz w:val="23"/>
          <w:szCs w:val="23"/>
        </w:rPr>
        <w:t>).</w:t>
      </w:r>
    </w:p>
  </w:footnote>
  <w:footnote w:id="18">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On free indirect discourse see, e.g., </w:t>
      </w:r>
      <w:proofErr w:type="spellStart"/>
      <w:r w:rsidRPr="00D03905">
        <w:rPr>
          <w:sz w:val="23"/>
          <w:szCs w:val="23"/>
        </w:rPr>
        <w:t>Mieke</w:t>
      </w:r>
      <w:proofErr w:type="spellEnd"/>
      <w:r w:rsidRPr="00D03905">
        <w:rPr>
          <w:sz w:val="23"/>
          <w:szCs w:val="23"/>
        </w:rPr>
        <w:t xml:space="preserve"> Bal, </w:t>
      </w:r>
      <w:r w:rsidRPr="00D03905">
        <w:rPr>
          <w:i/>
          <w:iCs/>
          <w:sz w:val="23"/>
          <w:szCs w:val="23"/>
        </w:rPr>
        <w:t>Narratology</w:t>
      </w:r>
      <w:r w:rsidRPr="00D03905">
        <w:rPr>
          <w:sz w:val="23"/>
          <w:szCs w:val="23"/>
        </w:rPr>
        <w:t xml:space="preserve"> (2</w:t>
      </w:r>
      <w:r w:rsidRPr="00D03905">
        <w:rPr>
          <w:sz w:val="23"/>
          <w:szCs w:val="23"/>
          <w:vertAlign w:val="superscript"/>
        </w:rPr>
        <w:t>nd</w:t>
      </w:r>
      <w:r w:rsidRPr="00D03905">
        <w:rPr>
          <w:sz w:val="23"/>
          <w:szCs w:val="23"/>
        </w:rPr>
        <w:t xml:space="preserve"> ed.; Toronto: University of Toronto Press, 1997), 16-52, 142-49.</w:t>
      </w:r>
    </w:p>
  </w:footnote>
  <w:footnote w:id="19">
    <w:p w:rsidR="008C5B42" w:rsidRPr="00D03905" w:rsidRDefault="008C5B42" w:rsidP="009E5737">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This rhetorical question is typically employed, e.g., in </w:t>
      </w:r>
      <w:proofErr w:type="spellStart"/>
      <w:r w:rsidRPr="00D03905">
        <w:rPr>
          <w:sz w:val="23"/>
          <w:szCs w:val="23"/>
        </w:rPr>
        <w:t>Mek</w:t>
      </w:r>
      <w:proofErr w:type="spellEnd"/>
      <w:r w:rsidRPr="00D03905">
        <w:rPr>
          <w:sz w:val="23"/>
          <w:szCs w:val="23"/>
        </w:rPr>
        <w:t xml:space="preserve">. R. Ishmael and in Seder Olam, in </w:t>
      </w:r>
      <w:proofErr w:type="spellStart"/>
      <w:r w:rsidRPr="00D03905">
        <w:rPr>
          <w:sz w:val="23"/>
          <w:szCs w:val="23"/>
        </w:rPr>
        <w:t>aggadic</w:t>
      </w:r>
      <w:proofErr w:type="spellEnd"/>
      <w:r w:rsidRPr="00D03905">
        <w:rPr>
          <w:sz w:val="23"/>
          <w:szCs w:val="23"/>
        </w:rPr>
        <w:t xml:space="preserve"> contexts, to reject the plain sense of a verse. In only three instances in classical rabbinic literature does it occur </w:t>
      </w:r>
      <w:proofErr w:type="gramStart"/>
      <w:r w:rsidRPr="00D03905">
        <w:rPr>
          <w:sz w:val="23"/>
          <w:szCs w:val="23"/>
        </w:rPr>
        <w:t>in connection with</w:t>
      </w:r>
      <w:proofErr w:type="gramEnd"/>
      <w:r w:rsidRPr="00D03905">
        <w:rPr>
          <w:sz w:val="23"/>
          <w:szCs w:val="23"/>
        </w:rPr>
        <w:t xml:space="preserve"> halakhic material: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Nedava</w:t>
      </w:r>
      <w:proofErr w:type="spellEnd"/>
      <w:r w:rsidRPr="00D03905">
        <w:rPr>
          <w:sz w:val="23"/>
          <w:szCs w:val="23"/>
        </w:rPr>
        <w:t xml:space="preserve"> 8:1 (Weiss ed., 9a); </w:t>
      </w:r>
      <w:proofErr w:type="spellStart"/>
      <w:r w:rsidRPr="00D03905">
        <w:rPr>
          <w:rFonts w:cs="Arial"/>
          <w:sz w:val="23"/>
          <w:szCs w:val="23"/>
        </w:rPr>
        <w:t>Sifra</w:t>
      </w:r>
      <w:proofErr w:type="spellEnd"/>
      <w:r w:rsidRPr="00D03905">
        <w:rPr>
          <w:rFonts w:cs="Arial"/>
          <w:sz w:val="23"/>
          <w:szCs w:val="23"/>
        </w:rPr>
        <w:t xml:space="preserve"> </w:t>
      </w:r>
      <w:proofErr w:type="spellStart"/>
      <w:r w:rsidR="009E5737" w:rsidRPr="009E5737">
        <w:rPr>
          <w:i/>
          <w:iCs/>
          <w:sz w:val="23"/>
          <w:szCs w:val="23"/>
        </w:rPr>
        <w:t>Ṣ</w:t>
      </w:r>
      <w:r w:rsidRPr="00D03905">
        <w:rPr>
          <w:rFonts w:cs="Arial"/>
          <w:i/>
          <w:iCs/>
          <w:sz w:val="23"/>
          <w:szCs w:val="23"/>
        </w:rPr>
        <w:t>av</w:t>
      </w:r>
      <w:proofErr w:type="spellEnd"/>
      <w:r w:rsidRPr="00D03905">
        <w:rPr>
          <w:rFonts w:cs="Arial"/>
          <w:sz w:val="23"/>
          <w:szCs w:val="23"/>
        </w:rPr>
        <w:t xml:space="preserve"> 8:1 (Weiss ed., 36a); and b. </w:t>
      </w:r>
      <w:proofErr w:type="spellStart"/>
      <w:r w:rsidRPr="00D03905">
        <w:rPr>
          <w:rFonts w:cs="Arial"/>
          <w:sz w:val="23"/>
          <w:szCs w:val="23"/>
        </w:rPr>
        <w:t>Pesa</w:t>
      </w:r>
      <w:r w:rsidR="00EC0155" w:rsidRPr="00EC0155">
        <w:rPr>
          <w:rFonts w:cs="Arial"/>
          <w:sz w:val="23"/>
          <w:szCs w:val="23"/>
        </w:rPr>
        <w:t>ḥ</w:t>
      </w:r>
      <w:proofErr w:type="spellEnd"/>
      <w:r w:rsidRPr="00D03905">
        <w:rPr>
          <w:rFonts w:cs="Arial"/>
          <w:sz w:val="23"/>
          <w:szCs w:val="23"/>
        </w:rPr>
        <w:t xml:space="preserve">. 28b. In the second of these three cases, the speaker is the anonymous </w:t>
      </w:r>
      <w:proofErr w:type="spellStart"/>
      <w:r w:rsidRPr="00D03905">
        <w:rPr>
          <w:rFonts w:cs="Arial"/>
          <w:sz w:val="23"/>
          <w:szCs w:val="23"/>
        </w:rPr>
        <w:t>Sifra</w:t>
      </w:r>
      <w:proofErr w:type="spellEnd"/>
      <w:r w:rsidRPr="00D03905">
        <w:rPr>
          <w:rFonts w:cs="Arial"/>
          <w:sz w:val="23"/>
          <w:szCs w:val="23"/>
        </w:rPr>
        <w:t xml:space="preserve">. In the first case, the question appears to come from the mouth of R. </w:t>
      </w:r>
      <w:proofErr w:type="spellStart"/>
      <w:r w:rsidRPr="00D03905">
        <w:rPr>
          <w:rFonts w:cs="Arial"/>
          <w:sz w:val="23"/>
          <w:szCs w:val="23"/>
        </w:rPr>
        <w:t>Akiva</w:t>
      </w:r>
      <w:proofErr w:type="spellEnd"/>
      <w:r w:rsidRPr="00D03905">
        <w:rPr>
          <w:rFonts w:cs="Arial"/>
          <w:sz w:val="23"/>
          <w:szCs w:val="23"/>
        </w:rPr>
        <w:t xml:space="preserve">, but </w:t>
      </w:r>
      <w:proofErr w:type="spellStart"/>
      <w:r w:rsidRPr="00D03905">
        <w:rPr>
          <w:rFonts w:cs="Arial"/>
          <w:sz w:val="23"/>
          <w:szCs w:val="23"/>
        </w:rPr>
        <w:t>Sagiv</w:t>
      </w:r>
      <w:proofErr w:type="spellEnd"/>
      <w:r w:rsidRPr="00D03905">
        <w:rPr>
          <w:rFonts w:cs="Arial"/>
          <w:sz w:val="23"/>
          <w:szCs w:val="23"/>
        </w:rPr>
        <w:t xml:space="preserve"> (“Studies,” 94-104) has argued persuasively that it in fact represents an editorial addition. The third case, as </w:t>
      </w:r>
      <w:proofErr w:type="spellStart"/>
      <w:r w:rsidRPr="00D03905">
        <w:rPr>
          <w:rFonts w:cs="Arial"/>
          <w:sz w:val="23"/>
          <w:szCs w:val="23"/>
        </w:rPr>
        <w:t>Sagiv</w:t>
      </w:r>
      <w:proofErr w:type="spellEnd"/>
      <w:r w:rsidRPr="00D03905">
        <w:rPr>
          <w:rFonts w:cs="Arial"/>
          <w:sz w:val="23"/>
          <w:szCs w:val="23"/>
        </w:rPr>
        <w:t xml:space="preserve"> notes (</w:t>
      </w:r>
      <w:r w:rsidRPr="00D03905">
        <w:rPr>
          <w:rFonts w:cs="Arial"/>
          <w:i/>
          <w:iCs/>
          <w:sz w:val="23"/>
          <w:szCs w:val="23"/>
        </w:rPr>
        <w:t>ibid.</w:t>
      </w:r>
      <w:r w:rsidRPr="00D03905">
        <w:rPr>
          <w:rFonts w:cs="Arial"/>
          <w:sz w:val="23"/>
          <w:szCs w:val="23"/>
        </w:rPr>
        <w:t xml:space="preserve">, 96 n. 46), rewrites </w:t>
      </w:r>
      <w:proofErr w:type="spellStart"/>
      <w:r w:rsidRPr="00D03905">
        <w:rPr>
          <w:rFonts w:cs="Arial"/>
          <w:sz w:val="23"/>
          <w:szCs w:val="23"/>
        </w:rPr>
        <w:t>Sifre</w:t>
      </w:r>
      <w:proofErr w:type="spellEnd"/>
      <w:r w:rsidRPr="00D03905">
        <w:rPr>
          <w:rFonts w:cs="Arial"/>
          <w:sz w:val="23"/>
          <w:szCs w:val="23"/>
        </w:rPr>
        <w:t xml:space="preserve"> Deut. 130 (Finkelstein ed., 187), where the rhetorical question does not occur. One wonders whether the addition comes from the Bavli itself (as also, perhaps, in the other case flagged by </w:t>
      </w:r>
      <w:proofErr w:type="spellStart"/>
      <w:r w:rsidRPr="00D03905">
        <w:rPr>
          <w:rFonts w:cs="Arial"/>
          <w:sz w:val="23"/>
          <w:szCs w:val="23"/>
        </w:rPr>
        <w:t>Sagiv</w:t>
      </w:r>
      <w:proofErr w:type="spellEnd"/>
      <w:r w:rsidRPr="00D03905">
        <w:rPr>
          <w:rFonts w:cs="Arial"/>
          <w:sz w:val="23"/>
          <w:szCs w:val="23"/>
        </w:rPr>
        <w:t xml:space="preserve"> in the same footnote), or whether the Bavli instead received a version of </w:t>
      </w:r>
      <w:proofErr w:type="spellStart"/>
      <w:r w:rsidRPr="00D03905">
        <w:rPr>
          <w:rFonts w:cs="Arial"/>
          <w:sz w:val="23"/>
          <w:szCs w:val="23"/>
        </w:rPr>
        <w:t>Sifre</w:t>
      </w:r>
      <w:proofErr w:type="spellEnd"/>
      <w:r w:rsidRPr="00D03905">
        <w:rPr>
          <w:rFonts w:cs="Arial"/>
          <w:sz w:val="23"/>
          <w:szCs w:val="23"/>
        </w:rPr>
        <w:t xml:space="preserve"> Deut. 130 revised by an </w:t>
      </w:r>
      <w:proofErr w:type="spellStart"/>
      <w:r w:rsidRPr="00D03905">
        <w:rPr>
          <w:rFonts w:cs="Arial"/>
          <w:sz w:val="23"/>
          <w:szCs w:val="23"/>
        </w:rPr>
        <w:t>Akivan</w:t>
      </w:r>
      <w:proofErr w:type="spellEnd"/>
      <w:r w:rsidRPr="00D03905">
        <w:rPr>
          <w:rFonts w:cs="Arial"/>
          <w:sz w:val="23"/>
          <w:szCs w:val="23"/>
        </w:rPr>
        <w:t xml:space="preserve"> editor in a manner analogous to that attested in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Nedava</w:t>
      </w:r>
      <w:proofErr w:type="spellEnd"/>
      <w:r w:rsidRPr="00D03905">
        <w:rPr>
          <w:sz w:val="23"/>
          <w:szCs w:val="23"/>
        </w:rPr>
        <w:t xml:space="preserve"> 8:1. Note in any case that in the parallel to </w:t>
      </w:r>
      <w:proofErr w:type="spellStart"/>
      <w:r w:rsidRPr="00D03905">
        <w:rPr>
          <w:sz w:val="23"/>
          <w:szCs w:val="23"/>
        </w:rPr>
        <w:t>Sifra</w:t>
      </w:r>
      <w:proofErr w:type="spellEnd"/>
      <w:r w:rsidRPr="00D03905">
        <w:rPr>
          <w:sz w:val="23"/>
          <w:szCs w:val="23"/>
        </w:rPr>
        <w:t xml:space="preserve"> </w:t>
      </w:r>
      <w:proofErr w:type="spellStart"/>
      <w:r w:rsidRPr="00D03905">
        <w:rPr>
          <w:i/>
          <w:iCs/>
          <w:sz w:val="23"/>
          <w:szCs w:val="23"/>
        </w:rPr>
        <w:t>Nedava</w:t>
      </w:r>
      <w:proofErr w:type="spellEnd"/>
      <w:r w:rsidRPr="00D03905">
        <w:rPr>
          <w:sz w:val="23"/>
          <w:szCs w:val="23"/>
        </w:rPr>
        <w:t xml:space="preserve"> 8:1 in the Bavli (b. </w:t>
      </w:r>
      <w:proofErr w:type="spellStart"/>
      <w:r w:rsidRPr="00D03905">
        <w:rPr>
          <w:sz w:val="23"/>
          <w:szCs w:val="23"/>
        </w:rPr>
        <w:t>Zeba</w:t>
      </w:r>
      <w:r w:rsidR="00EC0155" w:rsidRPr="00EC0155">
        <w:rPr>
          <w:sz w:val="23"/>
          <w:szCs w:val="23"/>
        </w:rPr>
        <w:t>ḥ</w:t>
      </w:r>
      <w:proofErr w:type="spellEnd"/>
      <w:r w:rsidRPr="00D03905">
        <w:rPr>
          <w:sz w:val="23"/>
          <w:szCs w:val="23"/>
        </w:rPr>
        <w:t xml:space="preserve">. 29a), the rhetorical question is absent, but the wonder-addendum appears. For a philosophical treatment of the passage see Shalom Rosenberg, “The Future: Foreknowledge and Free Will,” in </w:t>
      </w:r>
      <w:r w:rsidRPr="00D03905">
        <w:rPr>
          <w:i/>
          <w:iCs/>
          <w:sz w:val="23"/>
          <w:szCs w:val="23"/>
        </w:rPr>
        <w:t xml:space="preserve">Studies in Talmudic and Midrashic Literature: In Memory of Tirzah Lifshitz </w:t>
      </w:r>
      <w:r w:rsidRPr="00D03905">
        <w:rPr>
          <w:sz w:val="23"/>
          <w:szCs w:val="23"/>
        </w:rPr>
        <w:t xml:space="preserve">(ed. M. Bar-Asher et al.; Jerusalem: </w:t>
      </w:r>
      <w:proofErr w:type="spellStart"/>
      <w:r w:rsidRPr="00D03905">
        <w:rPr>
          <w:sz w:val="23"/>
          <w:szCs w:val="23"/>
        </w:rPr>
        <w:t>Bialik</w:t>
      </w:r>
      <w:proofErr w:type="spellEnd"/>
      <w:r w:rsidRPr="00D03905">
        <w:rPr>
          <w:sz w:val="23"/>
          <w:szCs w:val="23"/>
        </w:rPr>
        <w:t xml:space="preserve"> Institute, 2005), 553-54 (Heb.).</w:t>
      </w:r>
    </w:p>
  </w:footnote>
  <w:footnote w:id="20">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text for this and all other quotations of </w:t>
      </w:r>
      <w:proofErr w:type="spellStart"/>
      <w:r w:rsidRPr="00D03905">
        <w:rPr>
          <w:sz w:val="23"/>
          <w:szCs w:val="23"/>
        </w:rPr>
        <w:t>Sifre</w:t>
      </w:r>
      <w:proofErr w:type="spellEnd"/>
      <w:r w:rsidRPr="00D03905">
        <w:rPr>
          <w:sz w:val="23"/>
          <w:szCs w:val="23"/>
        </w:rPr>
        <w:t xml:space="preserve"> Numbers comes from </w:t>
      </w:r>
      <w:r w:rsidRPr="00D03905">
        <w:rPr>
          <w:smallCaps/>
          <w:sz w:val="23"/>
          <w:szCs w:val="23"/>
        </w:rPr>
        <w:t>ms</w:t>
      </w:r>
      <w:r w:rsidRPr="00D03905">
        <w:rPr>
          <w:sz w:val="23"/>
          <w:szCs w:val="23"/>
        </w:rPr>
        <w:t xml:space="preserve"> Vatican 32.</w:t>
      </w:r>
    </w:p>
  </w:footnote>
  <w:footnote w:id="21">
    <w:p w:rsidR="008C5B42" w:rsidRPr="00D03905" w:rsidRDefault="008C5B42" w:rsidP="00025B3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meaning of “preparation in purity” and “preparation in defilement” is unclear. Horovitz (</w:t>
      </w:r>
      <w:r w:rsidRPr="00D03905">
        <w:rPr>
          <w:i/>
          <w:iCs/>
          <w:sz w:val="23"/>
          <w:szCs w:val="23"/>
        </w:rPr>
        <w:t>ad loc.</w:t>
      </w:r>
      <w:r w:rsidRPr="00D03905">
        <w:rPr>
          <w:sz w:val="23"/>
          <w:szCs w:val="23"/>
        </w:rPr>
        <w:t>)</w:t>
      </w:r>
      <w:r w:rsidRPr="00D03905">
        <w:rPr>
          <w:i/>
          <w:iCs/>
          <w:sz w:val="23"/>
          <w:szCs w:val="23"/>
        </w:rPr>
        <w:t xml:space="preserve"> </w:t>
      </w:r>
      <w:r w:rsidRPr="00D03905">
        <w:rPr>
          <w:sz w:val="23"/>
          <w:szCs w:val="23"/>
        </w:rPr>
        <w:t xml:space="preserve">suggests that the text refers to the fact that the red heifer may be prepared by a </w:t>
      </w:r>
      <w:proofErr w:type="spellStart"/>
      <w:r w:rsidR="00025B32" w:rsidRPr="00025B32">
        <w:rPr>
          <w:i/>
          <w:iCs/>
          <w:sz w:val="23"/>
          <w:szCs w:val="23"/>
        </w:rPr>
        <w:t>ṭ</w:t>
      </w:r>
      <w:r w:rsidRPr="00D03905">
        <w:rPr>
          <w:i/>
          <w:iCs/>
          <w:sz w:val="23"/>
          <w:szCs w:val="23"/>
        </w:rPr>
        <w:t>evul</w:t>
      </w:r>
      <w:proofErr w:type="spellEnd"/>
      <w:r w:rsidRPr="00D03905">
        <w:rPr>
          <w:i/>
          <w:iCs/>
          <w:sz w:val="23"/>
          <w:szCs w:val="23"/>
        </w:rPr>
        <w:t xml:space="preserve"> </w:t>
      </w:r>
      <w:proofErr w:type="spellStart"/>
      <w:r w:rsidRPr="00D03905">
        <w:rPr>
          <w:i/>
          <w:iCs/>
          <w:sz w:val="23"/>
          <w:szCs w:val="23"/>
        </w:rPr>
        <w:t>yom</w:t>
      </w:r>
      <w:proofErr w:type="spellEnd"/>
      <w:r w:rsidRPr="00D03905">
        <w:rPr>
          <w:sz w:val="23"/>
          <w:szCs w:val="23"/>
        </w:rPr>
        <w:t>. However, this rule is specific to the red heifer, whereas in stage 4, the text predicates preparation in defilement of the Passover sacrifice as well. Perhaps the reference is to the fact that elements of the preparation of the heifer, like that of the Passover sacrifice, must be performed outside the Temple.</w:t>
      </w:r>
    </w:p>
  </w:footnote>
  <w:footnote w:id="22">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w:t>
      </w:r>
      <w:proofErr w:type="spellStart"/>
      <w:r w:rsidRPr="00D03905">
        <w:rPr>
          <w:sz w:val="23"/>
          <w:szCs w:val="23"/>
        </w:rPr>
        <w:t>Mek</w:t>
      </w:r>
      <w:proofErr w:type="spellEnd"/>
      <w:r w:rsidRPr="00D03905">
        <w:rPr>
          <w:sz w:val="23"/>
          <w:szCs w:val="23"/>
        </w:rPr>
        <w:t xml:space="preserve">. R. Shimon text depends on a Genizah fragment, Antonin 236. For the </w:t>
      </w:r>
      <w:proofErr w:type="spellStart"/>
      <w:r w:rsidRPr="00D03905">
        <w:rPr>
          <w:sz w:val="23"/>
          <w:szCs w:val="23"/>
        </w:rPr>
        <w:t>Mek</w:t>
      </w:r>
      <w:proofErr w:type="spellEnd"/>
      <w:r w:rsidRPr="00D03905">
        <w:rPr>
          <w:sz w:val="23"/>
          <w:szCs w:val="23"/>
        </w:rPr>
        <w:t>. R. Ishmael text see the discussion below.</w:t>
      </w:r>
    </w:p>
  </w:footnote>
  <w:footnote w:id="23">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w:t>
      </w:r>
      <w:proofErr w:type="spellStart"/>
      <w:r w:rsidRPr="00D03905">
        <w:rPr>
          <w:sz w:val="23"/>
          <w:szCs w:val="23"/>
        </w:rPr>
        <w:t>Ishay</w:t>
      </w:r>
      <w:proofErr w:type="spellEnd"/>
      <w:r w:rsidRPr="00D03905">
        <w:rPr>
          <w:sz w:val="23"/>
          <w:szCs w:val="23"/>
        </w:rPr>
        <w:t xml:space="preserve"> Rosen-Zvi, </w:t>
      </w:r>
      <w:r w:rsidRPr="00D03905">
        <w:rPr>
          <w:sz w:val="23"/>
          <w:szCs w:val="23"/>
          <w:rtl/>
        </w:rPr>
        <w:t>מונחים ושברם: לקראת לקסיקון הרמנויטי לטרמינולוגיה מדרשית</w:t>
      </w:r>
      <w:r w:rsidRPr="00D03905">
        <w:rPr>
          <w:sz w:val="23"/>
          <w:szCs w:val="23"/>
        </w:rPr>
        <w:t>, 9-10,</w:t>
      </w:r>
      <w:r w:rsidRPr="00D03905">
        <w:rPr>
          <w:sz w:val="23"/>
          <w:szCs w:val="23"/>
          <w:rtl/>
        </w:rPr>
        <w:t xml:space="preserve"> </w:t>
      </w:r>
      <w:r w:rsidRPr="00D03905">
        <w:rPr>
          <w:sz w:val="23"/>
          <w:szCs w:val="23"/>
        </w:rPr>
        <w:t xml:space="preserve">16-18 (forthcoming in </w:t>
      </w:r>
      <w:r w:rsidRPr="00D03905">
        <w:rPr>
          <w:sz w:val="23"/>
          <w:szCs w:val="23"/>
          <w:rtl/>
        </w:rPr>
        <w:t>מדעי היהדות</w:t>
      </w:r>
      <w:r w:rsidRPr="00D03905">
        <w:rPr>
          <w:sz w:val="23"/>
          <w:szCs w:val="23"/>
        </w:rPr>
        <w:t>). I thank Prof. Rosen-Zvi for providing me with a copy of his paper.</w:t>
      </w:r>
    </w:p>
  </w:footnote>
  <w:footnote w:id="24">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For differences between </w:t>
      </w:r>
      <w:proofErr w:type="spellStart"/>
      <w:r w:rsidRPr="00D03905">
        <w:rPr>
          <w:sz w:val="23"/>
          <w:szCs w:val="23"/>
        </w:rPr>
        <w:t>Mek</w:t>
      </w:r>
      <w:proofErr w:type="spellEnd"/>
      <w:r w:rsidRPr="00D03905">
        <w:rPr>
          <w:sz w:val="23"/>
          <w:szCs w:val="23"/>
        </w:rPr>
        <w:t xml:space="preserve">. R. Ishmael and </w:t>
      </w:r>
      <w:proofErr w:type="spellStart"/>
      <w:r w:rsidRPr="00D03905">
        <w:rPr>
          <w:sz w:val="23"/>
          <w:szCs w:val="23"/>
        </w:rPr>
        <w:t>Sifre</w:t>
      </w:r>
      <w:proofErr w:type="spellEnd"/>
      <w:r w:rsidRPr="00D03905">
        <w:rPr>
          <w:sz w:val="23"/>
          <w:szCs w:val="23"/>
        </w:rPr>
        <w:t xml:space="preserve"> Numbers see </w:t>
      </w:r>
      <w:proofErr w:type="spellStart"/>
      <w:r w:rsidRPr="00D03905">
        <w:rPr>
          <w:sz w:val="23"/>
          <w:szCs w:val="23"/>
        </w:rPr>
        <w:t>Menahem</w:t>
      </w:r>
      <w:proofErr w:type="spellEnd"/>
      <w:r w:rsidRPr="00D03905">
        <w:rPr>
          <w:sz w:val="23"/>
          <w:szCs w:val="23"/>
        </w:rPr>
        <w:t xml:space="preserve"> I. </w:t>
      </w:r>
      <w:proofErr w:type="spellStart"/>
      <w:r w:rsidRPr="00D03905">
        <w:rPr>
          <w:sz w:val="23"/>
          <w:szCs w:val="23"/>
        </w:rPr>
        <w:t>Kahana</w:t>
      </w:r>
      <w:proofErr w:type="spellEnd"/>
      <w:r w:rsidRPr="00D03905">
        <w:rPr>
          <w:sz w:val="23"/>
          <w:szCs w:val="23"/>
        </w:rPr>
        <w:t xml:space="preserve">, “Marginal Annotations of the School of Rabbi Judah the Prince in Halakhic Midrashim,” in </w:t>
      </w:r>
      <w:r w:rsidRPr="00D03905">
        <w:rPr>
          <w:i/>
          <w:iCs/>
          <w:sz w:val="23"/>
          <w:szCs w:val="23"/>
        </w:rPr>
        <w:t>Studies in Bible and Talmud</w:t>
      </w:r>
      <w:r w:rsidRPr="00D03905">
        <w:rPr>
          <w:sz w:val="23"/>
          <w:szCs w:val="23"/>
        </w:rPr>
        <w:t xml:space="preserve"> (ed. Sara </w:t>
      </w:r>
      <w:proofErr w:type="spellStart"/>
      <w:r w:rsidRPr="00D03905">
        <w:rPr>
          <w:sz w:val="23"/>
          <w:szCs w:val="23"/>
        </w:rPr>
        <w:t>Japhet</w:t>
      </w:r>
      <w:proofErr w:type="spellEnd"/>
      <w:r w:rsidRPr="00D03905">
        <w:rPr>
          <w:sz w:val="23"/>
          <w:szCs w:val="23"/>
        </w:rPr>
        <w:t xml:space="preserve">; Jerusalem: Hebrew University, 1987), 84-85 (Heb.); </w:t>
      </w:r>
      <w:r w:rsidRPr="00D03905">
        <w:rPr>
          <w:i/>
          <w:iCs/>
          <w:sz w:val="23"/>
          <w:szCs w:val="23"/>
        </w:rPr>
        <w:t>idem</w:t>
      </w:r>
      <w:r w:rsidRPr="00D03905">
        <w:rPr>
          <w:sz w:val="23"/>
          <w:szCs w:val="23"/>
        </w:rPr>
        <w:t xml:space="preserve">, “The Halakhic Midrashim,” in </w:t>
      </w:r>
      <w:r w:rsidRPr="00D03905">
        <w:rPr>
          <w:i/>
          <w:iCs/>
          <w:sz w:val="23"/>
          <w:szCs w:val="23"/>
        </w:rPr>
        <w:t>The Literature of the Sages: Second Part</w:t>
      </w:r>
      <w:r w:rsidRPr="00D03905">
        <w:rPr>
          <w:sz w:val="23"/>
          <w:szCs w:val="23"/>
        </w:rPr>
        <w:t xml:space="preserve"> (ed. Shmuel </w:t>
      </w:r>
      <w:proofErr w:type="spellStart"/>
      <w:r w:rsidRPr="00D03905">
        <w:rPr>
          <w:sz w:val="23"/>
          <w:szCs w:val="23"/>
        </w:rPr>
        <w:t>Safrai</w:t>
      </w:r>
      <w:proofErr w:type="spellEnd"/>
      <w:r w:rsidRPr="00D03905">
        <w:rPr>
          <w:sz w:val="23"/>
          <w:szCs w:val="23"/>
        </w:rPr>
        <w:t xml:space="preserve"> et al.; Assen: Royal Van </w:t>
      </w:r>
      <w:proofErr w:type="spellStart"/>
      <w:r w:rsidRPr="00D03905">
        <w:rPr>
          <w:sz w:val="23"/>
          <w:szCs w:val="23"/>
        </w:rPr>
        <w:t>Gorcum</w:t>
      </w:r>
      <w:proofErr w:type="spellEnd"/>
      <w:r w:rsidRPr="00D03905">
        <w:rPr>
          <w:sz w:val="23"/>
          <w:szCs w:val="23"/>
        </w:rPr>
        <w:t>, 2006), 33.</w:t>
      </w:r>
    </w:p>
  </w:footnote>
  <w:footnote w:id="25">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w:t>
      </w:r>
      <w:proofErr w:type="spellStart"/>
      <w:r w:rsidRPr="00D03905">
        <w:rPr>
          <w:sz w:val="23"/>
          <w:szCs w:val="23"/>
        </w:rPr>
        <w:t>Sifre</w:t>
      </w:r>
      <w:proofErr w:type="spellEnd"/>
      <w:r w:rsidRPr="00D03905">
        <w:rPr>
          <w:sz w:val="23"/>
          <w:szCs w:val="23"/>
        </w:rPr>
        <w:t xml:space="preserve"> Num. 23, 28, 65, 123 (Horovitz ed., 26-27, 35, 62, 153).</w:t>
      </w:r>
    </w:p>
  </w:footnote>
  <w:footnote w:id="26">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i/>
          <w:iCs/>
          <w:sz w:val="23"/>
          <w:szCs w:val="23"/>
        </w:rPr>
        <w:t>Neziqin</w:t>
      </w:r>
      <w:proofErr w:type="spellEnd"/>
      <w:r w:rsidRPr="00D03905">
        <w:rPr>
          <w:sz w:val="23"/>
          <w:szCs w:val="23"/>
        </w:rPr>
        <w:t xml:space="preserve"> 12</w:t>
      </w:r>
      <w:r w:rsidRPr="00D03905">
        <w:rPr>
          <w:i/>
          <w:iCs/>
          <w:sz w:val="23"/>
          <w:szCs w:val="23"/>
        </w:rPr>
        <w:t xml:space="preserve"> </w:t>
      </w:r>
      <w:r w:rsidRPr="00D03905">
        <w:rPr>
          <w:sz w:val="23"/>
          <w:szCs w:val="23"/>
        </w:rPr>
        <w:t>(Horovitz-Rabin ed., 292). On this pericope see n. 34 below.</w:t>
      </w:r>
    </w:p>
  </w:footnote>
  <w:footnote w:id="27">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Appendix 1 for further discussion.</w:t>
      </w:r>
    </w:p>
  </w:footnote>
  <w:footnote w:id="28">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On the influence of the “school of Rabbi” on </w:t>
      </w:r>
      <w:proofErr w:type="spellStart"/>
      <w:r w:rsidRPr="00D03905">
        <w:rPr>
          <w:sz w:val="23"/>
          <w:szCs w:val="23"/>
        </w:rPr>
        <w:t>Sifre</w:t>
      </w:r>
      <w:proofErr w:type="spellEnd"/>
      <w:r w:rsidRPr="00D03905">
        <w:rPr>
          <w:sz w:val="23"/>
          <w:szCs w:val="23"/>
        </w:rPr>
        <w:t xml:space="preserve"> Numbers see </w:t>
      </w:r>
      <w:proofErr w:type="spellStart"/>
      <w:r w:rsidRPr="00D03905">
        <w:rPr>
          <w:sz w:val="23"/>
          <w:szCs w:val="23"/>
        </w:rPr>
        <w:t>Kahana</w:t>
      </w:r>
      <w:proofErr w:type="spellEnd"/>
      <w:r w:rsidRPr="00D03905">
        <w:rPr>
          <w:sz w:val="23"/>
          <w:szCs w:val="23"/>
        </w:rPr>
        <w:t xml:space="preserve">, “Marginal Annotations,” 82; </w:t>
      </w:r>
      <w:r w:rsidRPr="00D03905">
        <w:rPr>
          <w:i/>
          <w:iCs/>
          <w:sz w:val="23"/>
          <w:szCs w:val="23"/>
        </w:rPr>
        <w:t>idem</w:t>
      </w:r>
      <w:r w:rsidRPr="00D03905">
        <w:rPr>
          <w:sz w:val="23"/>
          <w:szCs w:val="23"/>
        </w:rPr>
        <w:t>, “Halakhic Midrashim,” 91.</w:t>
      </w:r>
    </w:p>
  </w:footnote>
  <w:footnote w:id="29">
    <w:p w:rsidR="008C5B42" w:rsidRPr="00D03905" w:rsidRDefault="008C5B42" w:rsidP="009E5737">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b. </w:t>
      </w:r>
      <w:proofErr w:type="spellStart"/>
      <w:r w:rsidRPr="00D03905">
        <w:rPr>
          <w:sz w:val="23"/>
          <w:szCs w:val="23"/>
        </w:rPr>
        <w:t>Qidd</w:t>
      </w:r>
      <w:proofErr w:type="spellEnd"/>
      <w:r w:rsidRPr="00D03905">
        <w:rPr>
          <w:sz w:val="23"/>
          <w:szCs w:val="23"/>
        </w:rPr>
        <w:t>. 4b (</w:t>
      </w:r>
      <w:proofErr w:type="spellStart"/>
      <w:r w:rsidRPr="00D03905">
        <w:rPr>
          <w:i/>
          <w:iCs/>
          <w:sz w:val="23"/>
          <w:szCs w:val="23"/>
        </w:rPr>
        <w:t>bis</w:t>
      </w:r>
      <w:proofErr w:type="spellEnd"/>
      <w:r w:rsidRPr="00D03905">
        <w:rPr>
          <w:sz w:val="23"/>
          <w:szCs w:val="23"/>
        </w:rPr>
        <w:t xml:space="preserve">); b. </w:t>
      </w:r>
      <w:proofErr w:type="spellStart"/>
      <w:r w:rsidR="009E5737">
        <w:rPr>
          <w:sz w:val="23"/>
          <w:szCs w:val="23"/>
        </w:rPr>
        <w:t>Ḥ</w:t>
      </w:r>
      <w:r w:rsidRPr="00D03905">
        <w:rPr>
          <w:sz w:val="23"/>
          <w:szCs w:val="23"/>
        </w:rPr>
        <w:t>ul</w:t>
      </w:r>
      <w:proofErr w:type="spellEnd"/>
      <w:r w:rsidRPr="00D03905">
        <w:rPr>
          <w:sz w:val="23"/>
          <w:szCs w:val="23"/>
        </w:rPr>
        <w:t>. 114a (</w:t>
      </w:r>
      <w:proofErr w:type="spellStart"/>
      <w:r w:rsidRPr="00D03905">
        <w:rPr>
          <w:i/>
          <w:iCs/>
          <w:sz w:val="23"/>
          <w:szCs w:val="23"/>
        </w:rPr>
        <w:t>bis</w:t>
      </w:r>
      <w:proofErr w:type="spellEnd"/>
      <w:r w:rsidRPr="00D03905">
        <w:rPr>
          <w:sz w:val="23"/>
          <w:szCs w:val="23"/>
        </w:rPr>
        <w:t xml:space="preserve">); b. Tem. 28b. R. </w:t>
      </w:r>
      <w:proofErr w:type="spellStart"/>
      <w:r w:rsidRPr="00D03905">
        <w:rPr>
          <w:sz w:val="23"/>
          <w:szCs w:val="23"/>
        </w:rPr>
        <w:t>Ashi’s</w:t>
      </w:r>
      <w:proofErr w:type="spellEnd"/>
      <w:r w:rsidRPr="00D03905">
        <w:rPr>
          <w:sz w:val="23"/>
          <w:szCs w:val="23"/>
        </w:rPr>
        <w:t xml:space="preserve"> statement occurs in a sixth context, b. </w:t>
      </w:r>
      <w:proofErr w:type="spellStart"/>
      <w:r w:rsidRPr="00D03905">
        <w:rPr>
          <w:sz w:val="23"/>
          <w:szCs w:val="23"/>
        </w:rPr>
        <w:t>Mena</w:t>
      </w:r>
      <w:r w:rsidR="007E375C" w:rsidRPr="007E375C">
        <w:rPr>
          <w:sz w:val="23"/>
          <w:szCs w:val="23"/>
        </w:rPr>
        <w:t>ḥ</w:t>
      </w:r>
      <w:proofErr w:type="spellEnd"/>
      <w:r w:rsidRPr="00D03905">
        <w:rPr>
          <w:sz w:val="23"/>
          <w:szCs w:val="23"/>
        </w:rPr>
        <w:t xml:space="preserve">. 6a, where, however, it aims not to explain the necessity for a verse, for no verse is involved, but simply as part of the dialectic around a </w:t>
      </w:r>
      <w:r w:rsidRPr="00D03905">
        <w:rPr>
          <w:i/>
          <w:iCs/>
          <w:sz w:val="23"/>
          <w:szCs w:val="23"/>
        </w:rPr>
        <w:t>din</w:t>
      </w:r>
      <w:r w:rsidRPr="00D03905">
        <w:rPr>
          <w:sz w:val="23"/>
          <w:szCs w:val="23"/>
        </w:rPr>
        <w:t xml:space="preserve">. </w:t>
      </w:r>
      <w:proofErr w:type="gramStart"/>
      <w:r w:rsidRPr="00D03905">
        <w:rPr>
          <w:sz w:val="23"/>
          <w:szCs w:val="23"/>
        </w:rPr>
        <w:t>Thus</w:t>
      </w:r>
      <w:proofErr w:type="gramEnd"/>
      <w:r w:rsidRPr="00D03905">
        <w:rPr>
          <w:sz w:val="23"/>
          <w:szCs w:val="23"/>
        </w:rPr>
        <w:t xml:space="preserve"> in this case there is no challenge (“What need have I of a verse?”) to an inherited dialectic. This case is also the only one in which a rabbi (R. </w:t>
      </w:r>
      <w:proofErr w:type="spellStart"/>
      <w:r w:rsidRPr="00D03905">
        <w:rPr>
          <w:sz w:val="23"/>
          <w:szCs w:val="23"/>
        </w:rPr>
        <w:t>A</w:t>
      </w:r>
      <w:r w:rsidR="007E375C" w:rsidRPr="007E375C">
        <w:rPr>
          <w:sz w:val="23"/>
          <w:szCs w:val="23"/>
        </w:rPr>
        <w:t>ḥ</w:t>
      </w:r>
      <w:r w:rsidRPr="00D03905">
        <w:rPr>
          <w:sz w:val="23"/>
          <w:szCs w:val="23"/>
        </w:rPr>
        <w:t>a</w:t>
      </w:r>
      <w:proofErr w:type="spellEnd"/>
      <w:r w:rsidRPr="00D03905">
        <w:rPr>
          <w:sz w:val="23"/>
          <w:szCs w:val="23"/>
        </w:rPr>
        <w:t xml:space="preserve"> son of </w:t>
      </w:r>
      <w:proofErr w:type="spellStart"/>
      <w:r w:rsidRPr="00D03905">
        <w:rPr>
          <w:sz w:val="23"/>
          <w:szCs w:val="23"/>
        </w:rPr>
        <w:t>Rava</w:t>
      </w:r>
      <w:proofErr w:type="spellEnd"/>
      <w:r w:rsidRPr="00D03905">
        <w:rPr>
          <w:sz w:val="23"/>
          <w:szCs w:val="23"/>
        </w:rPr>
        <w:t xml:space="preserve">) responds to R. </w:t>
      </w:r>
      <w:proofErr w:type="spellStart"/>
      <w:r w:rsidRPr="00D03905">
        <w:rPr>
          <w:sz w:val="23"/>
          <w:szCs w:val="23"/>
        </w:rPr>
        <w:t>Ashi</w:t>
      </w:r>
      <w:proofErr w:type="spellEnd"/>
      <w:r w:rsidRPr="00D03905">
        <w:rPr>
          <w:sz w:val="23"/>
          <w:szCs w:val="23"/>
        </w:rPr>
        <w:t xml:space="preserve">. One is therefore inclined to suppose that b. </w:t>
      </w:r>
      <w:proofErr w:type="spellStart"/>
      <w:r w:rsidRPr="00D03905">
        <w:rPr>
          <w:sz w:val="23"/>
          <w:szCs w:val="23"/>
        </w:rPr>
        <w:t>Mena</w:t>
      </w:r>
      <w:r w:rsidR="007E375C" w:rsidRPr="007E375C">
        <w:rPr>
          <w:sz w:val="23"/>
          <w:szCs w:val="23"/>
        </w:rPr>
        <w:t>ḥ</w:t>
      </w:r>
      <w:proofErr w:type="spellEnd"/>
      <w:r w:rsidRPr="00D03905">
        <w:rPr>
          <w:sz w:val="23"/>
          <w:szCs w:val="23"/>
        </w:rPr>
        <w:t xml:space="preserve">. 6a provides the original context for R. </w:t>
      </w:r>
      <w:proofErr w:type="spellStart"/>
      <w:r w:rsidRPr="00D03905">
        <w:rPr>
          <w:sz w:val="23"/>
          <w:szCs w:val="23"/>
        </w:rPr>
        <w:t>Ashi’s</w:t>
      </w:r>
      <w:proofErr w:type="spellEnd"/>
      <w:r w:rsidRPr="00D03905">
        <w:rPr>
          <w:sz w:val="23"/>
          <w:szCs w:val="23"/>
        </w:rPr>
        <w:t xml:space="preserve"> statement, and that it was later transferred to the other five contexts. But all manuscripts of b. </w:t>
      </w:r>
      <w:proofErr w:type="spellStart"/>
      <w:r w:rsidRPr="00D03905">
        <w:rPr>
          <w:sz w:val="23"/>
          <w:szCs w:val="23"/>
        </w:rPr>
        <w:t>Mena</w:t>
      </w:r>
      <w:r w:rsidR="007E375C" w:rsidRPr="007E375C">
        <w:rPr>
          <w:sz w:val="23"/>
          <w:szCs w:val="23"/>
        </w:rPr>
        <w:t>ḥ</w:t>
      </w:r>
      <w:proofErr w:type="spellEnd"/>
      <w:r w:rsidRPr="00D03905">
        <w:rPr>
          <w:sz w:val="23"/>
          <w:szCs w:val="23"/>
        </w:rPr>
        <w:t xml:space="preserve">. 6a in the Saul Lieberman Institute of Talmudic Research Database (version 5) include the words “for one can say” (in </w:t>
      </w:r>
      <w:r w:rsidRPr="00D03905">
        <w:rPr>
          <w:smallCaps/>
          <w:sz w:val="23"/>
          <w:szCs w:val="23"/>
        </w:rPr>
        <w:t xml:space="preserve">ms </w:t>
      </w:r>
      <w:r w:rsidRPr="00D03905">
        <w:rPr>
          <w:sz w:val="23"/>
          <w:szCs w:val="23"/>
        </w:rPr>
        <w:t xml:space="preserve">Vat 118: only “for”), even though these words only make sense in the other five instances, where R. </w:t>
      </w:r>
      <w:proofErr w:type="spellStart"/>
      <w:r w:rsidRPr="00D03905">
        <w:rPr>
          <w:sz w:val="23"/>
          <w:szCs w:val="23"/>
        </w:rPr>
        <w:t>Ashi</w:t>
      </w:r>
      <w:proofErr w:type="spellEnd"/>
      <w:r w:rsidRPr="00D03905">
        <w:rPr>
          <w:sz w:val="23"/>
          <w:szCs w:val="23"/>
        </w:rPr>
        <w:t xml:space="preserve"> responds to the </w:t>
      </w:r>
      <w:proofErr w:type="spellStart"/>
      <w:r w:rsidRPr="00D03905">
        <w:rPr>
          <w:i/>
          <w:iCs/>
          <w:sz w:val="23"/>
          <w:szCs w:val="23"/>
        </w:rPr>
        <w:t>stam</w:t>
      </w:r>
      <w:r w:rsidRPr="00D03905">
        <w:rPr>
          <w:sz w:val="23"/>
          <w:szCs w:val="23"/>
        </w:rPr>
        <w:t>’s</w:t>
      </w:r>
      <w:proofErr w:type="spellEnd"/>
      <w:r w:rsidRPr="00D03905">
        <w:rPr>
          <w:sz w:val="23"/>
          <w:szCs w:val="23"/>
        </w:rPr>
        <w:t xml:space="preserve"> challenge. If b. </w:t>
      </w:r>
      <w:proofErr w:type="spellStart"/>
      <w:r w:rsidRPr="00D03905">
        <w:rPr>
          <w:sz w:val="23"/>
          <w:szCs w:val="23"/>
        </w:rPr>
        <w:t>Mena</w:t>
      </w:r>
      <w:r w:rsidR="007E375C" w:rsidRPr="007E375C">
        <w:rPr>
          <w:sz w:val="23"/>
          <w:szCs w:val="23"/>
        </w:rPr>
        <w:t>ḥ</w:t>
      </w:r>
      <w:proofErr w:type="spellEnd"/>
      <w:r w:rsidRPr="00D03905">
        <w:rPr>
          <w:sz w:val="23"/>
          <w:szCs w:val="23"/>
        </w:rPr>
        <w:t xml:space="preserve">. 6a indeed represents the original context for R. </w:t>
      </w:r>
      <w:proofErr w:type="spellStart"/>
      <w:r w:rsidRPr="00D03905">
        <w:rPr>
          <w:sz w:val="23"/>
          <w:szCs w:val="23"/>
        </w:rPr>
        <w:t>Ashi’s</w:t>
      </w:r>
      <w:proofErr w:type="spellEnd"/>
      <w:r w:rsidRPr="00D03905">
        <w:rPr>
          <w:sz w:val="23"/>
          <w:szCs w:val="23"/>
        </w:rPr>
        <w:t xml:space="preserve"> statement, we must suppose that the application of it to other contexts influenced the b. </w:t>
      </w:r>
      <w:proofErr w:type="spellStart"/>
      <w:r w:rsidRPr="00D03905">
        <w:rPr>
          <w:sz w:val="23"/>
          <w:szCs w:val="23"/>
        </w:rPr>
        <w:t>Mena</w:t>
      </w:r>
      <w:r w:rsidR="007E375C" w:rsidRPr="007E375C">
        <w:rPr>
          <w:sz w:val="23"/>
          <w:szCs w:val="23"/>
        </w:rPr>
        <w:t>ḥ</w:t>
      </w:r>
      <w:proofErr w:type="spellEnd"/>
      <w:r w:rsidRPr="00D03905">
        <w:rPr>
          <w:sz w:val="23"/>
          <w:szCs w:val="23"/>
        </w:rPr>
        <w:t>. 6a text in turn, at an early stage in the text’s transmission.</w:t>
      </w:r>
    </w:p>
  </w:footnote>
  <w:footnote w:id="30">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text, is from </w:t>
      </w:r>
      <w:r w:rsidRPr="00D03905">
        <w:rPr>
          <w:smallCaps/>
          <w:sz w:val="23"/>
          <w:szCs w:val="23"/>
        </w:rPr>
        <w:t>ms</w:t>
      </w:r>
      <w:r w:rsidRPr="00D03905">
        <w:rPr>
          <w:sz w:val="23"/>
          <w:szCs w:val="23"/>
        </w:rPr>
        <w:t xml:space="preserve"> Munich 95, with select expansions of abbreviated words. The translation is my own. The same holds for case 9 below.</w:t>
      </w:r>
    </w:p>
  </w:footnote>
  <w:footnote w:id="31">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Four of the other five witnesses in the Lieberman Database, </w:t>
      </w:r>
      <w:proofErr w:type="gramStart"/>
      <w:r w:rsidRPr="00D03905">
        <w:rPr>
          <w:sz w:val="23"/>
          <w:szCs w:val="23"/>
        </w:rPr>
        <w:t>with the exception of</w:t>
      </w:r>
      <w:proofErr w:type="gramEnd"/>
      <w:r w:rsidRPr="00D03905">
        <w:rPr>
          <w:sz w:val="23"/>
          <w:szCs w:val="23"/>
        </w:rPr>
        <w:t xml:space="preserve"> </w:t>
      </w:r>
      <w:r w:rsidRPr="00D03905">
        <w:rPr>
          <w:smallCaps/>
          <w:sz w:val="23"/>
          <w:szCs w:val="23"/>
        </w:rPr>
        <w:t>ms</w:t>
      </w:r>
      <w:r w:rsidRPr="00D03905">
        <w:rPr>
          <w:sz w:val="23"/>
          <w:szCs w:val="23"/>
        </w:rPr>
        <w:t xml:space="preserve"> Vatican 120, attribute to R. </w:t>
      </w:r>
      <w:proofErr w:type="spellStart"/>
      <w:r w:rsidRPr="00D03905">
        <w:rPr>
          <w:sz w:val="23"/>
          <w:szCs w:val="23"/>
        </w:rPr>
        <w:t>Ashi</w:t>
      </w:r>
      <w:proofErr w:type="spellEnd"/>
      <w:r w:rsidRPr="00D03905">
        <w:rPr>
          <w:sz w:val="23"/>
          <w:szCs w:val="23"/>
        </w:rPr>
        <w:t xml:space="preserve"> the extended formula, “For one can say that from the root of the </w:t>
      </w:r>
      <w:r w:rsidRPr="00D03905">
        <w:rPr>
          <w:i/>
          <w:iCs/>
          <w:sz w:val="23"/>
          <w:szCs w:val="23"/>
        </w:rPr>
        <w:t xml:space="preserve">din </w:t>
      </w:r>
      <w:r w:rsidRPr="00D03905">
        <w:rPr>
          <w:sz w:val="23"/>
          <w:szCs w:val="23"/>
        </w:rPr>
        <w:t>(</w:t>
      </w:r>
      <w:r w:rsidRPr="00D03905">
        <w:rPr>
          <w:sz w:val="23"/>
          <w:szCs w:val="23"/>
          <w:rtl/>
        </w:rPr>
        <w:t>מעיקרא דדינא</w:t>
      </w:r>
      <w:r>
        <w:rPr>
          <w:sz w:val="23"/>
          <w:szCs w:val="23"/>
        </w:rPr>
        <w:t xml:space="preserve">) there is a difficulty.” </w:t>
      </w:r>
      <w:r w:rsidRPr="00D03905">
        <w:rPr>
          <w:sz w:val="23"/>
          <w:szCs w:val="23"/>
        </w:rPr>
        <w:t xml:space="preserve">On </w:t>
      </w:r>
      <w:r w:rsidRPr="00D03905">
        <w:rPr>
          <w:smallCaps/>
          <w:sz w:val="23"/>
          <w:szCs w:val="23"/>
        </w:rPr>
        <w:t>ms</w:t>
      </w:r>
      <w:r w:rsidRPr="00D03905">
        <w:rPr>
          <w:sz w:val="23"/>
          <w:szCs w:val="23"/>
        </w:rPr>
        <w:t xml:space="preserve"> Vatican 120 see below.</w:t>
      </w:r>
    </w:p>
  </w:footnote>
  <w:footnote w:id="32">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Notably, one witness to b. Tem. 28a-b, </w:t>
      </w:r>
      <w:r w:rsidRPr="00D03905">
        <w:rPr>
          <w:smallCaps/>
          <w:sz w:val="23"/>
          <w:szCs w:val="23"/>
        </w:rPr>
        <w:t>ms</w:t>
      </w:r>
      <w:r w:rsidRPr="00D03905">
        <w:rPr>
          <w:sz w:val="23"/>
          <w:szCs w:val="23"/>
        </w:rPr>
        <w:t xml:space="preserve"> Vatican 120, has the </w:t>
      </w:r>
      <w:proofErr w:type="spellStart"/>
      <w:r w:rsidRPr="00D03905">
        <w:rPr>
          <w:sz w:val="23"/>
          <w:szCs w:val="23"/>
        </w:rPr>
        <w:t>Sifra</w:t>
      </w:r>
      <w:proofErr w:type="spellEnd"/>
      <w:r w:rsidRPr="00D03905">
        <w:rPr>
          <w:sz w:val="23"/>
          <w:szCs w:val="23"/>
        </w:rPr>
        <w:t xml:space="preserve"> passage (case 8) instead of the entire text marked as case 7 (</w:t>
      </w:r>
      <w:proofErr w:type="spellStart"/>
      <w:r w:rsidRPr="00D03905">
        <w:rPr>
          <w:i/>
          <w:iCs/>
          <w:sz w:val="23"/>
          <w:szCs w:val="23"/>
        </w:rPr>
        <w:t>baraita</w:t>
      </w:r>
      <w:proofErr w:type="spellEnd"/>
      <w:r w:rsidRPr="00D03905">
        <w:rPr>
          <w:i/>
          <w:iCs/>
          <w:sz w:val="23"/>
          <w:szCs w:val="23"/>
        </w:rPr>
        <w:t xml:space="preserve"> </w:t>
      </w:r>
      <w:r w:rsidRPr="00D03905">
        <w:rPr>
          <w:sz w:val="23"/>
          <w:szCs w:val="23"/>
        </w:rPr>
        <w:t>and follow-up exchange).</w:t>
      </w:r>
    </w:p>
  </w:footnote>
  <w:footnote w:id="33">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On acquisition through intercourse in </w:t>
      </w:r>
      <w:proofErr w:type="spellStart"/>
      <w:r w:rsidRPr="00D03905">
        <w:rPr>
          <w:sz w:val="23"/>
          <w:szCs w:val="23"/>
        </w:rPr>
        <w:t>Tannaitic</w:t>
      </w:r>
      <w:proofErr w:type="spellEnd"/>
      <w:r w:rsidRPr="00D03905">
        <w:rPr>
          <w:sz w:val="23"/>
          <w:szCs w:val="23"/>
        </w:rPr>
        <w:t xml:space="preserve"> Midrash see also </w:t>
      </w:r>
      <w:proofErr w:type="spellStart"/>
      <w:r w:rsidRPr="00D03905">
        <w:rPr>
          <w:sz w:val="23"/>
          <w:szCs w:val="23"/>
        </w:rPr>
        <w:t>Kahana</w:t>
      </w:r>
      <w:proofErr w:type="spellEnd"/>
      <w:r w:rsidRPr="00D03905">
        <w:rPr>
          <w:sz w:val="23"/>
          <w:szCs w:val="23"/>
        </w:rPr>
        <w:t>, “Marginal Annotations,” 75-77.</w:t>
      </w:r>
    </w:p>
  </w:footnote>
  <w:footnote w:id="34">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The text is from </w:t>
      </w:r>
      <w:r w:rsidRPr="00D03905">
        <w:rPr>
          <w:smallCaps/>
          <w:sz w:val="23"/>
          <w:szCs w:val="23"/>
        </w:rPr>
        <w:t>ms</w:t>
      </w:r>
      <w:r w:rsidRPr="00D03905">
        <w:rPr>
          <w:sz w:val="23"/>
          <w:szCs w:val="23"/>
        </w:rPr>
        <w:t xml:space="preserve"> Vatican 32, with select expansions of abbreviated words. The translation is mine.</w:t>
      </w:r>
    </w:p>
  </w:footnote>
  <w:footnote w:id="35">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It is noteworthy that </w:t>
      </w:r>
      <w:proofErr w:type="spellStart"/>
      <w:r w:rsidRPr="00D03905">
        <w:rPr>
          <w:sz w:val="23"/>
          <w:szCs w:val="23"/>
        </w:rPr>
        <w:t>Sifre</w:t>
      </w:r>
      <w:proofErr w:type="spellEnd"/>
      <w:r w:rsidRPr="00D03905">
        <w:rPr>
          <w:sz w:val="23"/>
          <w:szCs w:val="23"/>
        </w:rPr>
        <w:t xml:space="preserve"> Deut. 268 includes the formula “For by </w:t>
      </w:r>
      <w:r w:rsidRPr="00D03905">
        <w:rPr>
          <w:i/>
          <w:iCs/>
          <w:sz w:val="23"/>
          <w:szCs w:val="23"/>
        </w:rPr>
        <w:t>din</w:t>
      </w:r>
      <w:r w:rsidRPr="00D03905">
        <w:rPr>
          <w:sz w:val="23"/>
          <w:szCs w:val="23"/>
        </w:rPr>
        <w:t xml:space="preserve"> it should have been” (</w:t>
      </w:r>
      <w:r w:rsidRPr="00D03905">
        <w:rPr>
          <w:sz w:val="23"/>
          <w:szCs w:val="23"/>
          <w:rtl/>
        </w:rPr>
        <w:t>שהיה בדין</w:t>
      </w:r>
      <w:r w:rsidRPr="00D03905">
        <w:rPr>
          <w:sz w:val="23"/>
          <w:szCs w:val="23"/>
        </w:rPr>
        <w:t xml:space="preserve">), which is much more common in </w:t>
      </w:r>
      <w:proofErr w:type="spellStart"/>
      <w:r w:rsidRPr="00D03905">
        <w:rPr>
          <w:sz w:val="23"/>
          <w:szCs w:val="23"/>
        </w:rPr>
        <w:t>Ishmaelian</w:t>
      </w:r>
      <w:proofErr w:type="spellEnd"/>
      <w:r w:rsidRPr="00D03905">
        <w:rPr>
          <w:sz w:val="23"/>
          <w:szCs w:val="23"/>
        </w:rPr>
        <w:t xml:space="preserve"> than in </w:t>
      </w:r>
      <w:proofErr w:type="spellStart"/>
      <w:r w:rsidRPr="00D03905">
        <w:rPr>
          <w:sz w:val="23"/>
          <w:szCs w:val="23"/>
        </w:rPr>
        <w:t>Akivan</w:t>
      </w:r>
      <w:proofErr w:type="spellEnd"/>
      <w:r w:rsidRPr="00D03905">
        <w:rPr>
          <w:sz w:val="23"/>
          <w:szCs w:val="23"/>
        </w:rPr>
        <w:t xml:space="preserve"> Midrash. One wonders whether the use of this formula is connected to the fact that the </w:t>
      </w:r>
      <w:r w:rsidRPr="00D03905">
        <w:rPr>
          <w:i/>
          <w:iCs/>
          <w:sz w:val="23"/>
          <w:szCs w:val="23"/>
        </w:rPr>
        <w:t>din</w:t>
      </w:r>
      <w:r w:rsidRPr="00D03905">
        <w:rPr>
          <w:sz w:val="23"/>
          <w:szCs w:val="23"/>
        </w:rPr>
        <w:t xml:space="preserve"> under discussion is R. Ishmael’s.</w:t>
      </w:r>
    </w:p>
  </w:footnote>
  <w:footnote w:id="36">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i/>
          <w:iCs/>
          <w:sz w:val="23"/>
          <w:szCs w:val="23"/>
        </w:rPr>
        <w:t>Neziqin</w:t>
      </w:r>
      <w:proofErr w:type="spellEnd"/>
      <w:r w:rsidRPr="00D03905">
        <w:rPr>
          <w:sz w:val="23"/>
          <w:szCs w:val="23"/>
        </w:rPr>
        <w:t xml:space="preserve"> 10 (Horovitz ed., 282) is particularly relevant in this connection. In this case, R. Ishmael grounds a law in a </w:t>
      </w:r>
      <w:r w:rsidRPr="00D03905">
        <w:rPr>
          <w:i/>
          <w:iCs/>
          <w:sz w:val="23"/>
          <w:szCs w:val="23"/>
        </w:rPr>
        <w:t>din</w:t>
      </w:r>
      <w:r w:rsidRPr="00D03905">
        <w:rPr>
          <w:sz w:val="23"/>
          <w:szCs w:val="23"/>
        </w:rPr>
        <w:t xml:space="preserve">. A prove-argument then challenges the </w:t>
      </w:r>
      <w:r w:rsidRPr="00D03905">
        <w:rPr>
          <w:i/>
          <w:iCs/>
          <w:sz w:val="23"/>
          <w:szCs w:val="23"/>
        </w:rPr>
        <w:t>din</w:t>
      </w:r>
      <w:r w:rsidRPr="00D03905">
        <w:rPr>
          <w:sz w:val="23"/>
          <w:szCs w:val="23"/>
        </w:rPr>
        <w:t xml:space="preserve">. Then “one of R. Ishmael’s students” parries the prove-argument with a say-argument, and so defends his master’s </w:t>
      </w:r>
      <w:r w:rsidRPr="00D03905">
        <w:rPr>
          <w:i/>
          <w:iCs/>
          <w:sz w:val="23"/>
          <w:szCs w:val="23"/>
        </w:rPr>
        <w:t>din.</w:t>
      </w:r>
      <w:r w:rsidRPr="00D03905">
        <w:rPr>
          <w:sz w:val="23"/>
          <w:szCs w:val="23"/>
        </w:rPr>
        <w:t xml:space="preserve"> This dialectic structurally parallels stages 2-4 of case 9, and presumably, it developed over time. R. Ishmael offered his </w:t>
      </w:r>
      <w:r w:rsidRPr="00D03905">
        <w:rPr>
          <w:i/>
          <w:iCs/>
          <w:sz w:val="23"/>
          <w:szCs w:val="23"/>
        </w:rPr>
        <w:t>din</w:t>
      </w:r>
      <w:r w:rsidRPr="00D03905">
        <w:rPr>
          <w:sz w:val="23"/>
          <w:szCs w:val="23"/>
        </w:rPr>
        <w:t xml:space="preserve">, then, outside of his presence, someone else (an </w:t>
      </w:r>
      <w:proofErr w:type="spellStart"/>
      <w:r w:rsidRPr="00D03905">
        <w:rPr>
          <w:sz w:val="23"/>
          <w:szCs w:val="23"/>
        </w:rPr>
        <w:t>Akivan</w:t>
      </w:r>
      <w:proofErr w:type="spellEnd"/>
      <w:r w:rsidRPr="00D03905">
        <w:rPr>
          <w:sz w:val="23"/>
          <w:szCs w:val="23"/>
        </w:rPr>
        <w:t xml:space="preserve">?) challenged it. Then, perhaps immediately, perhaps later, R. Ishmael’s student defended the </w:t>
      </w:r>
      <w:r w:rsidRPr="00D03905">
        <w:rPr>
          <w:i/>
          <w:iCs/>
          <w:sz w:val="23"/>
          <w:szCs w:val="23"/>
        </w:rPr>
        <w:t>din</w:t>
      </w:r>
      <w:r w:rsidRPr="00D03905">
        <w:rPr>
          <w:sz w:val="23"/>
          <w:szCs w:val="23"/>
        </w:rPr>
        <w:t xml:space="preserve">. The chronological separability of succeeding layers of dialectic makes it easier to understand how the illogical </w:t>
      </w:r>
      <w:proofErr w:type="spellStart"/>
      <w:r w:rsidRPr="00D03905">
        <w:rPr>
          <w:i/>
          <w:iCs/>
          <w:sz w:val="23"/>
          <w:szCs w:val="23"/>
        </w:rPr>
        <w:t>baraitot</w:t>
      </w:r>
      <w:proofErr w:type="spellEnd"/>
      <w:r w:rsidRPr="00D03905">
        <w:rPr>
          <w:sz w:val="23"/>
          <w:szCs w:val="23"/>
        </w:rPr>
        <w:t xml:space="preserve"> could have arisen. Noteworthy, too, is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i/>
          <w:iCs/>
          <w:sz w:val="23"/>
          <w:szCs w:val="23"/>
        </w:rPr>
        <w:t>Neziqin</w:t>
      </w:r>
      <w:proofErr w:type="spellEnd"/>
      <w:r w:rsidRPr="00D03905">
        <w:rPr>
          <w:sz w:val="23"/>
          <w:szCs w:val="23"/>
        </w:rPr>
        <w:t xml:space="preserve"> 12</w:t>
      </w:r>
      <w:r w:rsidRPr="00D03905">
        <w:rPr>
          <w:i/>
          <w:iCs/>
          <w:sz w:val="23"/>
          <w:szCs w:val="23"/>
        </w:rPr>
        <w:t xml:space="preserve"> </w:t>
      </w:r>
      <w:r w:rsidRPr="00D03905">
        <w:rPr>
          <w:sz w:val="23"/>
          <w:szCs w:val="23"/>
        </w:rPr>
        <w:t xml:space="preserve">(Horovitz-Rabin ed., 292), where the dialectic defies logic in the same way that the Bavli </w:t>
      </w:r>
      <w:proofErr w:type="spellStart"/>
      <w:r w:rsidRPr="00D03905">
        <w:rPr>
          <w:i/>
          <w:iCs/>
          <w:sz w:val="23"/>
          <w:szCs w:val="23"/>
        </w:rPr>
        <w:t>baraitot</w:t>
      </w:r>
      <w:proofErr w:type="spellEnd"/>
      <w:r w:rsidRPr="00D03905">
        <w:rPr>
          <w:sz w:val="23"/>
          <w:szCs w:val="23"/>
        </w:rPr>
        <w:t xml:space="preserve"> do, and the author of the dialectic is R. </w:t>
      </w:r>
      <w:proofErr w:type="spellStart"/>
      <w:r w:rsidRPr="00D03905">
        <w:rPr>
          <w:sz w:val="23"/>
          <w:szCs w:val="23"/>
        </w:rPr>
        <w:t>Akiva</w:t>
      </w:r>
      <w:proofErr w:type="spellEnd"/>
      <w:r w:rsidRPr="00D03905">
        <w:rPr>
          <w:sz w:val="23"/>
          <w:szCs w:val="23"/>
        </w:rPr>
        <w:t xml:space="preserve">, in an </w:t>
      </w:r>
      <w:proofErr w:type="spellStart"/>
      <w:r w:rsidRPr="00D03905">
        <w:rPr>
          <w:sz w:val="23"/>
          <w:szCs w:val="23"/>
        </w:rPr>
        <w:t>Ishmaelian</w:t>
      </w:r>
      <w:proofErr w:type="spellEnd"/>
      <w:r w:rsidRPr="00D03905">
        <w:rPr>
          <w:sz w:val="23"/>
          <w:szCs w:val="23"/>
        </w:rPr>
        <w:t xml:space="preserve"> text.</w:t>
      </w:r>
    </w:p>
  </w:footnote>
  <w:footnote w:id="37">
    <w:p w:rsidR="008C5B42" w:rsidRPr="00D03905" w:rsidRDefault="008C5B42" w:rsidP="007E375C">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e.g.,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i/>
          <w:iCs/>
          <w:sz w:val="23"/>
          <w:szCs w:val="23"/>
        </w:rPr>
        <w:t>Pis</w:t>
      </w:r>
      <w:r w:rsidR="007E375C" w:rsidRPr="007E375C">
        <w:rPr>
          <w:i/>
          <w:iCs/>
          <w:sz w:val="23"/>
          <w:szCs w:val="23"/>
        </w:rPr>
        <w:t>ḥ</w:t>
      </w:r>
      <w:r w:rsidRPr="00D03905">
        <w:rPr>
          <w:i/>
          <w:iCs/>
          <w:sz w:val="23"/>
          <w:szCs w:val="23"/>
        </w:rPr>
        <w:t>a</w:t>
      </w:r>
      <w:proofErr w:type="spellEnd"/>
      <w:r w:rsidRPr="00D03905">
        <w:rPr>
          <w:sz w:val="23"/>
          <w:szCs w:val="23"/>
        </w:rPr>
        <w:t xml:space="preserve"> 8; </w:t>
      </w:r>
      <w:proofErr w:type="spellStart"/>
      <w:r w:rsidRPr="00D03905">
        <w:rPr>
          <w:i/>
          <w:iCs/>
          <w:sz w:val="23"/>
          <w:szCs w:val="23"/>
        </w:rPr>
        <w:t>Neziqin</w:t>
      </w:r>
      <w:proofErr w:type="spellEnd"/>
      <w:r w:rsidRPr="00D03905">
        <w:rPr>
          <w:sz w:val="23"/>
          <w:szCs w:val="23"/>
        </w:rPr>
        <w:t xml:space="preserve"> 16 (Horovitz-Rabin ed., 28, 307); </w:t>
      </w:r>
      <w:proofErr w:type="spellStart"/>
      <w:r w:rsidRPr="00D03905">
        <w:rPr>
          <w:sz w:val="23"/>
          <w:szCs w:val="23"/>
        </w:rPr>
        <w:t>Sifre</w:t>
      </w:r>
      <w:proofErr w:type="spellEnd"/>
      <w:r w:rsidRPr="00D03905">
        <w:rPr>
          <w:sz w:val="23"/>
          <w:szCs w:val="23"/>
        </w:rPr>
        <w:t xml:space="preserve"> Num. 6, 60 (Horovitz ed., 9, 58). The use of </w:t>
      </w:r>
      <w:r w:rsidRPr="00D03905">
        <w:rPr>
          <w:i/>
          <w:iCs/>
          <w:sz w:val="23"/>
          <w:szCs w:val="23"/>
        </w:rPr>
        <w:t>din</w:t>
      </w:r>
      <w:r w:rsidRPr="00D03905">
        <w:rPr>
          <w:i/>
          <w:iCs/>
          <w:sz w:val="23"/>
          <w:szCs w:val="23"/>
        </w:rPr>
        <w:softHyphen/>
      </w:r>
      <w:r w:rsidRPr="00D03905">
        <w:rPr>
          <w:sz w:val="23"/>
          <w:szCs w:val="23"/>
        </w:rPr>
        <w:t xml:space="preserve"> argumentation to arrive at a conclusion that is the same as rather than the opposite of the desired exegesis offers important insight into the distinction between </w:t>
      </w:r>
      <w:proofErr w:type="spellStart"/>
      <w:r w:rsidRPr="00D03905">
        <w:rPr>
          <w:sz w:val="23"/>
          <w:szCs w:val="23"/>
        </w:rPr>
        <w:t>Ishmaelian</w:t>
      </w:r>
      <w:proofErr w:type="spellEnd"/>
      <w:r w:rsidRPr="00D03905">
        <w:rPr>
          <w:sz w:val="23"/>
          <w:szCs w:val="23"/>
        </w:rPr>
        <w:t xml:space="preserve"> and </w:t>
      </w:r>
      <w:proofErr w:type="spellStart"/>
      <w:r w:rsidRPr="00D03905">
        <w:rPr>
          <w:sz w:val="23"/>
          <w:szCs w:val="23"/>
        </w:rPr>
        <w:t>Akivan</w:t>
      </w:r>
      <w:proofErr w:type="spellEnd"/>
      <w:r w:rsidRPr="00D03905">
        <w:rPr>
          <w:sz w:val="23"/>
          <w:szCs w:val="23"/>
        </w:rPr>
        <w:t xml:space="preserve"> Midrash, but this matter must receive separate treatment.</w:t>
      </w:r>
    </w:p>
  </w:footnote>
  <w:footnote w:id="38">
    <w:p w:rsidR="008C5B42" w:rsidRPr="00D03905" w:rsidRDefault="008C5B42" w:rsidP="00E21EDE">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For the sake of avoiding textual questions that do not bear </w:t>
      </w:r>
      <w:r w:rsidR="00E21EDE">
        <w:rPr>
          <w:sz w:val="23"/>
          <w:szCs w:val="23"/>
        </w:rPr>
        <w:t>on our discussion, I offer the smooth</w:t>
      </w:r>
      <w:r w:rsidRPr="00D03905">
        <w:rPr>
          <w:sz w:val="23"/>
          <w:szCs w:val="23"/>
        </w:rPr>
        <w:t xml:space="preserve"> text from Lauterbach’s edition (1.106-7).</w:t>
      </w:r>
    </w:p>
  </w:footnote>
  <w:footnote w:id="39">
    <w:p w:rsidR="008C5B42" w:rsidRPr="00D03905" w:rsidRDefault="008C5B42" w:rsidP="00950C23">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See Arthur </w:t>
      </w:r>
      <w:proofErr w:type="spellStart"/>
      <w:r w:rsidRPr="00D03905">
        <w:rPr>
          <w:sz w:val="23"/>
          <w:szCs w:val="23"/>
        </w:rPr>
        <w:t>Marmorstein</w:t>
      </w:r>
      <w:proofErr w:type="spellEnd"/>
      <w:r w:rsidRPr="00D03905">
        <w:rPr>
          <w:sz w:val="23"/>
          <w:szCs w:val="23"/>
        </w:rPr>
        <w:t xml:space="preserve">, “The Background of the Haggadah (VI: Diatribe and </w:t>
      </w:r>
      <w:proofErr w:type="spellStart"/>
      <w:r w:rsidRPr="00D03905">
        <w:rPr>
          <w:sz w:val="23"/>
          <w:szCs w:val="23"/>
        </w:rPr>
        <w:t>Haggada</w:t>
      </w:r>
      <w:proofErr w:type="spellEnd"/>
      <w:r w:rsidRPr="00D03905">
        <w:rPr>
          <w:sz w:val="23"/>
          <w:szCs w:val="23"/>
        </w:rPr>
        <w:t xml:space="preserve">),” in Henry A. </w:t>
      </w:r>
      <w:proofErr w:type="spellStart"/>
      <w:r w:rsidRPr="00D03905">
        <w:rPr>
          <w:sz w:val="23"/>
          <w:szCs w:val="23"/>
        </w:rPr>
        <w:t>Fischel</w:t>
      </w:r>
      <w:proofErr w:type="spellEnd"/>
      <w:r w:rsidRPr="00D03905">
        <w:rPr>
          <w:sz w:val="23"/>
          <w:szCs w:val="23"/>
        </w:rPr>
        <w:t xml:space="preserve">, ed., </w:t>
      </w:r>
      <w:r w:rsidRPr="00D03905">
        <w:rPr>
          <w:i/>
          <w:iCs/>
          <w:sz w:val="23"/>
          <w:szCs w:val="23"/>
        </w:rPr>
        <w:t>Essays in Greco-Roman and Related Talmudic Literature</w:t>
      </w:r>
      <w:r w:rsidRPr="00D03905">
        <w:rPr>
          <w:sz w:val="23"/>
          <w:szCs w:val="23"/>
        </w:rPr>
        <w:t xml:space="preserve"> (New York: </w:t>
      </w:r>
      <w:proofErr w:type="spellStart"/>
      <w:r w:rsidRPr="00D03905">
        <w:rPr>
          <w:sz w:val="23"/>
          <w:szCs w:val="23"/>
        </w:rPr>
        <w:t>Ktav</w:t>
      </w:r>
      <w:proofErr w:type="spellEnd"/>
      <w:r w:rsidRPr="00D03905">
        <w:rPr>
          <w:sz w:val="23"/>
          <w:szCs w:val="23"/>
        </w:rPr>
        <w:t xml:space="preserve">, 1977 [1929]), 204, who paints the scene: “It (the phrase ‘and do not wonder’) is used when the preacher indulges in depicting miracles, or repeating legends from the pulpit. There must have been critics among the audience, who by shaking their heads, or faint smiles, showed their disapproval.” </w:t>
      </w:r>
      <w:proofErr w:type="spellStart"/>
      <w:r w:rsidRPr="00D03905">
        <w:rPr>
          <w:sz w:val="23"/>
          <w:szCs w:val="23"/>
        </w:rPr>
        <w:t>Marmorstein</w:t>
      </w:r>
      <w:proofErr w:type="spellEnd"/>
      <w:r w:rsidRPr="00D03905">
        <w:rPr>
          <w:sz w:val="23"/>
          <w:szCs w:val="23"/>
        </w:rPr>
        <w:t xml:space="preserve"> might have cited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i/>
          <w:iCs/>
          <w:sz w:val="23"/>
          <w:szCs w:val="23"/>
        </w:rPr>
        <w:t>Va</w:t>
      </w:r>
      <w:proofErr w:type="spellEnd"/>
      <w:r w:rsidRPr="00D03905">
        <w:rPr>
          <w:i/>
          <w:iCs/>
          <w:sz w:val="23"/>
          <w:szCs w:val="23"/>
        </w:rPr>
        <w:t>-Yassa</w:t>
      </w:r>
      <w:r w:rsidRPr="00D03905">
        <w:rPr>
          <w:sz w:val="23"/>
          <w:szCs w:val="23"/>
        </w:rPr>
        <w:t xml:space="preserve"> 3 (Horovitz-Rabin ed., 166), which </w:t>
      </w:r>
      <w:r w:rsidR="005C51CB">
        <w:rPr>
          <w:sz w:val="23"/>
          <w:szCs w:val="23"/>
        </w:rPr>
        <w:t>introduces</w:t>
      </w:r>
      <w:r w:rsidRPr="00D03905">
        <w:rPr>
          <w:sz w:val="23"/>
          <w:szCs w:val="23"/>
        </w:rPr>
        <w:t xml:space="preserve"> critics of precisely this sort. R. </w:t>
      </w:r>
      <w:proofErr w:type="spellStart"/>
      <w:r w:rsidRPr="00D03905">
        <w:rPr>
          <w:sz w:val="23"/>
          <w:szCs w:val="23"/>
        </w:rPr>
        <w:t>Eleazar</w:t>
      </w:r>
      <w:proofErr w:type="spellEnd"/>
      <w:r w:rsidRPr="00D03905">
        <w:rPr>
          <w:sz w:val="23"/>
          <w:szCs w:val="23"/>
        </w:rPr>
        <w:t xml:space="preserve"> of </w:t>
      </w:r>
      <w:proofErr w:type="spellStart"/>
      <w:r w:rsidRPr="00D03905">
        <w:rPr>
          <w:sz w:val="23"/>
          <w:szCs w:val="23"/>
        </w:rPr>
        <w:t>Modiin</w:t>
      </w:r>
      <w:proofErr w:type="spellEnd"/>
      <w:r w:rsidRPr="00D03905">
        <w:rPr>
          <w:sz w:val="23"/>
          <w:szCs w:val="23"/>
        </w:rPr>
        <w:t xml:space="preserve">, speaking before R. </w:t>
      </w:r>
      <w:proofErr w:type="spellStart"/>
      <w:r w:rsidR="009E5737">
        <w:rPr>
          <w:sz w:val="23"/>
          <w:szCs w:val="23"/>
        </w:rPr>
        <w:t>Ṭ</w:t>
      </w:r>
      <w:r w:rsidRPr="00D03905">
        <w:rPr>
          <w:sz w:val="23"/>
          <w:szCs w:val="23"/>
        </w:rPr>
        <w:t>arfon</w:t>
      </w:r>
      <w:proofErr w:type="spellEnd"/>
      <w:r w:rsidRPr="00D03905">
        <w:rPr>
          <w:sz w:val="23"/>
          <w:szCs w:val="23"/>
        </w:rPr>
        <w:t xml:space="preserve"> and the elders, claims that the manna accumulated to a height of sixty cubits. His audience replies: “O </w:t>
      </w:r>
      <w:proofErr w:type="spellStart"/>
      <w:r w:rsidRPr="00D03905">
        <w:rPr>
          <w:sz w:val="23"/>
          <w:szCs w:val="23"/>
        </w:rPr>
        <w:t>Modiinite</w:t>
      </w:r>
      <w:proofErr w:type="spellEnd"/>
      <w:r w:rsidRPr="00D03905">
        <w:rPr>
          <w:sz w:val="23"/>
          <w:szCs w:val="23"/>
        </w:rPr>
        <w:t>, how long will you astonish (</w:t>
      </w:r>
      <w:r w:rsidRPr="00D03905">
        <w:rPr>
          <w:sz w:val="23"/>
          <w:szCs w:val="23"/>
          <w:rtl/>
        </w:rPr>
        <w:t>מתמיה</w:t>
      </w:r>
      <w:r w:rsidRPr="00D03905">
        <w:rPr>
          <w:sz w:val="23"/>
          <w:szCs w:val="23"/>
        </w:rPr>
        <w:t xml:space="preserve">) us?” The homilist replies by finding a parallel in the case of the flood. For other cases where “and do not wonder” is used in the same sense as in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5C51CB">
        <w:rPr>
          <w:i/>
          <w:iCs/>
          <w:sz w:val="23"/>
          <w:szCs w:val="23"/>
        </w:rPr>
        <w:t>Pis</w:t>
      </w:r>
      <w:r w:rsidR="007E375C" w:rsidRPr="007E375C">
        <w:rPr>
          <w:i/>
          <w:iCs/>
          <w:sz w:val="23"/>
          <w:szCs w:val="23"/>
        </w:rPr>
        <w:t>ḥ</w:t>
      </w:r>
      <w:r w:rsidRPr="005C51CB">
        <w:rPr>
          <w:i/>
          <w:iCs/>
          <w:sz w:val="23"/>
          <w:szCs w:val="23"/>
        </w:rPr>
        <w:t>a</w:t>
      </w:r>
      <w:proofErr w:type="spellEnd"/>
      <w:r w:rsidRPr="00D03905">
        <w:rPr>
          <w:sz w:val="23"/>
          <w:szCs w:val="23"/>
        </w:rPr>
        <w:t xml:space="preserve"> 14 see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r w:rsidRPr="00D03905">
        <w:rPr>
          <w:i/>
          <w:iCs/>
          <w:sz w:val="23"/>
          <w:szCs w:val="23"/>
        </w:rPr>
        <w:t>Be-</w:t>
      </w:r>
      <w:proofErr w:type="spellStart"/>
      <w:r w:rsidRPr="00D03905">
        <w:rPr>
          <w:i/>
          <w:iCs/>
          <w:sz w:val="23"/>
          <w:szCs w:val="23"/>
        </w:rPr>
        <w:t>šalla</w:t>
      </w:r>
      <w:r w:rsidR="00950C23">
        <w:rPr>
          <w:i/>
          <w:iCs/>
          <w:sz w:val="23"/>
          <w:szCs w:val="23"/>
        </w:rPr>
        <w:t>ḥ</w:t>
      </w:r>
      <w:proofErr w:type="spellEnd"/>
      <w:r w:rsidRPr="00D03905">
        <w:rPr>
          <w:sz w:val="23"/>
          <w:szCs w:val="23"/>
        </w:rPr>
        <w:t xml:space="preserve"> (Horovitz-Rabin ed., 78); </w:t>
      </w:r>
      <w:proofErr w:type="spellStart"/>
      <w:r w:rsidRPr="00D03905">
        <w:rPr>
          <w:sz w:val="23"/>
          <w:szCs w:val="23"/>
        </w:rPr>
        <w:t>Sifre</w:t>
      </w:r>
      <w:proofErr w:type="spellEnd"/>
      <w:r w:rsidRPr="00D03905">
        <w:rPr>
          <w:sz w:val="23"/>
          <w:szCs w:val="23"/>
        </w:rPr>
        <w:t xml:space="preserve"> Deut. 306, 317 (Finkelstein ed., 333, 360). The phrase occurs in late biblical and post-biblical literature (Eccl 5:7; Sir 11:21, 26:11), but its usage is different. The comparison of the human voice to dust in </w:t>
      </w:r>
      <w:proofErr w:type="spellStart"/>
      <w:r w:rsidRPr="00D03905">
        <w:rPr>
          <w:sz w:val="23"/>
          <w:szCs w:val="23"/>
        </w:rPr>
        <w:t>Mek</w:t>
      </w:r>
      <w:proofErr w:type="spellEnd"/>
      <w:r w:rsidRPr="00D03905">
        <w:rPr>
          <w:sz w:val="23"/>
          <w:szCs w:val="23"/>
        </w:rPr>
        <w:t xml:space="preserve">. R. </w:t>
      </w:r>
      <w:proofErr w:type="spellStart"/>
      <w:r w:rsidRPr="00D03905">
        <w:rPr>
          <w:sz w:val="23"/>
          <w:szCs w:val="23"/>
        </w:rPr>
        <w:t>Ish</w:t>
      </w:r>
      <w:proofErr w:type="spellEnd"/>
      <w:r w:rsidRPr="00D03905">
        <w:rPr>
          <w:sz w:val="23"/>
          <w:szCs w:val="23"/>
        </w:rPr>
        <w:t xml:space="preserve">. </w:t>
      </w:r>
      <w:proofErr w:type="spellStart"/>
      <w:r w:rsidRPr="00D03905">
        <w:rPr>
          <w:sz w:val="23"/>
          <w:szCs w:val="23"/>
        </w:rPr>
        <w:t>Pis</w:t>
      </w:r>
      <w:r w:rsidR="007E375C" w:rsidRPr="007E375C">
        <w:rPr>
          <w:sz w:val="23"/>
          <w:szCs w:val="23"/>
        </w:rPr>
        <w:t>ḥ</w:t>
      </w:r>
      <w:r w:rsidRPr="00D03905">
        <w:rPr>
          <w:sz w:val="23"/>
          <w:szCs w:val="23"/>
        </w:rPr>
        <w:t>a</w:t>
      </w:r>
      <w:proofErr w:type="spellEnd"/>
      <w:r w:rsidRPr="00D03905">
        <w:rPr>
          <w:sz w:val="23"/>
          <w:szCs w:val="23"/>
        </w:rPr>
        <w:t xml:space="preserve"> 14 may strike one as odd. The fact that the case of the dust is adduced in a different “do not wonder” argument, in </w:t>
      </w:r>
      <w:proofErr w:type="spellStart"/>
      <w:r w:rsidRPr="00D03905">
        <w:rPr>
          <w:sz w:val="23"/>
          <w:szCs w:val="23"/>
        </w:rPr>
        <w:t>Mek</w:t>
      </w:r>
      <w:proofErr w:type="spellEnd"/>
      <w:r w:rsidRPr="00D03905">
        <w:rPr>
          <w:sz w:val="23"/>
          <w:szCs w:val="23"/>
        </w:rPr>
        <w:t xml:space="preserve">. Deuteronomy </w:t>
      </w:r>
      <w:r w:rsidRPr="00D03905">
        <w:rPr>
          <w:i/>
          <w:iCs/>
          <w:sz w:val="23"/>
          <w:szCs w:val="23"/>
        </w:rPr>
        <w:t>ad</w:t>
      </w:r>
      <w:r w:rsidRPr="00D03905">
        <w:rPr>
          <w:sz w:val="23"/>
          <w:szCs w:val="23"/>
        </w:rPr>
        <w:t xml:space="preserve"> Deut 11:29 (Hoffmann ed., 57) (</w:t>
      </w:r>
      <w:proofErr w:type="spellStart"/>
      <w:r w:rsidRPr="00D03905">
        <w:rPr>
          <w:sz w:val="23"/>
          <w:szCs w:val="23"/>
        </w:rPr>
        <w:t>Menahem</w:t>
      </w:r>
      <w:proofErr w:type="spellEnd"/>
      <w:r w:rsidRPr="00D03905">
        <w:rPr>
          <w:sz w:val="23"/>
          <w:szCs w:val="23"/>
        </w:rPr>
        <w:t xml:space="preserve"> I. </w:t>
      </w:r>
      <w:proofErr w:type="spellStart"/>
      <w:r w:rsidRPr="00D03905">
        <w:rPr>
          <w:sz w:val="23"/>
          <w:szCs w:val="23"/>
        </w:rPr>
        <w:t>Kahana</w:t>
      </w:r>
      <w:proofErr w:type="spellEnd"/>
      <w:r w:rsidRPr="00D03905">
        <w:rPr>
          <w:sz w:val="23"/>
          <w:szCs w:val="23"/>
        </w:rPr>
        <w:t xml:space="preserve">, </w:t>
      </w:r>
      <w:r w:rsidRPr="00D03905">
        <w:rPr>
          <w:i/>
          <w:iCs/>
          <w:sz w:val="23"/>
          <w:szCs w:val="23"/>
        </w:rPr>
        <w:t xml:space="preserve">The Genizah Fragments of the Halakhic Midrashim, Part I </w:t>
      </w:r>
      <w:r w:rsidRPr="00D03905">
        <w:rPr>
          <w:sz w:val="23"/>
          <w:szCs w:val="23"/>
        </w:rPr>
        <w:t xml:space="preserve">[Jerusalem: </w:t>
      </w:r>
      <w:proofErr w:type="spellStart"/>
      <w:r w:rsidRPr="00D03905">
        <w:rPr>
          <w:sz w:val="23"/>
          <w:szCs w:val="23"/>
        </w:rPr>
        <w:t>Magnes</w:t>
      </w:r>
      <w:proofErr w:type="spellEnd"/>
      <w:r w:rsidRPr="00D03905">
        <w:rPr>
          <w:sz w:val="23"/>
          <w:szCs w:val="23"/>
        </w:rPr>
        <w:t>, 2005], 344), where the comparison (to the blood sprinkled by Moses upon the nation at Sinai) is more natural, perhaps explains why the homilist adverts to it also in the less intuitive context of Moses’ voice.</w:t>
      </w:r>
    </w:p>
  </w:footnote>
  <w:footnote w:id="40">
    <w:p w:rsidR="008C5B42" w:rsidRPr="00D03905" w:rsidRDefault="008C5B42" w:rsidP="008C5B42">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w:t>
      </w:r>
      <w:proofErr w:type="spellStart"/>
      <w:r w:rsidRPr="00D03905">
        <w:rPr>
          <w:sz w:val="23"/>
          <w:szCs w:val="23"/>
        </w:rPr>
        <w:t>Harmut</w:t>
      </w:r>
      <w:proofErr w:type="spellEnd"/>
      <w:r w:rsidRPr="00D03905">
        <w:rPr>
          <w:sz w:val="23"/>
          <w:szCs w:val="23"/>
        </w:rPr>
        <w:t xml:space="preserve"> </w:t>
      </w:r>
      <w:proofErr w:type="spellStart"/>
      <w:r w:rsidRPr="00D03905">
        <w:rPr>
          <w:sz w:val="23"/>
          <w:szCs w:val="23"/>
        </w:rPr>
        <w:t>Erbse</w:t>
      </w:r>
      <w:proofErr w:type="spellEnd"/>
      <w:r w:rsidRPr="00D03905">
        <w:rPr>
          <w:sz w:val="23"/>
          <w:szCs w:val="23"/>
        </w:rPr>
        <w:t xml:space="preserve">, ed., </w:t>
      </w:r>
      <w:r w:rsidRPr="00D03905">
        <w:rPr>
          <w:i/>
          <w:iCs/>
          <w:sz w:val="23"/>
          <w:szCs w:val="23"/>
        </w:rPr>
        <w:t xml:space="preserve">Scholia </w:t>
      </w:r>
      <w:proofErr w:type="spellStart"/>
      <w:r w:rsidRPr="00D03905">
        <w:rPr>
          <w:i/>
          <w:iCs/>
          <w:sz w:val="23"/>
          <w:szCs w:val="23"/>
        </w:rPr>
        <w:t>Graeca</w:t>
      </w:r>
      <w:proofErr w:type="spellEnd"/>
      <w:r w:rsidRPr="00D03905">
        <w:rPr>
          <w:i/>
          <w:iCs/>
          <w:sz w:val="23"/>
          <w:szCs w:val="23"/>
        </w:rPr>
        <w:t xml:space="preserve"> in </w:t>
      </w:r>
      <w:proofErr w:type="spellStart"/>
      <w:r w:rsidRPr="00D03905">
        <w:rPr>
          <w:i/>
          <w:iCs/>
          <w:sz w:val="23"/>
          <w:szCs w:val="23"/>
        </w:rPr>
        <w:t>Homeri</w:t>
      </w:r>
      <w:proofErr w:type="spellEnd"/>
      <w:r w:rsidRPr="00D03905">
        <w:rPr>
          <w:i/>
          <w:iCs/>
          <w:sz w:val="23"/>
          <w:szCs w:val="23"/>
        </w:rPr>
        <w:t xml:space="preserve"> </w:t>
      </w:r>
      <w:proofErr w:type="spellStart"/>
      <w:r w:rsidRPr="00D03905">
        <w:rPr>
          <w:i/>
          <w:iCs/>
          <w:sz w:val="23"/>
          <w:szCs w:val="23"/>
        </w:rPr>
        <w:t>Iliadem</w:t>
      </w:r>
      <w:proofErr w:type="spellEnd"/>
      <w:r w:rsidRPr="00D03905">
        <w:rPr>
          <w:i/>
          <w:iCs/>
          <w:sz w:val="23"/>
          <w:szCs w:val="23"/>
        </w:rPr>
        <w:t xml:space="preserve"> (Scholia </w:t>
      </w:r>
      <w:proofErr w:type="spellStart"/>
      <w:r w:rsidRPr="00D03905">
        <w:rPr>
          <w:i/>
          <w:iCs/>
          <w:sz w:val="23"/>
          <w:szCs w:val="23"/>
        </w:rPr>
        <w:t>Vetera</w:t>
      </w:r>
      <w:proofErr w:type="spellEnd"/>
      <w:r w:rsidRPr="00D03905">
        <w:rPr>
          <w:i/>
          <w:iCs/>
          <w:sz w:val="23"/>
          <w:szCs w:val="23"/>
        </w:rPr>
        <w:t>)</w:t>
      </w:r>
      <w:r w:rsidRPr="00D03905">
        <w:rPr>
          <w:sz w:val="23"/>
          <w:szCs w:val="23"/>
        </w:rPr>
        <w:t xml:space="preserve"> (7 vols.; </w:t>
      </w:r>
      <w:proofErr w:type="spellStart"/>
      <w:r w:rsidRPr="00D03905">
        <w:rPr>
          <w:sz w:val="23"/>
          <w:szCs w:val="23"/>
        </w:rPr>
        <w:t>Berolini</w:t>
      </w:r>
      <w:proofErr w:type="spellEnd"/>
      <w:r w:rsidRPr="00D03905">
        <w:rPr>
          <w:sz w:val="23"/>
          <w:szCs w:val="23"/>
        </w:rPr>
        <w:t xml:space="preserve">: de </w:t>
      </w:r>
      <w:proofErr w:type="spellStart"/>
      <w:r w:rsidRPr="00D03905">
        <w:rPr>
          <w:sz w:val="23"/>
          <w:szCs w:val="23"/>
        </w:rPr>
        <w:t>Gruyter</w:t>
      </w:r>
      <w:proofErr w:type="spellEnd"/>
      <w:r w:rsidRPr="00D03905">
        <w:rPr>
          <w:sz w:val="23"/>
          <w:szCs w:val="23"/>
        </w:rPr>
        <w:t>, 1969-88),</w:t>
      </w:r>
      <w:r w:rsidRPr="00D03905">
        <w:rPr>
          <w:i/>
          <w:iCs/>
          <w:sz w:val="23"/>
          <w:szCs w:val="23"/>
        </w:rPr>
        <w:t xml:space="preserve"> </w:t>
      </w:r>
      <w:r w:rsidRPr="00D03905">
        <w:rPr>
          <w:sz w:val="23"/>
          <w:szCs w:val="23"/>
        </w:rPr>
        <w:t xml:space="preserve">1.433. The translation is mine. On wonder in Greek literary criticism see René </w:t>
      </w:r>
      <w:proofErr w:type="spellStart"/>
      <w:r w:rsidRPr="00D03905">
        <w:rPr>
          <w:sz w:val="23"/>
          <w:szCs w:val="23"/>
        </w:rPr>
        <w:t>Nünlist</w:t>
      </w:r>
      <w:proofErr w:type="spellEnd"/>
      <w:r w:rsidRPr="00D03905">
        <w:rPr>
          <w:sz w:val="23"/>
          <w:szCs w:val="23"/>
        </w:rPr>
        <w:t xml:space="preserve">, </w:t>
      </w:r>
      <w:r w:rsidRPr="00D03905">
        <w:rPr>
          <w:i/>
          <w:iCs/>
          <w:sz w:val="23"/>
          <w:szCs w:val="23"/>
        </w:rPr>
        <w:t xml:space="preserve">The Ancient Critic at Work: Terms and Concepts of Literary Criticism in Greek Scholia </w:t>
      </w:r>
      <w:r w:rsidRPr="00D03905">
        <w:rPr>
          <w:sz w:val="23"/>
          <w:szCs w:val="23"/>
        </w:rPr>
        <w:t xml:space="preserve">(Cambridge: Cambridge University Press, 2009), 144-45, and especially n. 42; Maren R. </w:t>
      </w:r>
      <w:proofErr w:type="spellStart"/>
      <w:r w:rsidRPr="00D03905">
        <w:rPr>
          <w:sz w:val="23"/>
          <w:szCs w:val="23"/>
        </w:rPr>
        <w:t>Niehoff</w:t>
      </w:r>
      <w:proofErr w:type="spellEnd"/>
      <w:r w:rsidRPr="00D03905">
        <w:rPr>
          <w:sz w:val="23"/>
          <w:szCs w:val="23"/>
        </w:rPr>
        <w:t xml:space="preserve">, </w:t>
      </w:r>
      <w:r w:rsidRPr="00D03905">
        <w:rPr>
          <w:i/>
          <w:iCs/>
          <w:sz w:val="23"/>
          <w:szCs w:val="23"/>
        </w:rPr>
        <w:t xml:space="preserve">Jewish Exegesis and Homeric Scholarship in Alexandria </w:t>
      </w:r>
      <w:r w:rsidRPr="00D03905">
        <w:rPr>
          <w:sz w:val="23"/>
          <w:szCs w:val="23"/>
        </w:rPr>
        <w:t>(Cambridge: Cambridge University Press, 2011),</w:t>
      </w:r>
      <w:r w:rsidRPr="00D03905">
        <w:rPr>
          <w:i/>
          <w:iCs/>
          <w:sz w:val="23"/>
          <w:szCs w:val="23"/>
        </w:rPr>
        <w:t xml:space="preserve"> </w:t>
      </w:r>
      <w:r w:rsidRPr="00D03905">
        <w:rPr>
          <w:sz w:val="23"/>
          <w:szCs w:val="23"/>
        </w:rPr>
        <w:t>46-51, 61-66.</w:t>
      </w:r>
    </w:p>
  </w:footnote>
  <w:footnote w:id="41">
    <w:p w:rsidR="008C5B42" w:rsidRPr="00D03905" w:rsidRDefault="008C5B42" w:rsidP="005C51CB">
      <w:pPr>
        <w:pStyle w:val="ac"/>
        <w:tabs>
          <w:tab w:val="left" w:pos="288"/>
        </w:tabs>
        <w:spacing w:line="270" w:lineRule="exact"/>
        <w:jc w:val="both"/>
        <w:rPr>
          <w:sz w:val="23"/>
          <w:szCs w:val="23"/>
        </w:rPr>
      </w:pPr>
      <w:r w:rsidRPr="00D03905">
        <w:rPr>
          <w:rStyle w:val="FootnoteCharacters"/>
          <w:sz w:val="23"/>
          <w:szCs w:val="23"/>
        </w:rPr>
        <w:footnoteRef/>
      </w:r>
      <w:r w:rsidRPr="00D03905">
        <w:rPr>
          <w:sz w:val="23"/>
          <w:szCs w:val="23"/>
        </w:rPr>
        <w:tab/>
        <w:t xml:space="preserve"> </w:t>
      </w:r>
      <w:r w:rsidRPr="00D03905">
        <w:rPr>
          <w:i/>
          <w:iCs/>
          <w:sz w:val="23"/>
          <w:szCs w:val="23"/>
        </w:rPr>
        <w:t>QG</w:t>
      </w:r>
      <w:r w:rsidRPr="00D03905">
        <w:rPr>
          <w:sz w:val="23"/>
          <w:szCs w:val="23"/>
        </w:rPr>
        <w:t xml:space="preserve"> ii.47 (Loeb ed., 128).</w:t>
      </w:r>
      <w:r w:rsidR="00EA590F">
        <w:rPr>
          <w:sz w:val="23"/>
          <w:szCs w:val="23"/>
        </w:rPr>
        <w:t xml:space="preserve"> </w:t>
      </w:r>
      <w:r w:rsidRPr="00D03905">
        <w:rPr>
          <w:sz w:val="23"/>
          <w:szCs w:val="23"/>
        </w:rPr>
        <w:t xml:space="preserve">Bernard J. Bamberger (“Philo and the Aggadah,” </w:t>
      </w:r>
      <w:r w:rsidRPr="00D03905">
        <w:rPr>
          <w:i/>
          <w:iCs/>
          <w:sz w:val="23"/>
          <w:szCs w:val="23"/>
        </w:rPr>
        <w:t xml:space="preserve">HUCA </w:t>
      </w:r>
      <w:r w:rsidRPr="00D03905">
        <w:rPr>
          <w:sz w:val="23"/>
          <w:szCs w:val="23"/>
        </w:rPr>
        <w:t>48 [1977], 159) uses the linguistic resemblance between Philo’s words and the rabbinic ph</w:t>
      </w:r>
      <w:r w:rsidR="005C51CB">
        <w:rPr>
          <w:sz w:val="23"/>
          <w:szCs w:val="23"/>
        </w:rPr>
        <w:t>rase to support his view</w:t>
      </w:r>
      <w:r w:rsidRPr="00D03905">
        <w:rPr>
          <w:sz w:val="23"/>
          <w:szCs w:val="23"/>
        </w:rPr>
        <w:t xml:space="preserve"> that the substantive claim in this passage is genetically related to a similar one in </w:t>
      </w:r>
      <w:proofErr w:type="spellStart"/>
      <w:r w:rsidRPr="00D03905">
        <w:rPr>
          <w:sz w:val="23"/>
          <w:szCs w:val="23"/>
        </w:rPr>
        <w:t>amoraic</w:t>
      </w:r>
      <w:proofErr w:type="spellEnd"/>
      <w:r w:rsidRPr="00D03905">
        <w:rPr>
          <w:sz w:val="23"/>
          <w:szCs w:val="23"/>
        </w:rPr>
        <w:t xml:space="preserve"> Midrash.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Default="00D473BF">
    <w:pPr>
      <w:pStyle w:val="af2"/>
      <w:jc w:val="center"/>
      <w:rPr>
        <w:sz w:val="22"/>
        <w:szCs w:val="22"/>
      </w:rPr>
    </w:pPr>
    <w:r>
      <w:rPr>
        <w:noProof/>
        <w:sz w:val="22"/>
        <w:szCs w:val="22"/>
        <w:lang w:eastAsia="en-US" w:bidi="he-IL"/>
      </w:rPr>
      <mc:AlternateContent>
        <mc:Choice Requires="wps">
          <w:drawing>
            <wp:anchor distT="0" distB="0" distL="0" distR="0" simplePos="0" relativeHeight="251657216" behindDoc="0" locked="0" layoutInCell="1" allowOverlap="1">
              <wp:simplePos x="0" y="0"/>
              <wp:positionH relativeFrom="page">
                <wp:posOffset>1446530</wp:posOffset>
              </wp:positionH>
              <wp:positionV relativeFrom="paragraph">
                <wp:posOffset>635</wp:posOffset>
              </wp:positionV>
              <wp:extent cx="264160" cy="174625"/>
              <wp:effectExtent l="8255" t="635" r="3810" b="5715"/>
              <wp:wrapSquare wrapText="larges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A0E" w:rsidRDefault="00B24A0E" w:rsidP="00B24A0E">
                          <w:pPr>
                            <w:pStyle w:val="af2"/>
                          </w:pPr>
                          <w:r>
                            <w:rPr>
                              <w:rStyle w:val="a5"/>
                            </w:rPr>
                            <w:fldChar w:fldCharType="begin"/>
                          </w:r>
                          <w:r>
                            <w:rPr>
                              <w:rStyle w:val="a5"/>
                            </w:rPr>
                            <w:instrText xml:space="preserve"> PAGE </w:instrText>
                          </w:r>
                          <w:r>
                            <w:rPr>
                              <w:rStyle w:val="a5"/>
                            </w:rPr>
                            <w:fldChar w:fldCharType="separate"/>
                          </w:r>
                          <w:r w:rsidR="00787490">
                            <w:rPr>
                              <w:rStyle w:val="a5"/>
                              <w:noProof/>
                            </w:rPr>
                            <w:t>190</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13.9pt;margin-top:.05pt;width:20.8pt;height:13.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" stroked="f">
              <v:fill opacity="0"/>
              <v:textbox inset="0,0,0,0">
                <w:txbxContent>
                  <w:p w:rsidR="00B24A0E" w:rsidRDefault="00B24A0E" w:rsidP="00B24A0E">
                    <w:pPr>
                      <w:pStyle w:val="af2"/>
                    </w:pPr>
                    <w:r>
                      <w:rPr>
                        <w:rStyle w:val="a5"/>
                      </w:rPr>
                      <w:fldChar w:fldCharType="begin"/>
                    </w:r>
                    <w:r>
                      <w:rPr>
                        <w:rStyle w:val="a5"/>
                      </w:rPr>
                      <w:instrText xml:space="preserve"> PAGE </w:instrText>
                    </w:r>
                    <w:r>
                      <w:rPr>
                        <w:rStyle w:val="a5"/>
                      </w:rPr>
                      <w:fldChar w:fldCharType="separate"/>
                    </w:r>
                    <w:r w:rsidR="00787490">
                      <w:rPr>
                        <w:rStyle w:val="a5"/>
                        <w:noProof/>
                      </w:rPr>
                      <w:t>190</w:t>
                    </w:r>
                    <w:r>
                      <w:rPr>
                        <w:rStyle w:val="a5"/>
                      </w:rPr>
                      <w:fldChar w:fldCharType="end"/>
                    </w:r>
                  </w:p>
                </w:txbxContent>
              </v:textbox>
              <w10:wrap type="square" side="largest" anchorx="page"/>
            </v:shape>
          </w:pict>
        </mc:Fallback>
      </mc:AlternateContent>
    </w:r>
    <w:proofErr w:type="spellStart"/>
    <w:r w:rsidR="008C5B42">
      <w:rPr>
        <w:sz w:val="22"/>
        <w:szCs w:val="22"/>
      </w:rPr>
      <w:t>Tzvi</w:t>
    </w:r>
    <w:proofErr w:type="spellEnd"/>
    <w:r w:rsidR="008C5B42">
      <w:rPr>
        <w:sz w:val="22"/>
        <w:szCs w:val="22"/>
      </w:rPr>
      <w:t xml:space="preserve"> Novick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Pr="008C5B42" w:rsidRDefault="00D473BF" w:rsidP="00495FEB">
    <w:pPr>
      <w:pStyle w:val="af2"/>
      <w:jc w:val="center"/>
      <w:rPr>
        <w:i/>
        <w:iCs/>
        <w:sz w:val="22"/>
        <w:szCs w:val="22"/>
      </w:rPr>
    </w:pPr>
    <w:r>
      <w:rPr>
        <w:i/>
        <w:iCs/>
        <w:noProof/>
        <w:sz w:val="22"/>
        <w:szCs w:val="22"/>
        <w:lang w:eastAsia="en-US" w:bidi="he-IL"/>
      </w:rPr>
      <mc:AlternateContent>
        <mc:Choice Requires="wps">
          <w:drawing>
            <wp:inline distT="0" distB="0" distL="0" distR="0">
              <wp:extent cx="304800" cy="174625"/>
              <wp:effectExtent l="0" t="0" r="0" b="0"/>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A0E" w:rsidRDefault="00B24A0E" w:rsidP="00B24A0E">
                          <w:pPr>
                            <w:jc w:val="right"/>
                          </w:pPr>
                          <w:r>
                            <w:rPr>
                              <w:lang w:val="en-CA"/>
                            </w:rPr>
                            <w:fldChar w:fldCharType="begin"/>
                          </w:r>
                          <w:r>
                            <w:rPr>
                              <w:lang w:val="en-CA"/>
                            </w:rPr>
                            <w:instrText xml:space="preserve"> PAGE </w:instrText>
                          </w:r>
                          <w:r>
                            <w:rPr>
                              <w:lang w:val="en-CA"/>
                            </w:rPr>
                            <w:fldChar w:fldCharType="separate"/>
                          </w:r>
                          <w:r w:rsidR="00787490">
                            <w:rPr>
                              <w:noProof/>
                              <w:lang w:val="en-CA"/>
                            </w:rPr>
                            <w:t>215</w:t>
                          </w:r>
                          <w:r>
                            <w:rPr>
                              <w:lang w:val="en-CA"/>
                            </w:rP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7" type="#_x0000_t202" style="width:24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" stroked="f">
              <v:fill opacity="0"/>
              <v:textbox inset="0,0,0,0">
                <w:txbxContent>
                  <w:p w:rsidR="00B24A0E" w:rsidRDefault="00B24A0E" w:rsidP="00B24A0E">
                    <w:pPr>
                      <w:jc w:val="right"/>
                    </w:pPr>
                    <w:r>
                      <w:rPr>
                        <w:lang w:val="en-CA"/>
                      </w:rPr>
                      <w:fldChar w:fldCharType="begin"/>
                    </w:r>
                    <w:r>
                      <w:rPr>
                        <w:lang w:val="en-CA"/>
                      </w:rPr>
                      <w:instrText xml:space="preserve"> PAGE </w:instrText>
                    </w:r>
                    <w:r>
                      <w:rPr>
                        <w:lang w:val="en-CA"/>
                      </w:rPr>
                      <w:fldChar w:fldCharType="separate"/>
                    </w:r>
                    <w:r w:rsidR="00787490">
                      <w:rPr>
                        <w:noProof/>
                        <w:lang w:val="en-CA"/>
                      </w:rPr>
                      <w:t>215</w:t>
                    </w:r>
                    <w:r>
                      <w:rPr>
                        <w:lang w:val="en-CA"/>
                      </w:rPr>
                      <w:fldChar w:fldCharType="end"/>
                    </w:r>
                  </w:p>
                </w:txbxContent>
              </v:textbox>
              <w10:wrap anchorx="page"/>
              <w10:anchorlock/>
            </v:shape>
          </w:pict>
        </mc:Fallback>
      </mc:AlternateContent>
    </w:r>
    <w:r w:rsidR="008C5B42" w:rsidRPr="008C5B42">
      <w:rPr>
        <w:i/>
        <w:iCs/>
        <w:sz w:val="22"/>
        <w:szCs w:val="22"/>
      </w:rPr>
      <w:t>Din</w:t>
    </w:r>
    <w:r w:rsidR="008C5B42">
      <w:rPr>
        <w:sz w:val="22"/>
        <w:szCs w:val="22"/>
      </w:rPr>
      <w:t xml:space="preserve"> </w:t>
    </w:r>
    <w:r w:rsidR="00495FEB">
      <w:rPr>
        <w:sz w:val="22"/>
        <w:szCs w:val="22"/>
      </w:rPr>
      <w:t>and</w:t>
    </w:r>
    <w:r w:rsidR="008C5B42" w:rsidRPr="008C5B42">
      <w:rPr>
        <w:sz w:val="22"/>
        <w:szCs w:val="22"/>
      </w:rPr>
      <w:t xml:space="preserve"> Debate</w:t>
    </w:r>
    <w:r w:rsidR="008C5B42">
      <w:rPr>
        <w:sz w:val="22"/>
        <w:szCs w:val="22"/>
      </w:rPr>
      <w:t xml:space="preserve">: Some Dialectical Patterns in </w:t>
    </w:r>
    <w:proofErr w:type="spellStart"/>
    <w:r w:rsidR="008C5B42">
      <w:rPr>
        <w:sz w:val="22"/>
        <w:szCs w:val="22"/>
      </w:rPr>
      <w:t>Tannaitic</w:t>
    </w:r>
    <w:proofErr w:type="spellEnd"/>
    <w:r w:rsidR="008C5B42">
      <w:rPr>
        <w:sz w:val="22"/>
        <w:szCs w:val="22"/>
      </w:rPr>
      <w:t xml:space="preserve"> Texts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B42" w:rsidRDefault="008C5B42" w:rsidP="008519A5">
    <w:pPr>
      <w:pStyle w:val="af2"/>
    </w:pPr>
    <w:r w:rsidRPr="00844895">
      <w:rPr>
        <w:i/>
        <w:iCs/>
      </w:rPr>
      <w:t>JSIJ</w:t>
    </w:r>
    <w:r w:rsidRPr="00844895">
      <w:t xml:space="preserve"> </w:t>
    </w:r>
    <w:r w:rsidR="00844895" w:rsidRPr="00844895">
      <w:t>1</w:t>
    </w:r>
    <w:r w:rsidR="00547B0B">
      <w:t>1</w:t>
    </w:r>
    <w:r w:rsidRPr="00844895">
      <w:t xml:space="preserve"> (20</w:t>
    </w:r>
    <w:r w:rsidR="00844895" w:rsidRPr="00844895">
      <w:t>12</w:t>
    </w:r>
    <w:r w:rsidRPr="00844895">
      <w:t xml:space="preserve">) </w:t>
    </w:r>
    <w:r w:rsidR="008519A5">
      <w:t>187-215</w:t>
    </w:r>
  </w:p>
  <w:p w:rsidR="008C5B42" w:rsidRDefault="008C5B4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E2"/>
    <w:rsid w:val="00005284"/>
    <w:rsid w:val="000228CE"/>
    <w:rsid w:val="00025B32"/>
    <w:rsid w:val="00043928"/>
    <w:rsid w:val="00083974"/>
    <w:rsid w:val="000C102A"/>
    <w:rsid w:val="000C7420"/>
    <w:rsid w:val="000E1AD7"/>
    <w:rsid w:val="00120228"/>
    <w:rsid w:val="00161F52"/>
    <w:rsid w:val="00194D54"/>
    <w:rsid w:val="001A064C"/>
    <w:rsid w:val="001D7CCE"/>
    <w:rsid w:val="0022743E"/>
    <w:rsid w:val="002B42C1"/>
    <w:rsid w:val="002C664D"/>
    <w:rsid w:val="00315B90"/>
    <w:rsid w:val="0036166C"/>
    <w:rsid w:val="00376887"/>
    <w:rsid w:val="003B1D60"/>
    <w:rsid w:val="003B3681"/>
    <w:rsid w:val="003C1970"/>
    <w:rsid w:val="003E0A80"/>
    <w:rsid w:val="003F2E56"/>
    <w:rsid w:val="00433B48"/>
    <w:rsid w:val="00456116"/>
    <w:rsid w:val="00470E3B"/>
    <w:rsid w:val="00495FEB"/>
    <w:rsid w:val="004A526E"/>
    <w:rsid w:val="004A7D58"/>
    <w:rsid w:val="004C6374"/>
    <w:rsid w:val="004C694A"/>
    <w:rsid w:val="005171FB"/>
    <w:rsid w:val="00536BBE"/>
    <w:rsid w:val="00547B0B"/>
    <w:rsid w:val="00564FD9"/>
    <w:rsid w:val="005C51CB"/>
    <w:rsid w:val="005D112F"/>
    <w:rsid w:val="005E0954"/>
    <w:rsid w:val="0068291A"/>
    <w:rsid w:val="006A0D0C"/>
    <w:rsid w:val="006A717A"/>
    <w:rsid w:val="006D1518"/>
    <w:rsid w:val="006D595B"/>
    <w:rsid w:val="006F0259"/>
    <w:rsid w:val="006F6954"/>
    <w:rsid w:val="006F6B6C"/>
    <w:rsid w:val="00720833"/>
    <w:rsid w:val="007214A3"/>
    <w:rsid w:val="00721AB6"/>
    <w:rsid w:val="00787490"/>
    <w:rsid w:val="007A4BEC"/>
    <w:rsid w:val="007E375C"/>
    <w:rsid w:val="007F2550"/>
    <w:rsid w:val="007F42B8"/>
    <w:rsid w:val="00806878"/>
    <w:rsid w:val="00827AD0"/>
    <w:rsid w:val="00837FE4"/>
    <w:rsid w:val="0084162B"/>
    <w:rsid w:val="00844895"/>
    <w:rsid w:val="008519A5"/>
    <w:rsid w:val="00854DDB"/>
    <w:rsid w:val="008777EA"/>
    <w:rsid w:val="00886B7D"/>
    <w:rsid w:val="008A0669"/>
    <w:rsid w:val="008A0C86"/>
    <w:rsid w:val="008A30E4"/>
    <w:rsid w:val="008C5B42"/>
    <w:rsid w:val="008C6E8D"/>
    <w:rsid w:val="00925789"/>
    <w:rsid w:val="00925A44"/>
    <w:rsid w:val="0093785D"/>
    <w:rsid w:val="00950C23"/>
    <w:rsid w:val="009603DD"/>
    <w:rsid w:val="009E5737"/>
    <w:rsid w:val="009E5FED"/>
    <w:rsid w:val="00A53102"/>
    <w:rsid w:val="00AA078F"/>
    <w:rsid w:val="00AE79FB"/>
    <w:rsid w:val="00AF59CB"/>
    <w:rsid w:val="00B24A0E"/>
    <w:rsid w:val="00B30E6F"/>
    <w:rsid w:val="00B448FD"/>
    <w:rsid w:val="00B8179B"/>
    <w:rsid w:val="00B85A67"/>
    <w:rsid w:val="00B93B7F"/>
    <w:rsid w:val="00B97AC9"/>
    <w:rsid w:val="00BB19AE"/>
    <w:rsid w:val="00BC0B80"/>
    <w:rsid w:val="00BD741C"/>
    <w:rsid w:val="00BF5619"/>
    <w:rsid w:val="00C60AAD"/>
    <w:rsid w:val="00C62726"/>
    <w:rsid w:val="00C874DE"/>
    <w:rsid w:val="00CF4D2A"/>
    <w:rsid w:val="00D31228"/>
    <w:rsid w:val="00D3678E"/>
    <w:rsid w:val="00D473BF"/>
    <w:rsid w:val="00D829AF"/>
    <w:rsid w:val="00DB1B3A"/>
    <w:rsid w:val="00E21EDE"/>
    <w:rsid w:val="00E411B6"/>
    <w:rsid w:val="00E524A9"/>
    <w:rsid w:val="00E67ECE"/>
    <w:rsid w:val="00EA590F"/>
    <w:rsid w:val="00EC0155"/>
    <w:rsid w:val="00EC7BDA"/>
    <w:rsid w:val="00EF40C4"/>
    <w:rsid w:val="00F37FF7"/>
    <w:rsid w:val="00F64191"/>
    <w:rsid w:val="00F66099"/>
    <w:rsid w:val="00F769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CACBB0-D24B-4747-ABD7-BC4480A9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uppressAutoHyphens/>
    </w:pPr>
    <w:rPr>
      <w:sz w:val="24"/>
      <w:szCs w:val="24"/>
      <w:lang w:eastAsia="ar-SA" w:bidi="ar-SA"/>
    </w:rPr>
  </w:style>
  <w:style w:type="paragraph" w:styleId="1">
    <w:name w:val="heading 1"/>
    <w:basedOn w:val="a"/>
    <w:next w:val="a"/>
    <w:link w:val="10"/>
    <w:qFormat/>
    <w:rsid w:val="00D473B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1">
    <w:name w:val="WW8Num1z1"/>
    <w:rPr>
      <w:rFonts w:ascii="Symbol" w:hAnsi="Symbol"/>
    </w:rPr>
  </w:style>
  <w:style w:type="character" w:customStyle="1" w:styleId="WW8Num2z0">
    <w:name w:val="WW8Num2z0"/>
    <w:rPr>
      <w:i w:val="0"/>
    </w:rPr>
  </w:style>
  <w:style w:type="character" w:customStyle="1" w:styleId="WW8Num3z1">
    <w:name w:val="WW8Num3z1"/>
    <w:rPr>
      <w:rFonts w:ascii="Symbol" w:hAnsi="Symbol"/>
    </w:rPr>
  </w:style>
  <w:style w:type="character" w:customStyle="1" w:styleId="WW8Num4z0">
    <w:name w:val="WW8Num4z0"/>
    <w:rPr>
      <w:i w:val="0"/>
    </w:rPr>
  </w:style>
  <w:style w:type="character" w:customStyle="1" w:styleId="WW8Num5z1">
    <w:name w:val="WW8Num5z1"/>
    <w:rPr>
      <w:rFonts w:ascii="Symbol" w:hAnsi="Symbol"/>
    </w:rPr>
  </w:style>
  <w:style w:type="character" w:styleId="a3">
    <w:name w:val="Default Paragraph Font"/>
  </w:style>
  <w:style w:type="character" w:customStyle="1" w:styleId="FootnoteCharacters">
    <w:name w:val="Footnote Characters"/>
    <w:rPr>
      <w:vertAlign w:val="superscript"/>
    </w:rPr>
  </w:style>
  <w:style w:type="character" w:styleId="a4">
    <w:name w:val="annotation reference"/>
    <w:uiPriority w:val="99"/>
    <w:rPr>
      <w:sz w:val="16"/>
      <w:szCs w:val="16"/>
    </w:rPr>
  </w:style>
  <w:style w:type="character" w:styleId="a5">
    <w:name w:val="page number"/>
    <w:basedOn w:val="a3"/>
  </w:style>
  <w:style w:type="character" w:styleId="a6">
    <w:name w:val="Strong"/>
    <w:qFormat/>
    <w:rPr>
      <w:b/>
      <w:bCs/>
    </w:rPr>
  </w:style>
  <w:style w:type="character" w:customStyle="1" w:styleId="HeaderChar">
    <w:name w:val="Header Char"/>
    <w:rPr>
      <w:sz w:val="24"/>
      <w:szCs w:val="24"/>
      <w:lang w:eastAsia="ar-SA" w:bidi="ar-SA"/>
    </w:rPr>
  </w:style>
  <w:style w:type="character" w:styleId="Hyperlink">
    <w:name w:val="Hyperlink"/>
    <w:rPr>
      <w:color w:val="0000FF"/>
      <w:u w:val="single"/>
    </w:rPr>
  </w:style>
  <w:style w:type="character" w:styleId="a7">
    <w:name w:val="footnote reference"/>
    <w:semiHidden/>
    <w:rPr>
      <w:vertAlign w:val="superscript"/>
    </w:rPr>
  </w:style>
  <w:style w:type="character" w:styleId="a8">
    <w:name w:val="endnote reference"/>
    <w:semiHidden/>
    <w:rPr>
      <w:vertAlign w:val="superscript"/>
    </w:rPr>
  </w:style>
  <w:style w:type="character" w:customStyle="1" w:styleId="EndnoteCharacters">
    <w:name w:val="Endnote Characters"/>
  </w:style>
  <w:style w:type="paragraph" w:customStyle="1" w:styleId="Heading">
    <w:name w:val="Heading"/>
    <w:basedOn w:val="a"/>
    <w:next w:val="a9"/>
    <w:pPr>
      <w:keepNext/>
      <w:spacing w:before="240" w:after="120"/>
    </w:pPr>
    <w:rPr>
      <w:rFonts w:ascii="Palatino Linotype" w:eastAsia="Lucida Sans Unicode" w:hAnsi="Palatino Linotype" w:cs="David"/>
      <w:sz w:val="28"/>
      <w:szCs w:val="28"/>
    </w:rPr>
  </w:style>
  <w:style w:type="paragraph" w:styleId="a9">
    <w:name w:val="Body Text"/>
    <w:basedOn w:val="a"/>
    <w:pPr>
      <w:spacing w:after="120"/>
    </w:pPr>
  </w:style>
  <w:style w:type="paragraph" w:styleId="aa">
    <w:name w:val="List"/>
    <w:basedOn w:val="a9"/>
    <w:rPr>
      <w:rFonts w:ascii="Palatino Linotype" w:hAnsi="Palatino Linotype" w:cs="David"/>
    </w:rPr>
  </w:style>
  <w:style w:type="paragraph" w:styleId="ab">
    <w:name w:val="caption"/>
    <w:basedOn w:val="a"/>
    <w:qFormat/>
    <w:pPr>
      <w:suppressLineNumbers/>
      <w:spacing w:before="120" w:after="120"/>
    </w:pPr>
    <w:rPr>
      <w:rFonts w:ascii="Palatino Linotype" w:hAnsi="Palatino Linotype" w:cs="David"/>
      <w:i/>
      <w:iCs/>
    </w:rPr>
  </w:style>
  <w:style w:type="paragraph" w:customStyle="1" w:styleId="Index">
    <w:name w:val="Index"/>
    <w:basedOn w:val="a"/>
    <w:pPr>
      <w:suppressLineNumbers/>
    </w:pPr>
    <w:rPr>
      <w:rFonts w:ascii="Palatino Linotype" w:hAnsi="Palatino Linotype" w:cs="David"/>
    </w:rPr>
  </w:style>
  <w:style w:type="paragraph" w:styleId="ac">
    <w:name w:val="footnote text"/>
    <w:basedOn w:val="a"/>
    <w:rPr>
      <w:sz w:val="20"/>
      <w:szCs w:val="20"/>
    </w:rPr>
  </w:style>
  <w:style w:type="paragraph" w:styleId="ad">
    <w:name w:val="annotation text"/>
    <w:basedOn w:val="a"/>
    <w:link w:val="ae"/>
    <w:uiPriority w:val="99"/>
    <w:rPr>
      <w:sz w:val="20"/>
      <w:szCs w:val="20"/>
    </w:rPr>
  </w:style>
  <w:style w:type="paragraph" w:styleId="af">
    <w:name w:val="annotation subject"/>
    <w:basedOn w:val="ad"/>
    <w:next w:val="ad"/>
    <w:rPr>
      <w:b/>
      <w:bCs/>
    </w:rPr>
  </w:style>
  <w:style w:type="paragraph" w:styleId="af0">
    <w:name w:val="Balloon Text"/>
    <w:basedOn w:val="a"/>
    <w:rPr>
      <w:rFonts w:ascii="Tahoma" w:hAnsi="Tahoma"/>
      <w:sz w:val="16"/>
      <w:szCs w:val="16"/>
    </w:rPr>
  </w:style>
  <w:style w:type="paragraph" w:styleId="af1">
    <w:name w:val="footer"/>
    <w:basedOn w:val="a"/>
    <w:pPr>
      <w:tabs>
        <w:tab w:val="center" w:pos="4320"/>
        <w:tab w:val="right" w:pos="8640"/>
      </w:tabs>
    </w:pPr>
  </w:style>
  <w:style w:type="paragraph" w:styleId="af2">
    <w:name w:val="header"/>
    <w:basedOn w:val="a"/>
    <w:link w:val="af3"/>
    <w:pPr>
      <w:tabs>
        <w:tab w:val="center" w:pos="4153"/>
        <w:tab w:val="right" w:pos="8306"/>
      </w:tabs>
    </w:pPr>
  </w:style>
  <w:style w:type="paragraph" w:customStyle="1" w:styleId="Framecontents">
    <w:name w:val="Frame contents"/>
    <w:basedOn w:val="a9"/>
  </w:style>
  <w:style w:type="paragraph" w:customStyle="1" w:styleId="11">
    <w:name w:val="טקסט בלוק1"/>
    <w:basedOn w:val="a"/>
    <w:rsid w:val="008C5B42"/>
    <w:pPr>
      <w:spacing w:before="120" w:after="120" w:line="480" w:lineRule="auto"/>
    </w:pPr>
    <w:rPr>
      <w:rFonts w:cs="Calibri"/>
      <w:lang w:eastAsia="he-IL" w:bidi="he-IL"/>
    </w:rPr>
  </w:style>
  <w:style w:type="character" w:customStyle="1" w:styleId="ae">
    <w:name w:val="טקסט הערה תו"/>
    <w:link w:val="ad"/>
    <w:uiPriority w:val="99"/>
    <w:rsid w:val="008C5B42"/>
    <w:rPr>
      <w:lang w:eastAsia="ar-SA" w:bidi="ar-SA"/>
    </w:rPr>
  </w:style>
  <w:style w:type="character" w:customStyle="1" w:styleId="af3">
    <w:name w:val="כותרת עליונה תו"/>
    <w:link w:val="af2"/>
    <w:rsid w:val="00B24A0E"/>
    <w:rPr>
      <w:sz w:val="24"/>
      <w:szCs w:val="24"/>
      <w:lang w:eastAsia="ar-SA" w:bidi="ar-SA"/>
    </w:rPr>
  </w:style>
  <w:style w:type="character" w:customStyle="1" w:styleId="10">
    <w:name w:val="כותרת 1 תו"/>
    <w:basedOn w:val="a0"/>
    <w:link w:val="1"/>
    <w:rsid w:val="00D473BF"/>
    <w:rPr>
      <w:rFonts w:asciiTheme="majorHAnsi" w:eastAsiaTheme="majorEastAsia" w:hAnsiTheme="majorHAnsi" w:cstheme="majorBidi"/>
      <w:color w:val="2F5496" w:themeColor="accent1" w:themeShade="BF"/>
      <w:sz w:val="32"/>
      <w:szCs w:val="32"/>
      <w:lang w:eastAsia="ar-SA" w:bidi="ar-SA"/>
    </w:rPr>
  </w:style>
  <w:style w:type="character" w:styleId="af4">
    <w:name w:val="Book Title"/>
    <w:basedOn w:val="a0"/>
    <w:uiPriority w:val="33"/>
    <w:qFormat/>
    <w:rsid w:val="00D473B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biu.ac.il/JS/JSIJ/11-2012/Novick.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u.ac.il/JS/JSIJ/11-2012/Novick.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u.ac.il/JS/JSIJ/11-2012/Novick.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CA9552-A1A6-4BE3-8A0E-F1A664666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7642</Words>
  <Characters>38214</Characters>
  <Application>Microsoft Office Word</Application>
  <DocSecurity>0</DocSecurity>
  <Lines>318</Lines>
  <Paragraphs>91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In a 1998 article in the journal Sinai, Ilana Katzenellenbogen examines the history of the break-down of the weekly Torah port</vt:lpstr>
      <vt:lpstr>In a 1998 article in the journal Sinai, Ilana Katzenellenbogen examines the history of the break-down of the weekly Torah port</vt:lpstr>
    </vt:vector>
  </TitlesOfParts>
  <Company>BIU</Company>
  <LinksUpToDate>false</LinksUpToDate>
  <CharactersWithSpaces>45765</CharactersWithSpaces>
  <SharedDoc>false</SharedDoc>
  <HLinks>
    <vt:vector size="18" baseType="variant">
      <vt:variant>
        <vt:i4>7077997</vt:i4>
      </vt:variant>
      <vt:variant>
        <vt:i4>6</vt:i4>
      </vt:variant>
      <vt:variant>
        <vt:i4>0</vt:i4>
      </vt:variant>
      <vt:variant>
        <vt:i4>5</vt:i4>
      </vt:variant>
      <vt:variant>
        <vt:lpwstr>http://www.biu.ac.il/JS/JSIJ/11-2012/Novick.pdf</vt:lpwstr>
      </vt:variant>
      <vt:variant>
        <vt:lpwstr/>
      </vt:variant>
      <vt:variant>
        <vt:i4>7077997</vt:i4>
      </vt:variant>
      <vt:variant>
        <vt:i4>3</vt:i4>
      </vt:variant>
      <vt:variant>
        <vt:i4>0</vt:i4>
      </vt:variant>
      <vt:variant>
        <vt:i4>5</vt:i4>
      </vt:variant>
      <vt:variant>
        <vt:lpwstr>http://www.biu.ac.il/JS/JSIJ/11-2012/Novick.pdf</vt:lpwstr>
      </vt:variant>
      <vt:variant>
        <vt:lpwstr/>
      </vt:variant>
      <vt:variant>
        <vt:i4>7077997</vt:i4>
      </vt:variant>
      <vt:variant>
        <vt:i4>0</vt:i4>
      </vt:variant>
      <vt:variant>
        <vt:i4>0</vt:i4>
      </vt:variant>
      <vt:variant>
        <vt:i4>5</vt:i4>
      </vt:variant>
      <vt:variant>
        <vt:lpwstr>http://www.biu.ac.il/JS/JSIJ/11-2012/Novick.pdf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a 1998 article in the journal Sinai, Ilana Katzenellenbogen examines the history of the break-down of the weekly Torah port</dc:title>
  <dc:subject/>
  <dc:creator>Orly Stulberg</dc:creator>
  <cp:keywords/>
  <cp:lastModifiedBy>עופרה שטיינמץ</cp:lastModifiedBy>
  <cp:revision>2</cp:revision>
  <cp:lastPrinted>2012-08-22T10:41:00Z</cp:lastPrinted>
  <dcterms:created xsi:type="dcterms:W3CDTF">2017-09-14T11:40:00Z</dcterms:created>
  <dcterms:modified xsi:type="dcterms:W3CDTF">2017-09-14T11:40:00Z</dcterms:modified>
</cp:coreProperties>
</file>