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6ED7" w:rsidRPr="00EE6ED7" w:rsidRDefault="00EE6ED7"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b/>
          <w:bCs/>
          <w:sz w:val="26"/>
          <w:szCs w:val="26"/>
        </w:rPr>
      </w:pPr>
    </w:p>
    <w:p w:rsidR="00EE6ED7" w:rsidRPr="00C95C0B" w:rsidRDefault="00EE6ED7" w:rsidP="00C95C0B">
      <w:pPr>
        <w:pStyle w:val="1"/>
        <w:jc w:val="center"/>
        <w:rPr>
          <w:rFonts w:asciiTheme="majorBidi" w:hAnsiTheme="majorBidi"/>
          <w:color w:val="000000" w:themeColor="text1"/>
          <w:rtl/>
        </w:rPr>
      </w:pPr>
      <w:bookmarkStart w:id="0" w:name="_GoBack"/>
    </w:p>
    <w:p w:rsidR="00EE6ED7" w:rsidRPr="00C95C0B" w:rsidRDefault="00EE6ED7" w:rsidP="00C95C0B">
      <w:pPr>
        <w:pStyle w:val="1"/>
        <w:jc w:val="center"/>
        <w:rPr>
          <w:rFonts w:asciiTheme="majorBidi" w:hAnsiTheme="majorBidi"/>
          <w:color w:val="000000" w:themeColor="text1"/>
          <w:rtl/>
        </w:rPr>
      </w:pPr>
    </w:p>
    <w:p w:rsidR="00105DEE" w:rsidRPr="00C95C0B" w:rsidRDefault="00105DEE" w:rsidP="00C95C0B">
      <w:pPr>
        <w:pStyle w:val="1"/>
        <w:jc w:val="center"/>
        <w:rPr>
          <w:rFonts w:asciiTheme="majorBidi" w:hAnsiTheme="majorBidi"/>
          <w:caps/>
          <w:color w:val="000000" w:themeColor="text1"/>
        </w:rPr>
      </w:pPr>
      <w:r w:rsidRPr="00C95C0B">
        <w:rPr>
          <w:rFonts w:asciiTheme="majorBidi" w:hAnsiTheme="majorBidi"/>
          <w:caps/>
          <w:color w:val="000000" w:themeColor="text1"/>
        </w:rPr>
        <w:t xml:space="preserve">On the Original Structure and Meaning of </w:t>
      </w:r>
      <w:r w:rsidRPr="00C95C0B">
        <w:rPr>
          <w:rFonts w:asciiTheme="majorBidi" w:hAnsiTheme="majorBidi"/>
          <w:i/>
          <w:iCs/>
          <w:caps/>
          <w:color w:val="000000" w:themeColor="text1"/>
        </w:rPr>
        <w:t>Mah Nishtannah</w:t>
      </w:r>
      <w:r w:rsidRPr="00C95C0B">
        <w:rPr>
          <w:rFonts w:asciiTheme="majorBidi" w:hAnsiTheme="majorBidi"/>
          <w:caps/>
          <w:color w:val="000000" w:themeColor="text1"/>
        </w:rPr>
        <w:t xml:space="preserve"> and the History of </w:t>
      </w:r>
      <w:r w:rsidR="00A41BC9" w:rsidRPr="00C95C0B">
        <w:rPr>
          <w:rFonts w:asciiTheme="majorBidi" w:hAnsiTheme="majorBidi"/>
          <w:caps/>
          <w:color w:val="000000" w:themeColor="text1"/>
        </w:rPr>
        <w:t xml:space="preserve">Its </w:t>
      </w:r>
      <w:r w:rsidRPr="00C95C0B">
        <w:rPr>
          <w:rFonts w:asciiTheme="majorBidi" w:hAnsiTheme="majorBidi"/>
          <w:caps/>
          <w:color w:val="000000" w:themeColor="text1"/>
        </w:rPr>
        <w:t>Reinterpretation</w:t>
      </w:r>
      <w:r w:rsidR="0014624C" w:rsidRPr="00C95C0B">
        <w:rPr>
          <w:rStyle w:val="a5"/>
          <w:rFonts w:asciiTheme="majorBidi" w:hAnsiTheme="majorBidi"/>
          <w:caps/>
          <w:color w:val="000000" w:themeColor="text1"/>
        </w:rPr>
        <w:footnoteReference w:customMarkFollows="1" w:id="2"/>
        <w:t>*</w:t>
      </w:r>
    </w:p>
    <w:bookmarkEnd w:id="0"/>
    <w:p w:rsidR="00105DEE"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EE6ED7" w:rsidRPr="00EE6ED7" w:rsidRDefault="00EE6ED7"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center"/>
        <w:rPr>
          <w:caps/>
          <w:sz w:val="26"/>
          <w:szCs w:val="26"/>
        </w:rPr>
      </w:pPr>
      <w:r w:rsidRPr="00EE6ED7">
        <w:rPr>
          <w:caps/>
          <w:sz w:val="26"/>
          <w:szCs w:val="26"/>
        </w:rPr>
        <w:t>Richard C. Steiner</w:t>
      </w:r>
      <w:r w:rsidR="007500D9" w:rsidRPr="00EE6ED7">
        <w:rPr>
          <w:rStyle w:val="a5"/>
          <w:caps/>
          <w:sz w:val="26"/>
          <w:szCs w:val="26"/>
        </w:rPr>
        <w:footnoteReference w:customMarkFollows="1" w:id="3"/>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center"/>
        <w:rPr>
          <w:sz w:val="26"/>
          <w:szCs w:val="26"/>
        </w:rPr>
      </w:pPr>
      <w:r w:rsidRPr="00EE6ED7">
        <w:rPr>
          <w:sz w:val="26"/>
          <w:szCs w:val="26"/>
          <w:rtl/>
        </w:rPr>
        <w:t>לעילוי נשמת הלל בן אהרן גולדשטיין</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I. INTRODUCTION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How many questions are there in the Four Questions?</w:t>
      </w:r>
      <w:r w:rsidR="00A0309A" w:rsidRPr="00EE6ED7">
        <w:rPr>
          <w:sz w:val="26"/>
          <w:szCs w:val="26"/>
        </w:rPr>
        <w:t xml:space="preserve"> </w:t>
      </w:r>
      <w:r w:rsidRPr="00EE6ED7">
        <w:rPr>
          <w:sz w:val="26"/>
          <w:szCs w:val="26"/>
        </w:rPr>
        <w:t xml:space="preserve">Contrary to appearances, this is not the Jewish equivalent of Groucho Marx’s </w:t>
      </w:r>
      <w:r w:rsidRPr="00EE6ED7">
        <w:rPr>
          <w:sz w:val="26"/>
          <w:szCs w:val="26"/>
        </w:rPr>
        <w:lastRenderedPageBreak/>
        <w:t>famous no-brainer, “Who’s buried in Grant’s tomb?”</w:t>
      </w:r>
      <w:r w:rsidR="00A0309A" w:rsidRPr="00EE6ED7">
        <w:rPr>
          <w:sz w:val="26"/>
          <w:szCs w:val="26"/>
        </w:rPr>
        <w:t xml:space="preserve"> </w:t>
      </w:r>
      <w:r w:rsidRPr="00EE6ED7">
        <w:rPr>
          <w:sz w:val="26"/>
          <w:szCs w:val="26"/>
        </w:rPr>
        <w:t xml:space="preserve">Some scholars would reply that although the most common versions of </w:t>
      </w:r>
      <w:r w:rsidRPr="00EE6ED7">
        <w:rPr>
          <w:sz w:val="26"/>
          <w:szCs w:val="26"/>
          <w:rtl/>
        </w:rPr>
        <w:t>מה נשתנה</w:t>
      </w:r>
      <w:r w:rsidRPr="00EE6ED7">
        <w:rPr>
          <w:sz w:val="26"/>
          <w:szCs w:val="26"/>
        </w:rPr>
        <w:t xml:space="preserve"> in the Haggadah and the Mishnah have four questions, there are also versions with five, three (esp</w:t>
      </w:r>
      <w:r w:rsidR="00111094">
        <w:rPr>
          <w:sz w:val="26"/>
          <w:szCs w:val="26"/>
        </w:rPr>
        <w:t>ecially</w:t>
      </w:r>
      <w:r w:rsidRPr="00EE6ED7">
        <w:rPr>
          <w:sz w:val="26"/>
          <w:szCs w:val="26"/>
        </w:rPr>
        <w:t xml:space="preserve"> the Palestinian version of the Mishnah) and two.</w:t>
      </w:r>
      <w:r w:rsidRPr="00EE6ED7">
        <w:rPr>
          <w:sz w:val="26"/>
          <w:szCs w:val="26"/>
          <w:vertAlign w:val="superscript"/>
        </w:rPr>
        <w:footnoteReference w:id="4"/>
      </w:r>
      <w:r w:rsidR="00A0309A" w:rsidRPr="00EE6ED7">
        <w:rPr>
          <w:sz w:val="26"/>
          <w:szCs w:val="26"/>
        </w:rPr>
        <w:t xml:space="preserve"> </w:t>
      </w:r>
      <w:r w:rsidRPr="00EE6ED7">
        <w:rPr>
          <w:sz w:val="26"/>
          <w:szCs w:val="26"/>
        </w:rPr>
        <w:t xml:space="preserve">Others would argue that </w:t>
      </w:r>
      <w:r w:rsidRPr="00EE6ED7">
        <w:rPr>
          <w:sz w:val="26"/>
          <w:szCs w:val="26"/>
          <w:rtl/>
        </w:rPr>
        <w:t>מה נשתנה</w:t>
      </w:r>
      <w:r w:rsidRPr="00EE6ED7">
        <w:rPr>
          <w:sz w:val="26"/>
          <w:szCs w:val="26"/>
        </w:rPr>
        <w:t xml:space="preserve"> is really an exclamation and thus contains no questions at all.</w:t>
      </w:r>
      <w:r w:rsidR="0014624C" w:rsidRPr="00EE6ED7">
        <w:rPr>
          <w:sz w:val="26"/>
          <w:szCs w:val="26"/>
        </w:rPr>
        <w:t xml:space="preserve"> </w:t>
      </w:r>
      <w:r w:rsidRPr="00EE6ED7">
        <w:rPr>
          <w:sz w:val="26"/>
          <w:szCs w:val="26"/>
        </w:rPr>
        <w:t xml:space="preserve">Modern scholars have paid very little attention to another possibility: that there was one and only one question in all versions of </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This is a striking oversight, since it ignores the view of almost every medieval commentator.</w:t>
      </w:r>
    </w:p>
    <w:p w:rsidR="00105DEE" w:rsidRPr="00EE6ED7" w:rsidRDefault="00105DEE" w:rsidP="00C621F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R. Saadia Gaon ends his Arabic introduction to </w:t>
      </w:r>
      <w:r w:rsidRPr="00EE6ED7">
        <w:rPr>
          <w:sz w:val="26"/>
          <w:szCs w:val="26"/>
          <w:rtl/>
        </w:rPr>
        <w:t>מה נשתנה</w:t>
      </w:r>
      <w:r w:rsidRPr="00EE6ED7">
        <w:rPr>
          <w:sz w:val="26"/>
          <w:szCs w:val="26"/>
        </w:rPr>
        <w:t xml:space="preserve"> with the words:</w:t>
      </w:r>
      <w:r w:rsidR="0014624C" w:rsidRPr="00EE6ED7">
        <w:rPr>
          <w:sz w:val="26"/>
          <w:szCs w:val="26"/>
        </w:rPr>
        <w:t xml:space="preserve"> </w:t>
      </w:r>
      <w:r w:rsidRPr="00EE6ED7">
        <w:rPr>
          <w:sz w:val="26"/>
          <w:szCs w:val="26"/>
          <w:rtl/>
        </w:rPr>
        <w:t>והד'א אלסאל</w:t>
      </w:r>
      <w:r w:rsidRPr="00EE6ED7">
        <w:rPr>
          <w:sz w:val="26"/>
          <w:szCs w:val="26"/>
        </w:rPr>
        <w:t xml:space="preserve"> “and this is the question.”</w:t>
      </w:r>
      <w:r w:rsidRPr="00EE6ED7">
        <w:rPr>
          <w:sz w:val="26"/>
          <w:szCs w:val="26"/>
          <w:vertAlign w:val="superscript"/>
        </w:rPr>
        <w:footnoteReference w:id="5"/>
      </w:r>
      <w:r w:rsidR="0014624C" w:rsidRPr="00EE6ED7">
        <w:rPr>
          <w:sz w:val="26"/>
          <w:szCs w:val="26"/>
        </w:rPr>
        <w:t xml:space="preserve"> </w:t>
      </w:r>
      <w:r w:rsidRPr="00EE6ED7">
        <w:rPr>
          <w:sz w:val="26"/>
          <w:szCs w:val="26"/>
        </w:rPr>
        <w:t xml:space="preserve">The phrase </w:t>
      </w:r>
      <w:r w:rsidRPr="00EE6ED7">
        <w:rPr>
          <w:sz w:val="26"/>
          <w:szCs w:val="26"/>
          <w:rtl/>
        </w:rPr>
        <w:t>והד'א אלג'ואב</w:t>
      </w:r>
      <w:r w:rsidRPr="00EE6ED7">
        <w:rPr>
          <w:sz w:val="26"/>
          <w:szCs w:val="26"/>
        </w:rPr>
        <w:t xml:space="preserve"> “and this is the answer,” inserted before </w:t>
      </w:r>
      <w:r w:rsidRPr="00EE6ED7">
        <w:rPr>
          <w:sz w:val="26"/>
          <w:szCs w:val="26"/>
          <w:rtl/>
        </w:rPr>
        <w:t>עבדים היינו</w:t>
      </w:r>
      <w:r w:rsidRPr="00EE6ED7">
        <w:rPr>
          <w:sz w:val="26"/>
          <w:szCs w:val="26"/>
        </w:rPr>
        <w:t>, marks the end of the question.</w:t>
      </w:r>
      <w:r w:rsidR="0014624C" w:rsidRPr="00EE6ED7">
        <w:rPr>
          <w:sz w:val="26"/>
          <w:szCs w:val="26"/>
        </w:rPr>
        <w:t xml:space="preserve"> </w:t>
      </w:r>
      <w:r w:rsidRPr="00EE6ED7">
        <w:rPr>
          <w:sz w:val="26"/>
          <w:szCs w:val="26"/>
        </w:rPr>
        <w:t>An early anonymous commentary has</w:t>
      </w:r>
      <w:r w:rsidR="00F477D6" w:rsidRPr="00EE6ED7">
        <w:rPr>
          <w:sz w:val="26"/>
          <w:szCs w:val="26"/>
        </w:rPr>
        <w:t>:</w:t>
      </w:r>
      <w:r w:rsidRPr="00EE6ED7">
        <w:rPr>
          <w:sz w:val="26"/>
          <w:szCs w:val="26"/>
          <w:rtl/>
        </w:rPr>
        <w:t xml:space="preserve">אנו מתחילין ופותחין </w:t>
      </w:r>
      <w:r w:rsidRPr="00111094">
        <w:rPr>
          <w:sz w:val="26"/>
          <w:szCs w:val="26"/>
          <w:u w:val="single"/>
          <w:rtl/>
        </w:rPr>
        <w:t>בשאלה</w:t>
      </w:r>
      <w:r w:rsidRPr="00EE6ED7">
        <w:rPr>
          <w:sz w:val="26"/>
          <w:szCs w:val="26"/>
          <w:rtl/>
        </w:rPr>
        <w:t xml:space="preserve"> מה נשתנה</w:t>
      </w:r>
      <w:r w:rsidRPr="00EE6ED7">
        <w:rPr>
          <w:sz w:val="26"/>
          <w:szCs w:val="26"/>
        </w:rPr>
        <w:t>.</w:t>
      </w:r>
      <w:r w:rsidRPr="00EE6ED7">
        <w:rPr>
          <w:sz w:val="26"/>
          <w:szCs w:val="26"/>
          <w:vertAlign w:val="superscript"/>
        </w:rPr>
        <w:footnoteReference w:id="6"/>
      </w:r>
      <w:r w:rsidR="0014624C" w:rsidRPr="00EE6ED7">
        <w:rPr>
          <w:sz w:val="26"/>
          <w:szCs w:val="26"/>
        </w:rPr>
        <w:t xml:space="preserve"> </w:t>
      </w:r>
      <w:r w:rsidRPr="00EE6ED7">
        <w:rPr>
          <w:sz w:val="26"/>
          <w:szCs w:val="26"/>
        </w:rPr>
        <w:t xml:space="preserve">And on </w:t>
      </w:r>
      <w:r w:rsidRPr="00EE6ED7">
        <w:rPr>
          <w:sz w:val="26"/>
          <w:szCs w:val="26"/>
          <w:rtl/>
        </w:rPr>
        <w:t>עבדים היינו לפרעה במצרים</w:t>
      </w:r>
      <w:r w:rsidRPr="00EE6ED7">
        <w:rPr>
          <w:sz w:val="26"/>
          <w:szCs w:val="26"/>
        </w:rPr>
        <w:t xml:space="preserve"> it has:</w:t>
      </w:r>
      <w:r w:rsidRPr="00EE6ED7">
        <w:rPr>
          <w:sz w:val="26"/>
          <w:szCs w:val="26"/>
          <w:rtl/>
        </w:rPr>
        <w:t xml:space="preserve">עכשיו מפרש </w:t>
      </w:r>
      <w:r w:rsidRPr="00111094">
        <w:rPr>
          <w:sz w:val="26"/>
          <w:szCs w:val="26"/>
          <w:u w:val="single"/>
          <w:rtl/>
        </w:rPr>
        <w:t>השאלה</w:t>
      </w:r>
      <w:r w:rsidRPr="00EE6ED7">
        <w:rPr>
          <w:sz w:val="26"/>
          <w:szCs w:val="26"/>
          <w:rtl/>
        </w:rPr>
        <w:t xml:space="preserve"> שאמר מה נשתנה</w:t>
      </w:r>
      <w:r w:rsidRPr="00EE6ED7">
        <w:rPr>
          <w:sz w:val="26"/>
          <w:szCs w:val="26"/>
        </w:rPr>
        <w:t>.</w:t>
      </w:r>
      <w:r w:rsidRPr="00EE6ED7">
        <w:rPr>
          <w:sz w:val="26"/>
          <w:szCs w:val="26"/>
          <w:vertAlign w:val="superscript"/>
        </w:rPr>
        <w:footnoteReference w:id="7"/>
      </w:r>
      <w:r w:rsidR="0014624C" w:rsidRPr="00EE6ED7">
        <w:rPr>
          <w:sz w:val="26"/>
          <w:szCs w:val="26"/>
        </w:rPr>
        <w:t xml:space="preserve"> </w:t>
      </w:r>
      <w:r w:rsidRPr="00EE6ED7">
        <w:rPr>
          <w:sz w:val="26"/>
          <w:szCs w:val="26"/>
        </w:rPr>
        <w:t>R. Eleazar b. Judah of Worms (Rokea</w:t>
      </w:r>
      <w:r w:rsidR="008A2B4A" w:rsidRPr="00111094">
        <w:rPr>
          <w:rFonts w:ascii="CalSemitic" w:hAnsi="CalSemitic"/>
          <w:sz w:val="28"/>
          <w:szCs w:val="26"/>
        </w:rPr>
        <w:t>x</w:t>
      </w:r>
      <w:r w:rsidRPr="00EE6ED7">
        <w:rPr>
          <w:sz w:val="26"/>
          <w:szCs w:val="26"/>
        </w:rPr>
        <w:t xml:space="preserve">) writes: </w:t>
      </w:r>
      <w:r w:rsidRPr="00EE6ED7">
        <w:rPr>
          <w:sz w:val="26"/>
          <w:szCs w:val="26"/>
          <w:rtl/>
        </w:rPr>
        <w:t>עבדים היינו</w:t>
      </w:r>
      <w:r w:rsidR="0014624C" w:rsidRPr="00EE6ED7">
        <w:rPr>
          <w:sz w:val="26"/>
          <w:szCs w:val="26"/>
          <w:rtl/>
        </w:rPr>
        <w:t xml:space="preserve"> </w:t>
      </w:r>
      <w:r w:rsidR="004C749E">
        <w:rPr>
          <w:rFonts w:hint="cs"/>
          <w:sz w:val="26"/>
          <w:szCs w:val="26"/>
          <w:rtl/>
        </w:rPr>
        <w:t xml:space="preserve">לפרעה במצרים </w:t>
      </w:r>
      <w:r w:rsidRPr="00EE6ED7">
        <w:rPr>
          <w:sz w:val="26"/>
          <w:szCs w:val="26"/>
          <w:rtl/>
        </w:rPr>
        <w:t xml:space="preserve">- עתה משיב </w:t>
      </w:r>
      <w:r w:rsidRPr="00111094">
        <w:rPr>
          <w:sz w:val="26"/>
          <w:szCs w:val="26"/>
          <w:u w:val="single"/>
          <w:rtl/>
        </w:rPr>
        <w:t>בהשאלה</w:t>
      </w:r>
      <w:r w:rsidRPr="00EE6ED7">
        <w:rPr>
          <w:sz w:val="26"/>
          <w:szCs w:val="26"/>
          <w:rtl/>
        </w:rPr>
        <w:t xml:space="preserve"> ששאל מה נשתנה</w:t>
      </w:r>
      <w:r w:rsidRPr="00EE6ED7">
        <w:rPr>
          <w:sz w:val="26"/>
          <w:szCs w:val="26"/>
        </w:rPr>
        <w:t>.</w:t>
      </w:r>
      <w:r w:rsidRPr="00EE6ED7">
        <w:rPr>
          <w:sz w:val="26"/>
          <w:szCs w:val="26"/>
          <w:vertAlign w:val="superscript"/>
        </w:rPr>
        <w:footnoteReference w:id="8"/>
      </w:r>
      <w:r w:rsidR="0014624C" w:rsidRPr="00EE6ED7">
        <w:rPr>
          <w:sz w:val="26"/>
          <w:szCs w:val="26"/>
        </w:rPr>
        <w:t xml:space="preserve"> </w:t>
      </w:r>
      <w:r w:rsidRPr="00EE6ED7">
        <w:rPr>
          <w:sz w:val="26"/>
          <w:szCs w:val="26"/>
        </w:rPr>
        <w:t>A student of Rokea</w:t>
      </w:r>
      <w:r w:rsidR="008A2B4A" w:rsidRPr="00111094">
        <w:rPr>
          <w:rFonts w:ascii="CalSemitic" w:hAnsi="CalSemitic"/>
          <w:sz w:val="28"/>
          <w:szCs w:val="26"/>
        </w:rPr>
        <w:t>x</w:t>
      </w:r>
      <w:r w:rsidRPr="00EE6ED7">
        <w:rPr>
          <w:sz w:val="26"/>
          <w:szCs w:val="26"/>
        </w:rPr>
        <w:t xml:space="preserve"> makes a similar comment:</w:t>
      </w:r>
      <w:r w:rsidRPr="00EE6ED7">
        <w:rPr>
          <w:sz w:val="26"/>
          <w:szCs w:val="26"/>
          <w:rtl/>
        </w:rPr>
        <w:t xml:space="preserve">עבדים היינו - עתה מתרץ </w:t>
      </w:r>
      <w:r w:rsidRPr="00EE6ED7">
        <w:rPr>
          <w:sz w:val="26"/>
          <w:szCs w:val="26"/>
          <w:u w:val="single"/>
          <w:rtl/>
        </w:rPr>
        <w:t>שאלת</w:t>
      </w:r>
      <w:r w:rsidRPr="00EE6ED7">
        <w:rPr>
          <w:sz w:val="26"/>
          <w:szCs w:val="26"/>
          <w:rtl/>
        </w:rPr>
        <w:t>י</w:t>
      </w:r>
      <w:r w:rsidR="0014624C" w:rsidRPr="00EE6ED7">
        <w:rPr>
          <w:sz w:val="26"/>
          <w:szCs w:val="26"/>
          <w:rtl/>
        </w:rPr>
        <w:t xml:space="preserve"> </w:t>
      </w:r>
      <w:r w:rsidR="002B066F" w:rsidRPr="00EE6ED7">
        <w:rPr>
          <w:sz w:val="26"/>
          <w:szCs w:val="26"/>
          <w:rtl/>
        </w:rPr>
        <w:t>(</w:t>
      </w:r>
      <w:r w:rsidRPr="00EE6ED7">
        <w:rPr>
          <w:sz w:val="26"/>
          <w:szCs w:val="26"/>
          <w:rtl/>
        </w:rPr>
        <w:t>צ"ל שאלתו</w:t>
      </w:r>
      <w:r w:rsidR="002B066F" w:rsidRPr="00EE6ED7">
        <w:rPr>
          <w:sz w:val="26"/>
          <w:szCs w:val="26"/>
          <w:rtl/>
        </w:rPr>
        <w:t xml:space="preserve">) </w:t>
      </w:r>
      <w:r w:rsidRPr="00EE6ED7">
        <w:rPr>
          <w:sz w:val="26"/>
          <w:szCs w:val="26"/>
          <w:rtl/>
        </w:rPr>
        <w:t>מה נשתנה</w:t>
      </w:r>
      <w:r w:rsidRPr="00EE6ED7">
        <w:rPr>
          <w:sz w:val="26"/>
          <w:szCs w:val="26"/>
        </w:rPr>
        <w:t>.</w:t>
      </w:r>
      <w:r w:rsidRPr="00EE6ED7">
        <w:rPr>
          <w:sz w:val="26"/>
          <w:szCs w:val="26"/>
          <w:vertAlign w:val="superscript"/>
        </w:rPr>
        <w:footnoteReference w:id="9"/>
      </w:r>
      <w:r w:rsidR="0014624C" w:rsidRPr="00EE6ED7">
        <w:rPr>
          <w:sz w:val="26"/>
          <w:szCs w:val="26"/>
        </w:rPr>
        <w:t xml:space="preserve"> </w:t>
      </w:r>
      <w:r w:rsidRPr="00EE6ED7">
        <w:rPr>
          <w:sz w:val="26"/>
          <w:szCs w:val="26"/>
        </w:rPr>
        <w:t>R. Joseph b. Abraham Gikatilla belongs her</w:t>
      </w:r>
      <w:r w:rsidR="00C621F4">
        <w:rPr>
          <w:sz w:val="26"/>
          <w:szCs w:val="26"/>
        </w:rPr>
        <w:t>e as well:</w:t>
      </w:r>
      <w:r w:rsidRPr="00EE6ED7">
        <w:rPr>
          <w:sz w:val="26"/>
          <w:szCs w:val="26"/>
          <w:rtl/>
        </w:rPr>
        <w:t xml:space="preserve">עבדים היינו לפרעה במצרים - הנה התשובה על </w:t>
      </w:r>
      <w:r w:rsidRPr="00EE6ED7">
        <w:rPr>
          <w:sz w:val="26"/>
          <w:szCs w:val="26"/>
          <w:u w:val="single"/>
          <w:rtl/>
        </w:rPr>
        <w:t>שאלת</w:t>
      </w:r>
      <w:r w:rsidRPr="00EE6ED7">
        <w:rPr>
          <w:sz w:val="26"/>
          <w:szCs w:val="26"/>
          <w:rtl/>
        </w:rPr>
        <w:t xml:space="preserve"> מה נשתנה ראוי לומר עבדים היינו ובאמתתם לכיוצא </w:t>
      </w:r>
      <w:r w:rsidRPr="00111094">
        <w:rPr>
          <w:sz w:val="26"/>
          <w:szCs w:val="26"/>
          <w:u w:val="single"/>
          <w:rtl/>
        </w:rPr>
        <w:t>בשאלה</w:t>
      </w:r>
      <w:r w:rsidRPr="00EE6ED7">
        <w:rPr>
          <w:sz w:val="26"/>
          <w:szCs w:val="26"/>
          <w:u w:val="single"/>
          <w:rtl/>
        </w:rPr>
        <w:t xml:space="preserve"> זו</w:t>
      </w:r>
      <w:r w:rsidRPr="00EE6ED7">
        <w:rPr>
          <w:sz w:val="26"/>
          <w:szCs w:val="26"/>
          <w:rtl/>
        </w:rPr>
        <w:t xml:space="preserve"> נתן להשיב בתשובה זו</w:t>
      </w:r>
      <w:r w:rsidRPr="00EE6ED7">
        <w:rPr>
          <w:sz w:val="26"/>
          <w:szCs w:val="26"/>
        </w:rPr>
        <w:t>.</w:t>
      </w:r>
      <w:r w:rsidRPr="00EE6ED7">
        <w:rPr>
          <w:sz w:val="26"/>
          <w:szCs w:val="26"/>
          <w:vertAlign w:val="superscript"/>
        </w:rPr>
        <w:footnoteReference w:id="10"/>
      </w:r>
      <w:r w:rsidR="0014624C" w:rsidRPr="00EE6ED7">
        <w:rPr>
          <w:sz w:val="26"/>
          <w:szCs w:val="26"/>
        </w:rPr>
        <w:t xml:space="preserve"> </w:t>
      </w:r>
      <w:r w:rsidRPr="00EE6ED7">
        <w:rPr>
          <w:sz w:val="26"/>
          <w:szCs w:val="26"/>
        </w:rPr>
        <w:t>So to</w:t>
      </w:r>
      <w:r w:rsidR="00C621F4">
        <w:rPr>
          <w:sz w:val="26"/>
          <w:szCs w:val="26"/>
        </w:rPr>
        <w:t>o R. David b. Joseph Abudarham:</w:t>
      </w:r>
      <w:r w:rsidRPr="00EE6ED7">
        <w:rPr>
          <w:sz w:val="26"/>
          <w:szCs w:val="26"/>
          <w:rtl/>
        </w:rPr>
        <w:t xml:space="preserve">עבדים היינו לפרעה במצרים - זו היא תשובה </w:t>
      </w:r>
      <w:r w:rsidRPr="00111094">
        <w:rPr>
          <w:sz w:val="26"/>
          <w:szCs w:val="26"/>
          <w:u w:val="single"/>
          <w:rtl/>
        </w:rPr>
        <w:t>לשאלת</w:t>
      </w:r>
      <w:r w:rsidRPr="00EE6ED7">
        <w:rPr>
          <w:sz w:val="26"/>
          <w:szCs w:val="26"/>
          <w:rtl/>
        </w:rPr>
        <w:t xml:space="preserve"> מה </w:t>
      </w:r>
      <w:r w:rsidRPr="00EE6ED7">
        <w:rPr>
          <w:sz w:val="26"/>
          <w:szCs w:val="26"/>
          <w:rtl/>
        </w:rPr>
        <w:lastRenderedPageBreak/>
        <w:t>נשתנה</w:t>
      </w:r>
      <w:r w:rsidRPr="00EE6ED7">
        <w:rPr>
          <w:sz w:val="26"/>
          <w:szCs w:val="26"/>
        </w:rPr>
        <w:t>.</w:t>
      </w:r>
      <w:r w:rsidR="0014624C" w:rsidRPr="00EE6ED7">
        <w:rPr>
          <w:sz w:val="26"/>
          <w:szCs w:val="26"/>
        </w:rPr>
        <w:t xml:space="preserve"> </w:t>
      </w:r>
      <w:r w:rsidRPr="00EE6ED7">
        <w:rPr>
          <w:sz w:val="26"/>
          <w:szCs w:val="26"/>
        </w:rPr>
        <w:t>Likewise R. Shem Tov ibn Shem Tov:</w:t>
      </w:r>
      <w:r w:rsidRPr="00EE6ED7">
        <w:rPr>
          <w:sz w:val="26"/>
          <w:szCs w:val="26"/>
          <w:rtl/>
        </w:rPr>
        <w:t>עבדים היינו לפרעה במצרים - התשובה</w:t>
      </w:r>
      <w:r w:rsidR="0014624C" w:rsidRPr="00EE6ED7">
        <w:rPr>
          <w:sz w:val="26"/>
          <w:szCs w:val="26"/>
          <w:rtl/>
        </w:rPr>
        <w:t xml:space="preserve"> </w:t>
      </w:r>
      <w:r w:rsidRPr="00EE6ED7">
        <w:rPr>
          <w:sz w:val="26"/>
          <w:szCs w:val="26"/>
          <w:rtl/>
        </w:rPr>
        <w:t xml:space="preserve">על </w:t>
      </w:r>
      <w:r w:rsidRPr="00111094">
        <w:rPr>
          <w:sz w:val="26"/>
          <w:szCs w:val="26"/>
          <w:u w:val="single"/>
          <w:rtl/>
        </w:rPr>
        <w:t>השאלה</w:t>
      </w:r>
      <w:r w:rsidRPr="00EE6ED7">
        <w:rPr>
          <w:sz w:val="26"/>
          <w:szCs w:val="26"/>
          <w:rtl/>
        </w:rPr>
        <w:t xml:space="preserve"> הוא זו</w:t>
      </w:r>
      <w:r w:rsidRPr="00EE6ED7">
        <w:rPr>
          <w:sz w:val="26"/>
          <w:szCs w:val="26"/>
        </w:rPr>
        <w:t>.</w:t>
      </w:r>
      <w:r w:rsidRPr="00EE6ED7">
        <w:rPr>
          <w:sz w:val="26"/>
          <w:szCs w:val="26"/>
          <w:vertAlign w:val="superscript"/>
          <w:rtl/>
        </w:rPr>
        <w:footnoteReference w:id="11"/>
      </w:r>
      <w:r w:rsidR="0014624C" w:rsidRPr="00EE6ED7">
        <w:rPr>
          <w:sz w:val="26"/>
          <w:szCs w:val="26"/>
        </w:rPr>
        <w:t xml:space="preserve"> </w:t>
      </w:r>
      <w:r w:rsidRPr="00EE6ED7">
        <w:rPr>
          <w:sz w:val="26"/>
          <w:szCs w:val="26"/>
        </w:rPr>
        <w:t xml:space="preserve">R. Simeon b. Zemah Duran begins his discussion of the </w:t>
      </w:r>
      <w:r w:rsidRPr="00EE6ED7">
        <w:rPr>
          <w:sz w:val="26"/>
          <w:szCs w:val="26"/>
          <w:rtl/>
        </w:rPr>
        <w:t>מה נשתנה</w:t>
      </w:r>
      <w:r w:rsidRPr="00EE6ED7">
        <w:rPr>
          <w:sz w:val="26"/>
          <w:szCs w:val="26"/>
        </w:rPr>
        <w:t xml:space="preserve"> with the words:</w:t>
      </w:r>
      <w:r w:rsidRPr="00EE6ED7">
        <w:rPr>
          <w:sz w:val="26"/>
          <w:szCs w:val="26"/>
          <w:rtl/>
        </w:rPr>
        <w:t xml:space="preserve">זאת היא </w:t>
      </w:r>
      <w:r w:rsidRPr="00EE6ED7">
        <w:rPr>
          <w:sz w:val="26"/>
          <w:szCs w:val="26"/>
          <w:u w:val="single"/>
          <w:rtl/>
        </w:rPr>
        <w:t>שאלת</w:t>
      </w:r>
      <w:r w:rsidRPr="00EE6ED7">
        <w:rPr>
          <w:sz w:val="26"/>
          <w:szCs w:val="26"/>
          <w:rtl/>
        </w:rPr>
        <w:t xml:space="preserve"> הבן שהוא רואה חמשה שינויין בלילה הזה מה שאין כן בשאר לילות השנה</w:t>
      </w:r>
      <w:r w:rsidRPr="00EE6ED7">
        <w:rPr>
          <w:sz w:val="26"/>
          <w:szCs w:val="26"/>
        </w:rPr>
        <w:t>.</w:t>
      </w:r>
      <w:r w:rsidR="0014624C" w:rsidRPr="00EE6ED7">
        <w:rPr>
          <w:sz w:val="26"/>
          <w:szCs w:val="26"/>
        </w:rPr>
        <w:t xml:space="preserve"> </w:t>
      </w:r>
      <w:r w:rsidRPr="00EE6ED7">
        <w:rPr>
          <w:sz w:val="26"/>
          <w:szCs w:val="26"/>
        </w:rPr>
        <w:t>After discussing all of the differences, he concludes:</w:t>
      </w:r>
      <w:r w:rsidRPr="00EE6ED7">
        <w:rPr>
          <w:sz w:val="26"/>
          <w:szCs w:val="26"/>
          <w:rtl/>
        </w:rPr>
        <w:t xml:space="preserve">זאת היא </w:t>
      </w:r>
      <w:r w:rsidRPr="00EE6ED7">
        <w:rPr>
          <w:sz w:val="26"/>
          <w:szCs w:val="26"/>
          <w:u w:val="single"/>
          <w:rtl/>
        </w:rPr>
        <w:t>שאלת</w:t>
      </w:r>
      <w:r w:rsidRPr="00EE6ED7">
        <w:rPr>
          <w:sz w:val="26"/>
          <w:szCs w:val="26"/>
          <w:rtl/>
        </w:rPr>
        <w:t xml:space="preserve"> הבן הנבהל לשאול למה היו שינויין אלו וגו'</w:t>
      </w:r>
      <w:r w:rsidRPr="00EE6ED7">
        <w:rPr>
          <w:sz w:val="26"/>
          <w:szCs w:val="26"/>
        </w:rPr>
        <w:t>.</w:t>
      </w:r>
      <w:r w:rsidR="0014624C" w:rsidRPr="00EE6ED7">
        <w:rPr>
          <w:sz w:val="26"/>
          <w:szCs w:val="26"/>
        </w:rPr>
        <w:t xml:space="preserve"> </w:t>
      </w:r>
      <w:r w:rsidRPr="00EE6ED7">
        <w:rPr>
          <w:sz w:val="26"/>
          <w:szCs w:val="26"/>
        </w:rPr>
        <w:t xml:space="preserve">In commenting on </w:t>
      </w:r>
      <w:r w:rsidRPr="00EE6ED7">
        <w:rPr>
          <w:sz w:val="26"/>
          <w:szCs w:val="26"/>
          <w:rtl/>
        </w:rPr>
        <w:t>מעשה בר' אליעזר</w:t>
      </w:r>
      <w:r w:rsidRPr="00EE6ED7">
        <w:rPr>
          <w:sz w:val="26"/>
          <w:szCs w:val="26"/>
        </w:rPr>
        <w:t xml:space="preserve">, he writes: </w:t>
      </w:r>
      <w:r w:rsidRPr="00EE6ED7">
        <w:rPr>
          <w:sz w:val="26"/>
          <w:szCs w:val="26"/>
          <w:rtl/>
        </w:rPr>
        <w:t xml:space="preserve">והנה תשובת </w:t>
      </w:r>
      <w:r w:rsidRPr="00EE6ED7">
        <w:rPr>
          <w:sz w:val="26"/>
          <w:szCs w:val="26"/>
          <w:u w:val="single"/>
          <w:rtl/>
        </w:rPr>
        <w:t>שאלת</w:t>
      </w:r>
      <w:r w:rsidRPr="00EE6ED7">
        <w:rPr>
          <w:sz w:val="26"/>
          <w:szCs w:val="26"/>
          <w:rtl/>
        </w:rPr>
        <w:t xml:space="preserve"> מה נשתנה היא עבדים היינו לפרעה במצרים</w:t>
      </w:r>
      <w:r w:rsidRPr="00EE6ED7">
        <w:rPr>
          <w:sz w:val="26"/>
          <w:szCs w:val="26"/>
        </w:rPr>
        <w:t>.</w:t>
      </w:r>
      <w:r w:rsidR="0014624C" w:rsidRPr="00EE6ED7">
        <w:rPr>
          <w:sz w:val="26"/>
          <w:szCs w:val="26"/>
        </w:rPr>
        <w:t xml:space="preserve"> </w:t>
      </w:r>
      <w:r w:rsidRPr="00EE6ED7">
        <w:rPr>
          <w:sz w:val="26"/>
          <w:szCs w:val="26"/>
        </w:rPr>
        <w:t xml:space="preserve">R. Isaac Abarbanel, in </w:t>
      </w:r>
      <w:r w:rsidRPr="00EE6ED7">
        <w:rPr>
          <w:sz w:val="26"/>
          <w:szCs w:val="26"/>
          <w:rtl/>
        </w:rPr>
        <w:t>זבח פסח</w:t>
      </w:r>
      <w:r w:rsidRPr="00EE6ED7">
        <w:rPr>
          <w:sz w:val="26"/>
          <w:szCs w:val="26"/>
        </w:rPr>
        <w:t xml:space="preserve">, speaks of </w:t>
      </w:r>
      <w:r w:rsidRPr="00EE6ED7">
        <w:rPr>
          <w:sz w:val="26"/>
          <w:szCs w:val="26"/>
          <w:u w:val="single"/>
          <w:rtl/>
        </w:rPr>
        <w:t>שאלת</w:t>
      </w:r>
      <w:r w:rsidRPr="00EE6ED7">
        <w:rPr>
          <w:sz w:val="26"/>
          <w:szCs w:val="26"/>
          <w:rtl/>
        </w:rPr>
        <w:t xml:space="preserve"> מה נשתנה</w:t>
      </w:r>
      <w:r w:rsidR="00C22A3C">
        <w:rPr>
          <w:sz w:val="26"/>
          <w:szCs w:val="26"/>
        </w:rPr>
        <w:t>,</w:t>
      </w:r>
      <w:r w:rsidR="004C749E">
        <w:rPr>
          <w:sz w:val="26"/>
          <w:szCs w:val="26"/>
        </w:rPr>
        <w:t xml:space="preserve"> of</w:t>
      </w:r>
      <w:r w:rsidR="00C22A3C">
        <w:rPr>
          <w:sz w:val="26"/>
          <w:szCs w:val="26"/>
        </w:rPr>
        <w:t xml:space="preserve"> </w:t>
      </w:r>
      <w:r w:rsidRPr="00111094">
        <w:rPr>
          <w:sz w:val="26"/>
          <w:szCs w:val="26"/>
          <w:u w:val="single"/>
          <w:rtl/>
        </w:rPr>
        <w:t>השאלה</w:t>
      </w:r>
      <w:r w:rsidRPr="00EE6ED7">
        <w:rPr>
          <w:sz w:val="26"/>
          <w:szCs w:val="26"/>
          <w:u w:val="single"/>
          <w:rtl/>
        </w:rPr>
        <w:t xml:space="preserve"> הזאת</w:t>
      </w:r>
      <w:r w:rsidRPr="00EE6ED7">
        <w:rPr>
          <w:sz w:val="26"/>
          <w:szCs w:val="26"/>
          <w:rtl/>
        </w:rPr>
        <w:t xml:space="preserve"> מה</w:t>
      </w:r>
      <w:r w:rsidR="00C22A3C">
        <w:rPr>
          <w:sz w:val="26"/>
          <w:szCs w:val="26"/>
        </w:rPr>
        <w:t xml:space="preserve"> </w:t>
      </w:r>
      <w:r w:rsidRPr="00EE6ED7">
        <w:rPr>
          <w:sz w:val="26"/>
          <w:szCs w:val="26"/>
          <w:rtl/>
        </w:rPr>
        <w:t>נשתנה</w:t>
      </w:r>
      <w:r w:rsidR="00C22A3C">
        <w:rPr>
          <w:sz w:val="26"/>
          <w:szCs w:val="26"/>
        </w:rPr>
        <w:t xml:space="preserve"> (2x)</w:t>
      </w:r>
      <w:r w:rsidR="00FF7DF2" w:rsidRPr="00EE6ED7">
        <w:rPr>
          <w:sz w:val="26"/>
          <w:szCs w:val="26"/>
        </w:rPr>
        <w:t xml:space="preserve">, </w:t>
      </w:r>
      <w:r w:rsidRPr="00EE6ED7">
        <w:rPr>
          <w:sz w:val="26"/>
          <w:szCs w:val="26"/>
        </w:rPr>
        <w:t>and</w:t>
      </w:r>
      <w:r w:rsidR="00C22A3C">
        <w:rPr>
          <w:sz w:val="26"/>
          <w:szCs w:val="26"/>
        </w:rPr>
        <w:t xml:space="preserve"> of</w:t>
      </w:r>
      <w:r w:rsidR="004C749E">
        <w:rPr>
          <w:sz w:val="26"/>
          <w:szCs w:val="26"/>
        </w:rPr>
        <w:t xml:space="preserve"> </w:t>
      </w:r>
      <w:r w:rsidRPr="00111094">
        <w:rPr>
          <w:sz w:val="26"/>
          <w:szCs w:val="26"/>
          <w:u w:val="single"/>
          <w:rtl/>
        </w:rPr>
        <w:t>השאלה</w:t>
      </w:r>
      <w:r w:rsidRPr="00EE6ED7">
        <w:rPr>
          <w:sz w:val="26"/>
          <w:szCs w:val="26"/>
          <w:rtl/>
        </w:rPr>
        <w:t xml:space="preserve"> מה נשתנה</w:t>
      </w:r>
      <w:r w:rsidRPr="00EE6ED7">
        <w:rPr>
          <w:sz w:val="26"/>
          <w:szCs w:val="26"/>
        </w:rPr>
        <w:t>.</w:t>
      </w:r>
      <w:r w:rsidRPr="00EE6ED7">
        <w:rPr>
          <w:sz w:val="26"/>
          <w:szCs w:val="26"/>
          <w:vertAlign w:val="superscript"/>
        </w:rPr>
        <w:footnoteReference w:id="12"/>
      </w:r>
      <w:r w:rsidR="0014624C" w:rsidRPr="00EE6ED7">
        <w:rPr>
          <w:sz w:val="26"/>
          <w:szCs w:val="26"/>
        </w:rPr>
        <w:t xml:space="preserve"> </w:t>
      </w:r>
      <w:r w:rsidRPr="00EE6ED7">
        <w:rPr>
          <w:sz w:val="26"/>
          <w:szCs w:val="26"/>
        </w:rPr>
        <w:t xml:space="preserve">The context shows that he uses these expressions to refer to the entire </w:t>
      </w:r>
      <w:r w:rsidRPr="00EE6ED7">
        <w:rPr>
          <w:sz w:val="26"/>
          <w:szCs w:val="26"/>
          <w:rtl/>
        </w:rPr>
        <w:t>מה נשתנה</w:t>
      </w:r>
      <w:r w:rsidRPr="00EE6ED7">
        <w:rPr>
          <w:sz w:val="26"/>
          <w:szCs w:val="26"/>
        </w:rPr>
        <w:t xml:space="preserve">, from beginning to end; when he wants to speak about the </w:t>
      </w:r>
      <w:r w:rsidRPr="00EE6ED7">
        <w:rPr>
          <w:sz w:val="26"/>
          <w:szCs w:val="26"/>
          <w:rtl/>
        </w:rPr>
        <w:t>ש</w:t>
      </w:r>
      <w:r w:rsidRPr="00EE6ED7">
        <w:rPr>
          <w:sz w:val="26"/>
          <w:szCs w:val="26"/>
        </w:rPr>
        <w:t xml:space="preserve">-clauses (the clauses that begin </w:t>
      </w:r>
      <w:r w:rsidRPr="00EE6ED7">
        <w:rPr>
          <w:sz w:val="26"/>
          <w:szCs w:val="26"/>
          <w:rtl/>
        </w:rPr>
        <w:t>שבכל הלילות</w:t>
      </w:r>
      <w:r w:rsidRPr="00EE6ED7">
        <w:rPr>
          <w:sz w:val="26"/>
          <w:szCs w:val="26"/>
        </w:rPr>
        <w:t xml:space="preserve">), he uses the expression </w:t>
      </w:r>
      <w:r w:rsidRPr="00EE6ED7">
        <w:rPr>
          <w:sz w:val="26"/>
          <w:szCs w:val="26"/>
          <w:rtl/>
        </w:rPr>
        <w:t xml:space="preserve">חלקי </w:t>
      </w:r>
      <w:r w:rsidRPr="00111094">
        <w:rPr>
          <w:sz w:val="26"/>
          <w:szCs w:val="26"/>
          <w:u w:val="single"/>
          <w:rtl/>
        </w:rPr>
        <w:t>השאלה</w:t>
      </w:r>
      <w:r w:rsidRPr="00EE6ED7">
        <w:rPr>
          <w:sz w:val="26"/>
          <w:szCs w:val="26"/>
        </w:rPr>
        <w:t>.</w:t>
      </w:r>
      <w:r w:rsidRPr="00EE6ED7">
        <w:rPr>
          <w:sz w:val="26"/>
          <w:szCs w:val="26"/>
          <w:vertAlign w:val="superscript"/>
        </w:rPr>
        <w:footnoteReference w:id="13"/>
      </w:r>
      <w:r w:rsidR="0014624C" w:rsidRPr="00EE6ED7">
        <w:rPr>
          <w:sz w:val="26"/>
          <w:szCs w:val="26"/>
        </w:rPr>
        <w:t xml:space="preserve"> </w:t>
      </w:r>
      <w:r w:rsidRPr="00EE6ED7">
        <w:rPr>
          <w:sz w:val="26"/>
          <w:szCs w:val="26"/>
        </w:rPr>
        <w:t xml:space="preserve">The </w:t>
      </w:r>
      <w:r w:rsidR="00A0309A" w:rsidRPr="00EE6ED7">
        <w:rPr>
          <w:sz w:val="26"/>
          <w:szCs w:val="26"/>
        </w:rPr>
        <w:t xml:space="preserve">Haggadah </w:t>
      </w:r>
      <w:r w:rsidRPr="00EE6ED7">
        <w:rPr>
          <w:sz w:val="26"/>
          <w:szCs w:val="26"/>
        </w:rPr>
        <w:t xml:space="preserve">of Provence introduces </w:t>
      </w:r>
      <w:r w:rsidRPr="00EE6ED7">
        <w:rPr>
          <w:sz w:val="26"/>
          <w:szCs w:val="26"/>
          <w:rtl/>
        </w:rPr>
        <w:t>מה נשתנה</w:t>
      </w:r>
      <w:r w:rsidR="00C621F4">
        <w:rPr>
          <w:sz w:val="26"/>
          <w:szCs w:val="26"/>
        </w:rPr>
        <w:t xml:space="preserve"> with the words</w:t>
      </w:r>
      <w:r w:rsidRPr="00EE6ED7">
        <w:rPr>
          <w:sz w:val="26"/>
          <w:szCs w:val="26"/>
          <w:rtl/>
        </w:rPr>
        <w:t xml:space="preserve">וזה נוסח </w:t>
      </w:r>
      <w:r w:rsidRPr="00111094">
        <w:rPr>
          <w:sz w:val="26"/>
          <w:szCs w:val="26"/>
          <w:u w:val="single"/>
          <w:rtl/>
        </w:rPr>
        <w:t>השאלה</w:t>
      </w:r>
      <w:r w:rsidRPr="00EE6ED7">
        <w:rPr>
          <w:sz w:val="26"/>
          <w:szCs w:val="26"/>
        </w:rPr>
        <w:t xml:space="preserve">, and </w:t>
      </w:r>
      <w:r w:rsidRPr="00EE6ED7">
        <w:rPr>
          <w:sz w:val="26"/>
          <w:szCs w:val="26"/>
          <w:rtl/>
        </w:rPr>
        <w:t>עבדים היינו</w:t>
      </w:r>
      <w:r w:rsidR="00C621F4">
        <w:rPr>
          <w:sz w:val="26"/>
          <w:szCs w:val="26"/>
        </w:rPr>
        <w:t xml:space="preserve"> with the words</w:t>
      </w:r>
      <w:r w:rsidRPr="00EE6ED7">
        <w:rPr>
          <w:sz w:val="26"/>
          <w:szCs w:val="26"/>
          <w:rtl/>
        </w:rPr>
        <w:t xml:space="preserve">ואחר שישלמו לשאול שינוי הלילה הזאת מכל הלילות יצטרכו להתחיל תשובת </w:t>
      </w:r>
      <w:r w:rsidRPr="00111094">
        <w:rPr>
          <w:sz w:val="26"/>
          <w:szCs w:val="26"/>
          <w:u w:val="single"/>
          <w:rtl/>
        </w:rPr>
        <w:t>השאלה</w:t>
      </w:r>
      <w:r w:rsidRPr="00EE6ED7">
        <w:rPr>
          <w:sz w:val="26"/>
          <w:szCs w:val="26"/>
          <w:rtl/>
        </w:rPr>
        <w:t xml:space="preserve"> ולבארה</w:t>
      </w:r>
      <w:r w:rsidRPr="00EE6ED7">
        <w:rPr>
          <w:sz w:val="26"/>
          <w:szCs w:val="26"/>
        </w:rPr>
        <w:t>.</w:t>
      </w:r>
      <w:r w:rsidRPr="00EE6ED7">
        <w:rPr>
          <w:sz w:val="26"/>
          <w:szCs w:val="26"/>
          <w:vertAlign w:val="superscript"/>
        </w:rPr>
        <w:footnoteReference w:id="14"/>
      </w:r>
      <w:r w:rsidR="0014624C" w:rsidRPr="00EE6ED7">
        <w:rPr>
          <w:sz w:val="26"/>
          <w:szCs w:val="26"/>
        </w:rPr>
        <w:t xml:space="preserve"> </w:t>
      </w:r>
      <w:r w:rsidR="00C22A3C">
        <w:rPr>
          <w:sz w:val="26"/>
          <w:szCs w:val="26"/>
        </w:rPr>
        <w:t xml:space="preserve">At the end of the entire </w:t>
      </w:r>
      <w:r w:rsidR="00C22A3C">
        <w:rPr>
          <w:rFonts w:hint="cs"/>
          <w:sz w:val="26"/>
          <w:szCs w:val="26"/>
          <w:rtl/>
        </w:rPr>
        <w:t>מה נשתנה</w:t>
      </w:r>
      <w:r w:rsidR="00C22A3C">
        <w:rPr>
          <w:sz w:val="26"/>
          <w:szCs w:val="26"/>
        </w:rPr>
        <w:t>, a</w:t>
      </w:r>
      <w:r w:rsidRPr="00EE6ED7">
        <w:rPr>
          <w:sz w:val="26"/>
          <w:szCs w:val="26"/>
        </w:rPr>
        <w:t xml:space="preserve"> Yemenite Tiklal from 1498 has</w:t>
      </w:r>
      <w:r w:rsidR="00C621F4">
        <w:rPr>
          <w:sz w:val="26"/>
          <w:szCs w:val="26"/>
        </w:rPr>
        <w:t xml:space="preserve">: </w:t>
      </w:r>
      <w:r w:rsidRPr="00EE6ED7">
        <w:rPr>
          <w:sz w:val="26"/>
          <w:szCs w:val="26"/>
          <w:rtl/>
        </w:rPr>
        <w:t>הד'י אלסואל ואלג'ואב עבדים</w:t>
      </w:r>
      <w:r w:rsidRPr="00EE6ED7">
        <w:rPr>
          <w:sz w:val="26"/>
          <w:szCs w:val="26"/>
        </w:rPr>
        <w:t xml:space="preserve"> “this is the question, and the answer is </w:t>
      </w:r>
      <w:r w:rsidR="00A877B2" w:rsidRPr="00A877B2">
        <w:rPr>
          <w:i/>
          <w:iCs/>
          <w:sz w:val="26"/>
          <w:szCs w:val="26"/>
        </w:rPr>
        <w:t>‘</w:t>
      </w:r>
      <w:r w:rsidRPr="00EE6ED7">
        <w:rPr>
          <w:i/>
          <w:sz w:val="26"/>
          <w:szCs w:val="26"/>
        </w:rPr>
        <w:t>avadim</w:t>
      </w:r>
      <w:r w:rsidRPr="00EE6ED7">
        <w:rPr>
          <w:sz w:val="26"/>
          <w:szCs w:val="26"/>
        </w:rPr>
        <w:t>.”</w:t>
      </w:r>
      <w:r w:rsidRPr="00EE6ED7">
        <w:rPr>
          <w:sz w:val="26"/>
          <w:szCs w:val="26"/>
          <w:vertAlign w:val="superscript"/>
        </w:rPr>
        <w:footnoteReference w:id="15"/>
      </w:r>
      <w:r w:rsidR="0014624C"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What did these commentators mean by referring to </w:t>
      </w:r>
      <w:r w:rsidRPr="00EE6ED7">
        <w:rPr>
          <w:sz w:val="26"/>
          <w:szCs w:val="26"/>
          <w:rtl/>
        </w:rPr>
        <w:t>מה נשתנה</w:t>
      </w:r>
      <w:r w:rsidRPr="00EE6ED7">
        <w:rPr>
          <w:sz w:val="26"/>
          <w:szCs w:val="26"/>
        </w:rPr>
        <w:t xml:space="preserve"> as a single question?</w:t>
      </w:r>
      <w:r w:rsidR="0014624C" w:rsidRPr="00EE6ED7">
        <w:rPr>
          <w:sz w:val="26"/>
          <w:szCs w:val="26"/>
        </w:rPr>
        <w:t xml:space="preserve"> </w:t>
      </w:r>
      <w:r w:rsidRPr="00EE6ED7">
        <w:rPr>
          <w:sz w:val="26"/>
          <w:szCs w:val="26"/>
        </w:rPr>
        <w:t>Is this just some trivial difference in the method of counting or does it reflect something deeper?</w:t>
      </w:r>
      <w:r w:rsidR="0014624C" w:rsidRPr="00EE6ED7">
        <w:rPr>
          <w:sz w:val="26"/>
          <w:szCs w:val="26"/>
        </w:rPr>
        <w:t xml:space="preserve"> </w:t>
      </w:r>
      <w:r w:rsidRPr="00EE6ED7">
        <w:rPr>
          <w:sz w:val="26"/>
          <w:szCs w:val="26"/>
        </w:rPr>
        <w:t xml:space="preserve">Did the commentators who spoke of one question have a different understanding of </w:t>
      </w:r>
      <w:r w:rsidRPr="00EE6ED7">
        <w:rPr>
          <w:sz w:val="26"/>
          <w:szCs w:val="26"/>
          <w:rtl/>
        </w:rPr>
        <w:t>מה נשתנה</w:t>
      </w:r>
      <w:r w:rsidRPr="00EE6ED7">
        <w:rPr>
          <w:sz w:val="26"/>
          <w:szCs w:val="26"/>
        </w:rPr>
        <w:t xml:space="preserve"> than those who spoke of more than one question?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There is no doubt that </w:t>
      </w:r>
      <w:r w:rsidRPr="00EE6ED7">
        <w:rPr>
          <w:sz w:val="26"/>
          <w:szCs w:val="26"/>
          <w:rtl/>
        </w:rPr>
        <w:t>מה נשתנה</w:t>
      </w:r>
      <w:r w:rsidRPr="00EE6ED7">
        <w:rPr>
          <w:sz w:val="26"/>
          <w:szCs w:val="26"/>
        </w:rPr>
        <w:t xml:space="preserve"> can be—and, in fact, has been—understood in a number of very different ways.</w:t>
      </w:r>
      <w:r w:rsidR="0014624C" w:rsidRPr="00EE6ED7">
        <w:rPr>
          <w:sz w:val="26"/>
          <w:szCs w:val="26"/>
        </w:rPr>
        <w:t xml:space="preserve"> </w:t>
      </w:r>
      <w:r w:rsidRPr="00EE6ED7">
        <w:rPr>
          <w:sz w:val="26"/>
          <w:szCs w:val="26"/>
        </w:rPr>
        <w:t>Indeed, the meaning of the very first word has long been controversial.</w:t>
      </w:r>
      <w:r w:rsidR="0014624C" w:rsidRPr="00EE6ED7">
        <w:rPr>
          <w:sz w:val="26"/>
          <w:szCs w:val="26"/>
        </w:rPr>
        <w:t xml:space="preserve"> </w:t>
      </w:r>
      <w:r w:rsidRPr="00EE6ED7">
        <w:rPr>
          <w:sz w:val="26"/>
          <w:szCs w:val="26"/>
        </w:rPr>
        <w:t xml:space="preserve">This became very obvious in 1609, when a </w:t>
      </w:r>
      <w:smartTag w:uri="urn:schemas-microsoft-com:office:smarttags" w:element="place">
        <w:smartTag w:uri="urn:schemas-microsoft-com:office:smarttags" w:element="City">
          <w:r w:rsidRPr="00EE6ED7">
            <w:rPr>
              <w:sz w:val="26"/>
              <w:szCs w:val="26"/>
            </w:rPr>
            <w:t>Venice</w:t>
          </w:r>
        </w:smartTag>
      </w:smartTag>
      <w:r w:rsidRPr="00EE6ED7">
        <w:rPr>
          <w:sz w:val="26"/>
          <w:szCs w:val="26"/>
        </w:rPr>
        <w:t xml:space="preserve"> publishing house issued a </w:t>
      </w:r>
      <w:r w:rsidR="006F1852" w:rsidRPr="00EE6ED7">
        <w:rPr>
          <w:sz w:val="26"/>
          <w:szCs w:val="26"/>
        </w:rPr>
        <w:t xml:space="preserve">Haggadah </w:t>
      </w:r>
      <w:r w:rsidRPr="00EE6ED7">
        <w:rPr>
          <w:sz w:val="26"/>
          <w:szCs w:val="26"/>
        </w:rPr>
        <w:t>in three versions, each with a different translation—one in Judeo-Italian, another in Judeo-German, and a third in Judeo-Spanish.</w:t>
      </w:r>
      <w:r w:rsidRPr="00EE6ED7">
        <w:rPr>
          <w:sz w:val="26"/>
          <w:szCs w:val="26"/>
          <w:vertAlign w:val="superscript"/>
        </w:rPr>
        <w:footnoteReference w:id="16"/>
      </w:r>
      <w:r w:rsidR="0014624C" w:rsidRPr="00EE6ED7">
        <w:rPr>
          <w:sz w:val="26"/>
          <w:szCs w:val="26"/>
        </w:rPr>
        <w:t xml:space="preserve"> </w:t>
      </w:r>
      <w:r w:rsidRPr="00EE6ED7">
        <w:rPr>
          <w:sz w:val="26"/>
          <w:szCs w:val="26"/>
        </w:rPr>
        <w:t>As noted by Yosef H. Yerushalmi:</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The languages</w:t>
      </w:r>
      <w:r w:rsidR="000A4652">
        <w:rPr>
          <w:sz w:val="26"/>
          <w:szCs w:val="26"/>
        </w:rPr>
        <w:t xml:space="preserve">... </w:t>
      </w:r>
      <w:r w:rsidRPr="00EE6ED7">
        <w:rPr>
          <w:sz w:val="26"/>
          <w:szCs w:val="26"/>
        </w:rPr>
        <w:t>were a reflection of the composite character of Venetian Jewry.</w:t>
      </w:r>
      <w:r w:rsidR="0014624C" w:rsidRPr="00EE6ED7">
        <w:rPr>
          <w:sz w:val="26"/>
          <w:szCs w:val="26"/>
        </w:rPr>
        <w:t xml:space="preserve"> </w:t>
      </w:r>
      <w:r w:rsidRPr="00EE6ED7">
        <w:rPr>
          <w:sz w:val="26"/>
          <w:szCs w:val="26"/>
        </w:rPr>
        <w:t>In addition to its native Italian Jews, the great city of the lagoons had long contained an Ashkenazic community formed originally by German Jewish immigrants, and since the sixteenth century a Sephardic community as well.</w:t>
      </w:r>
      <w:r w:rsidR="0014624C" w:rsidRPr="00EE6ED7">
        <w:rPr>
          <w:sz w:val="26"/>
          <w:szCs w:val="26"/>
        </w:rPr>
        <w:t xml:space="preserve"> </w:t>
      </w:r>
      <w:r w:rsidRPr="00EE6ED7">
        <w:rPr>
          <w:sz w:val="26"/>
          <w:szCs w:val="26"/>
        </w:rPr>
        <w:t>Each had its own synagogue and customs, and each perpetuated its own Jewish vernacular.</w:t>
      </w:r>
      <w:r w:rsidRPr="00EE6ED7">
        <w:rPr>
          <w:sz w:val="26"/>
          <w:szCs w:val="26"/>
          <w:vertAlign w:val="superscript"/>
        </w:rPr>
        <w:footnoteReference w:id="17"/>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02002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three translations reflect distinct interpretations of the first word of </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 xml:space="preserve">The Ashkenazim took </w:t>
      </w:r>
      <w:r w:rsidRPr="00EE6ED7">
        <w:rPr>
          <w:sz w:val="26"/>
          <w:szCs w:val="26"/>
          <w:rtl/>
        </w:rPr>
        <w:t>מה</w:t>
      </w:r>
      <w:r w:rsidRPr="00EE6ED7">
        <w:rPr>
          <w:sz w:val="26"/>
          <w:szCs w:val="26"/>
        </w:rPr>
        <w:t xml:space="preserve"> to mean “what?” (</w:t>
      </w:r>
      <w:r w:rsidRPr="00EE6ED7">
        <w:rPr>
          <w:sz w:val="26"/>
          <w:szCs w:val="26"/>
          <w:rtl/>
        </w:rPr>
        <w:t>װאז</w:t>
      </w:r>
      <w:r w:rsidRPr="00EE6ED7">
        <w:rPr>
          <w:sz w:val="26"/>
          <w:szCs w:val="26"/>
        </w:rPr>
        <w:t>), the native Italians understood it as “why?” (</w:t>
      </w:r>
      <w:r w:rsidR="0002002F">
        <w:rPr>
          <w:rFonts w:hint="cs"/>
          <w:sz w:val="26"/>
          <w:szCs w:val="26"/>
          <w:rtl/>
        </w:rPr>
        <w:t>פֵ</w:t>
      </w:r>
      <w:r w:rsidRPr="00EE6ED7">
        <w:rPr>
          <w:sz w:val="26"/>
          <w:szCs w:val="26"/>
          <w:rtl/>
        </w:rPr>
        <w:t>יר קֵי</w:t>
      </w:r>
      <w:r w:rsidRPr="00EE6ED7">
        <w:rPr>
          <w:sz w:val="26"/>
          <w:szCs w:val="26"/>
        </w:rPr>
        <w:t>), and the Sephardim interpreted it as “how (very)!” (</w:t>
      </w:r>
      <w:r w:rsidRPr="00EE6ED7">
        <w:rPr>
          <w:sz w:val="26"/>
          <w:szCs w:val="26"/>
          <w:rtl/>
        </w:rPr>
        <w:t>קוּאַנְטוֹ</w:t>
      </w:r>
      <w:r w:rsidRPr="00EE6ED7">
        <w:rPr>
          <w:sz w:val="26"/>
          <w:szCs w:val="26"/>
        </w:rPr>
        <w:t>).</w:t>
      </w:r>
      <w:bookmarkStart w:id="1" w:name="_Ref200357836"/>
      <w:r w:rsidRPr="00EE6ED7">
        <w:rPr>
          <w:sz w:val="26"/>
          <w:szCs w:val="26"/>
          <w:vertAlign w:val="superscript"/>
        </w:rPr>
        <w:footnoteReference w:id="18"/>
      </w:r>
      <w:bookmarkEnd w:id="1"/>
      <w:r w:rsidR="0014624C" w:rsidRPr="00EE6ED7">
        <w:rPr>
          <w:sz w:val="26"/>
          <w:szCs w:val="26"/>
        </w:rPr>
        <w:t xml:space="preserve"> </w:t>
      </w:r>
      <w:r w:rsidRPr="00EE6ED7">
        <w:rPr>
          <w:sz w:val="26"/>
          <w:szCs w:val="26"/>
        </w:rPr>
        <w:t xml:space="preserve">We may say that there are also three views concerning the number of questions in </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(a) one, (b) more than one, and (c) none.</w:t>
      </w:r>
      <w:r w:rsidR="0014624C" w:rsidRPr="00EE6ED7">
        <w:rPr>
          <w:sz w:val="26"/>
          <w:szCs w:val="26"/>
        </w:rPr>
        <w:t xml:space="preserve"> </w:t>
      </w:r>
      <w:r w:rsidRPr="00EE6ED7">
        <w:rPr>
          <w:sz w:val="26"/>
          <w:szCs w:val="26"/>
        </w:rPr>
        <w:t xml:space="preserve">To what extent does one’s interpretation of </w:t>
      </w:r>
      <w:r w:rsidRPr="00EE6ED7">
        <w:rPr>
          <w:sz w:val="26"/>
          <w:szCs w:val="26"/>
          <w:rtl/>
        </w:rPr>
        <w:t>מה</w:t>
      </w:r>
      <w:r w:rsidRPr="00EE6ED7">
        <w:rPr>
          <w:sz w:val="26"/>
          <w:szCs w:val="26"/>
        </w:rPr>
        <w:t xml:space="preserve"> determine one’s view of the number of questions?</w:t>
      </w:r>
    </w:p>
    <w:p w:rsidR="00105DEE" w:rsidRPr="00EE6ED7" w:rsidRDefault="00105DEE" w:rsidP="000A46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In this article I shall present three major interpretations of </w:t>
      </w:r>
      <w:r w:rsidRPr="00EE6ED7">
        <w:rPr>
          <w:sz w:val="26"/>
          <w:szCs w:val="26"/>
          <w:rtl/>
        </w:rPr>
        <w:t>מה נשתנה</w:t>
      </w:r>
      <w:r w:rsidRPr="00EE6ED7">
        <w:rPr>
          <w:sz w:val="26"/>
          <w:szCs w:val="26"/>
        </w:rPr>
        <w:t xml:space="preserve"> (labeled A, B, and C), using five parameters to define them:</w:t>
      </w:r>
      <w:r w:rsidR="0014624C" w:rsidRPr="00EE6ED7">
        <w:rPr>
          <w:sz w:val="26"/>
          <w:szCs w:val="26"/>
        </w:rPr>
        <w:t xml:space="preserve"> </w:t>
      </w:r>
      <w:r w:rsidRPr="00EE6ED7">
        <w:rPr>
          <w:sz w:val="26"/>
          <w:szCs w:val="26"/>
        </w:rPr>
        <w:t xml:space="preserve">(1) the meaning of </w:t>
      </w:r>
      <w:r w:rsidRPr="00EE6ED7">
        <w:rPr>
          <w:sz w:val="26"/>
          <w:szCs w:val="26"/>
          <w:rtl/>
        </w:rPr>
        <w:t>מה</w:t>
      </w:r>
      <w:r w:rsidRPr="00EE6ED7">
        <w:rPr>
          <w:sz w:val="26"/>
          <w:szCs w:val="26"/>
        </w:rPr>
        <w:t xml:space="preserve">, (2) the number of questions, (3) the number of sentences, (4) the meaning of </w:t>
      </w:r>
      <w:r w:rsidRPr="00EE6ED7">
        <w:rPr>
          <w:sz w:val="26"/>
          <w:szCs w:val="26"/>
          <w:rtl/>
        </w:rPr>
        <w:t>ש-</w:t>
      </w:r>
      <w:r w:rsidRPr="00EE6ED7">
        <w:rPr>
          <w:sz w:val="26"/>
          <w:szCs w:val="26"/>
        </w:rPr>
        <w:t xml:space="preserve">, (5) the referent of </w:t>
      </w:r>
      <w:r w:rsidRPr="00EE6ED7">
        <w:rPr>
          <w:sz w:val="26"/>
          <w:szCs w:val="26"/>
          <w:rtl/>
        </w:rPr>
        <w:t>נשתנה</w:t>
      </w:r>
      <w:r w:rsidRPr="00EE6ED7">
        <w:rPr>
          <w:sz w:val="26"/>
          <w:szCs w:val="26"/>
        </w:rPr>
        <w:t>.</w:t>
      </w:r>
      <w:r w:rsidR="0014624C" w:rsidRPr="00EE6ED7">
        <w:rPr>
          <w:sz w:val="26"/>
          <w:szCs w:val="26"/>
        </w:rPr>
        <w:t xml:space="preserve"> </w:t>
      </w:r>
      <w:r w:rsidRPr="00EE6ED7">
        <w:rPr>
          <w:sz w:val="26"/>
          <w:szCs w:val="26"/>
        </w:rPr>
        <w:t>I shall argue that interpretation A (“what?”; one question;</w:t>
      </w:r>
      <w:r w:rsidR="009A4645">
        <w:rPr>
          <w:sz w:val="26"/>
          <w:szCs w:val="26"/>
        </w:rPr>
        <w:t xml:space="preserve"> </w:t>
      </w:r>
      <w:r w:rsidRPr="00EE6ED7">
        <w:rPr>
          <w:sz w:val="26"/>
          <w:szCs w:val="26"/>
        </w:rPr>
        <w:t>...) is original, and I shall attempt to trace the shift to interpretations B (“why?”; more than one question;</w:t>
      </w:r>
      <w:r w:rsidR="009A4645">
        <w:rPr>
          <w:sz w:val="26"/>
          <w:szCs w:val="26"/>
        </w:rPr>
        <w:t xml:space="preserve"> </w:t>
      </w:r>
      <w:r w:rsidRPr="00EE6ED7">
        <w:rPr>
          <w:sz w:val="26"/>
          <w:szCs w:val="26"/>
        </w:rPr>
        <w:t xml:space="preserve">...) and </w:t>
      </w:r>
      <w:r w:rsidR="000A4652">
        <w:rPr>
          <w:sz w:val="26"/>
          <w:szCs w:val="26"/>
        </w:rPr>
        <w:t>C (“how [very]!”; no questions;</w:t>
      </w:r>
      <w:r w:rsidR="009A4645">
        <w:rPr>
          <w:sz w:val="26"/>
          <w:szCs w:val="26"/>
        </w:rPr>
        <w:t xml:space="preserve"> </w:t>
      </w:r>
      <w:r w:rsidRPr="00EE6ED7">
        <w:rPr>
          <w:sz w:val="26"/>
          <w:szCs w:val="26"/>
        </w:rPr>
        <w:t>...) using dated translations and commentaries.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lastRenderedPageBreak/>
        <w:t>II. INTERPRETATION A</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Default="00105DEE" w:rsidP="004D74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“What is/was different (=special) about this night that we are eating matzah instead of bread...?</w:t>
      </w:r>
      <w:r w:rsidR="0014624C" w:rsidRPr="00EE6ED7">
        <w:rPr>
          <w:sz w:val="26"/>
          <w:szCs w:val="26"/>
        </w:rPr>
        <w:t xml:space="preserve"> </w:t>
      </w:r>
      <w:r w:rsidRPr="00EE6ED7">
        <w:rPr>
          <w:sz w:val="26"/>
          <w:szCs w:val="26"/>
        </w:rPr>
        <w:t xml:space="preserve">What special characteristic of this night is causing us to depart from our normal routine </w:t>
      </w:r>
      <w:r w:rsidR="004D7450">
        <w:rPr>
          <w:sz w:val="26"/>
          <w:szCs w:val="26"/>
        </w:rPr>
        <w:t>in so many ways</w:t>
      </w:r>
      <w:r w:rsidRPr="00EE6ED7">
        <w:rPr>
          <w:sz w:val="26"/>
          <w:szCs w:val="26"/>
        </w:rPr>
        <w:t>?”</w:t>
      </w:r>
      <w:r w:rsidR="0014624C" w:rsidRPr="00EE6ED7">
        <w:rPr>
          <w:sz w:val="26"/>
          <w:szCs w:val="26"/>
        </w:rPr>
        <w:t xml:space="preserve"> </w:t>
      </w:r>
      <w:r w:rsidRPr="00EE6ED7">
        <w:rPr>
          <w:sz w:val="26"/>
          <w:szCs w:val="26"/>
        </w:rPr>
        <w:t xml:space="preserve">This is the only major interpretation in which the first sentence does not end with </w:t>
      </w:r>
      <w:r w:rsidRPr="00EE6ED7">
        <w:rPr>
          <w:sz w:val="26"/>
          <w:szCs w:val="26"/>
          <w:rtl/>
        </w:rPr>
        <w:t>מכל הלילות</w:t>
      </w:r>
      <w:r w:rsidRPr="00EE6ED7">
        <w:rPr>
          <w:sz w:val="26"/>
          <w:szCs w:val="26"/>
        </w:rPr>
        <w:t>.</w:t>
      </w:r>
      <w:r w:rsidR="0014624C" w:rsidRPr="00EE6ED7">
        <w:rPr>
          <w:sz w:val="26"/>
          <w:szCs w:val="26"/>
        </w:rPr>
        <w:t xml:space="preserve"> </w:t>
      </w:r>
      <w:r w:rsidRPr="00EE6ED7">
        <w:rPr>
          <w:sz w:val="26"/>
          <w:szCs w:val="26"/>
        </w:rPr>
        <w:t xml:space="preserve">It takes the entire </w:t>
      </w:r>
      <w:r w:rsidRPr="00EE6ED7">
        <w:rPr>
          <w:sz w:val="26"/>
          <w:szCs w:val="26"/>
          <w:rtl/>
        </w:rPr>
        <w:t>מה נשתנה</w:t>
      </w:r>
      <w:r w:rsidRPr="00EE6ED7">
        <w:rPr>
          <w:sz w:val="26"/>
          <w:szCs w:val="26"/>
        </w:rPr>
        <w:t xml:space="preserve"> as one long sentence constituting a single question.</w:t>
      </w:r>
      <w:r w:rsidR="0014624C" w:rsidRPr="00EE6ED7">
        <w:rPr>
          <w:sz w:val="26"/>
          <w:szCs w:val="26"/>
        </w:rPr>
        <w:t xml:space="preserve"> </w:t>
      </w:r>
      <w:r w:rsidRPr="00EE6ED7">
        <w:rPr>
          <w:sz w:val="26"/>
          <w:szCs w:val="26"/>
        </w:rPr>
        <w:t xml:space="preserve">We have already seen that almost all medieval commentators </w:t>
      </w:r>
      <w:r w:rsidR="002C57BB">
        <w:rPr>
          <w:sz w:val="26"/>
          <w:szCs w:val="26"/>
        </w:rPr>
        <w:t xml:space="preserve">treat </w:t>
      </w:r>
      <w:r w:rsidRPr="00EE6ED7">
        <w:rPr>
          <w:sz w:val="26"/>
          <w:szCs w:val="26"/>
          <w:rtl/>
        </w:rPr>
        <w:t>מה נשתנה</w:t>
      </w:r>
      <w:r w:rsidR="002C57BB">
        <w:rPr>
          <w:sz w:val="26"/>
          <w:szCs w:val="26"/>
        </w:rPr>
        <w:t xml:space="preserve"> as a single question</w:t>
      </w:r>
      <w:r w:rsidRPr="00EE6ED7">
        <w:rPr>
          <w:sz w:val="26"/>
          <w:szCs w:val="26"/>
        </w:rPr>
        <w:t>.</w:t>
      </w:r>
      <w:r w:rsidRPr="00EE6ED7">
        <w:rPr>
          <w:sz w:val="26"/>
          <w:szCs w:val="26"/>
          <w:vertAlign w:val="superscript"/>
        </w:rPr>
        <w:footnoteReference w:id="19"/>
      </w:r>
      <w:r w:rsidR="0014624C" w:rsidRPr="00EE6ED7">
        <w:rPr>
          <w:sz w:val="26"/>
          <w:szCs w:val="26"/>
        </w:rPr>
        <w:t xml:space="preserve"> </w:t>
      </w:r>
      <w:r w:rsidRPr="00EE6ED7">
        <w:rPr>
          <w:sz w:val="26"/>
          <w:szCs w:val="26"/>
        </w:rPr>
        <w:t>The same goes for a few modern authors: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Arieh Leib Frumkin (1913):</w:t>
      </w:r>
      <w:r w:rsidRPr="00EE6ED7">
        <w:rPr>
          <w:sz w:val="26"/>
          <w:szCs w:val="26"/>
          <w:rtl/>
        </w:rPr>
        <w:t>"מה יתרון" ללילה זו מכל הלילות שנתנהג בו שינוים כאל</w:t>
      </w:r>
      <w:r w:rsidR="004D7450">
        <w:rPr>
          <w:rFonts w:hint="cs"/>
          <w:sz w:val="26"/>
          <w:szCs w:val="26"/>
          <w:rtl/>
        </w:rPr>
        <w:t>ו</w:t>
      </w:r>
      <w:r w:rsidRPr="00EE6ED7">
        <w:rPr>
          <w:sz w:val="26"/>
          <w:szCs w:val="26"/>
        </w:rPr>
        <w:t>.</w:t>
      </w:r>
      <w:r w:rsidRPr="00EE6ED7">
        <w:rPr>
          <w:sz w:val="26"/>
          <w:szCs w:val="26"/>
          <w:vertAlign w:val="superscript"/>
        </w:rPr>
        <w:footnoteReference w:id="20"/>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p>
    <w:p w:rsidR="00105DEE" w:rsidRPr="00EE6ED7" w:rsidRDefault="00105DEE" w:rsidP="002F6E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Eduard (Ezekiel) Baneth (1927):</w:t>
      </w:r>
      <w:r w:rsidR="0014624C" w:rsidRPr="00EE6ED7">
        <w:rPr>
          <w:sz w:val="26"/>
          <w:szCs w:val="26"/>
        </w:rPr>
        <w:t xml:space="preserve"> </w:t>
      </w:r>
      <w:r w:rsidRPr="00EE6ED7">
        <w:rPr>
          <w:sz w:val="26"/>
          <w:szCs w:val="26"/>
        </w:rPr>
        <w:t>“Was ist diese Nacht anders als alle Nächte</w:t>
      </w:r>
      <w:r w:rsidR="002F6ED4">
        <w:rPr>
          <w:sz w:val="26"/>
          <w:szCs w:val="26"/>
        </w:rPr>
        <w:t>,</w:t>
      </w:r>
      <w:r w:rsidRPr="00EE6ED7">
        <w:rPr>
          <w:sz w:val="26"/>
          <w:szCs w:val="26"/>
        </w:rPr>
        <w:t xml:space="preserve"> dass wir alle anderen Nächte</w:t>
      </w:r>
      <w:r w:rsidR="000A4652">
        <w:rPr>
          <w:sz w:val="26"/>
          <w:szCs w:val="26"/>
        </w:rPr>
        <w:t>...</w:t>
      </w:r>
      <w:r w:rsidRPr="00EE6ED7">
        <w:rPr>
          <w:sz w:val="26"/>
          <w:szCs w:val="26"/>
        </w:rPr>
        <w:t>, diese Nacht aber</w:t>
      </w:r>
      <w:r w:rsidR="000A4652">
        <w:rPr>
          <w:sz w:val="26"/>
          <w:szCs w:val="26"/>
        </w:rPr>
        <w:t>...</w:t>
      </w:r>
      <w:r w:rsidRPr="00EE6ED7">
        <w:rPr>
          <w:sz w:val="26"/>
          <w:szCs w:val="26"/>
        </w:rPr>
        <w:t>, alle anderen Nächte</w:t>
      </w:r>
      <w:r w:rsidR="000A4652">
        <w:rPr>
          <w:sz w:val="26"/>
          <w:szCs w:val="26"/>
        </w:rPr>
        <w:t>...</w:t>
      </w:r>
      <w:r w:rsidRPr="00EE6ED7">
        <w:rPr>
          <w:sz w:val="26"/>
          <w:szCs w:val="26"/>
        </w:rPr>
        <w:t>, diese Nacht aber</w:t>
      </w:r>
      <w:r w:rsidR="000A4652">
        <w:rPr>
          <w:sz w:val="26"/>
          <w:szCs w:val="26"/>
        </w:rPr>
        <w:t>...</w:t>
      </w:r>
      <w:r w:rsidRPr="00EE6ED7">
        <w:rPr>
          <w:sz w:val="26"/>
          <w:szCs w:val="26"/>
        </w:rPr>
        <w:t>, alle anderen Nächte</w:t>
      </w:r>
      <w:r w:rsidR="000A4652">
        <w:rPr>
          <w:sz w:val="26"/>
          <w:szCs w:val="26"/>
        </w:rPr>
        <w:t>...</w:t>
      </w:r>
      <w:r w:rsidRPr="00EE6ED7">
        <w:rPr>
          <w:sz w:val="26"/>
          <w:szCs w:val="26"/>
        </w:rPr>
        <w:t>, diese Nacht</w:t>
      </w:r>
      <w:r w:rsidR="000A4652">
        <w:rPr>
          <w:sz w:val="26"/>
          <w:szCs w:val="26"/>
        </w:rPr>
        <w:t>...</w:t>
      </w:r>
      <w:r w:rsidRPr="00EE6ED7">
        <w:rPr>
          <w:sz w:val="26"/>
          <w:szCs w:val="26"/>
        </w:rPr>
        <w:t>, alle anderen Nächte</w:t>
      </w:r>
      <w:r w:rsidR="000A4652">
        <w:rPr>
          <w:sz w:val="26"/>
          <w:szCs w:val="26"/>
        </w:rPr>
        <w:t>...</w:t>
      </w:r>
      <w:r w:rsidRPr="00EE6ED7">
        <w:rPr>
          <w:sz w:val="26"/>
          <w:szCs w:val="26"/>
        </w:rPr>
        <w:t>, diese Nacht aber...?”</w:t>
      </w:r>
      <w:r w:rsidRPr="00EE6ED7">
        <w:rPr>
          <w:sz w:val="26"/>
          <w:szCs w:val="26"/>
          <w:vertAlign w:val="superscript"/>
        </w:rPr>
        <w:footnoteReference w:id="21"/>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p>
    <w:p w:rsidR="00105DEE"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Ernst Daniel Goldschmidt (1936):</w:t>
      </w:r>
      <w:r w:rsidR="0014624C" w:rsidRPr="00EE6ED7">
        <w:rPr>
          <w:sz w:val="26"/>
          <w:szCs w:val="26"/>
        </w:rPr>
        <w:t xml:space="preserve"> </w:t>
      </w:r>
      <w:r w:rsidRPr="00EE6ED7">
        <w:rPr>
          <w:sz w:val="26"/>
          <w:szCs w:val="26"/>
        </w:rPr>
        <w:t>“Was ist dieser Abend anders als alle anderen, da</w:t>
      </w:r>
      <w:r w:rsidR="00F51CCF">
        <w:rPr>
          <w:sz w:val="26"/>
          <w:szCs w:val="26"/>
        </w:rPr>
        <w:t>ß</w:t>
      </w:r>
      <w:r w:rsidR="0014624C" w:rsidRPr="00EE6ED7">
        <w:rPr>
          <w:sz w:val="26"/>
          <w:szCs w:val="26"/>
        </w:rPr>
        <w:t xml:space="preserve"> </w:t>
      </w:r>
      <w:r w:rsidRPr="00EE6ED7">
        <w:rPr>
          <w:sz w:val="26"/>
          <w:szCs w:val="26"/>
        </w:rPr>
        <w:t>wir an allen Abenden</w:t>
      </w:r>
      <w:r w:rsidR="000A4652">
        <w:rPr>
          <w:sz w:val="26"/>
          <w:szCs w:val="26"/>
        </w:rPr>
        <w:t>...</w:t>
      </w:r>
      <w:r w:rsidRPr="00EE6ED7">
        <w:rPr>
          <w:sz w:val="26"/>
          <w:szCs w:val="26"/>
        </w:rPr>
        <w:t>, heute abend</w:t>
      </w:r>
      <w:r w:rsidR="000A4652">
        <w:rPr>
          <w:sz w:val="26"/>
          <w:szCs w:val="26"/>
        </w:rPr>
        <w:t>...</w:t>
      </w:r>
      <w:r w:rsidRPr="00EE6ED7">
        <w:rPr>
          <w:sz w:val="26"/>
          <w:szCs w:val="26"/>
        </w:rPr>
        <w:t>; da</w:t>
      </w:r>
      <w:r w:rsidR="00F51CCF">
        <w:rPr>
          <w:sz w:val="26"/>
          <w:szCs w:val="26"/>
        </w:rPr>
        <w:t>ß</w:t>
      </w:r>
      <w:r w:rsidR="0014624C" w:rsidRPr="00EE6ED7">
        <w:rPr>
          <w:sz w:val="26"/>
          <w:szCs w:val="26"/>
        </w:rPr>
        <w:t xml:space="preserve"> </w:t>
      </w:r>
      <w:r w:rsidRPr="00EE6ED7">
        <w:rPr>
          <w:sz w:val="26"/>
          <w:szCs w:val="26"/>
        </w:rPr>
        <w:t>wir an allen Abenden</w:t>
      </w:r>
      <w:r w:rsidR="000A4652">
        <w:rPr>
          <w:sz w:val="26"/>
          <w:szCs w:val="26"/>
        </w:rPr>
        <w:t>...</w:t>
      </w:r>
      <w:r w:rsidRPr="00EE6ED7">
        <w:rPr>
          <w:sz w:val="26"/>
          <w:szCs w:val="26"/>
        </w:rPr>
        <w:t>, heute abend</w:t>
      </w:r>
      <w:r w:rsidR="000A4652">
        <w:rPr>
          <w:sz w:val="26"/>
          <w:szCs w:val="26"/>
        </w:rPr>
        <w:t>...</w:t>
      </w:r>
      <w:r w:rsidRPr="00EE6ED7">
        <w:rPr>
          <w:sz w:val="26"/>
          <w:szCs w:val="26"/>
        </w:rPr>
        <w:t>; da</w:t>
      </w:r>
      <w:r w:rsidR="00F51CCF">
        <w:rPr>
          <w:sz w:val="26"/>
          <w:szCs w:val="26"/>
        </w:rPr>
        <w:t>ß</w:t>
      </w:r>
      <w:r w:rsidR="0014624C" w:rsidRPr="00EE6ED7">
        <w:rPr>
          <w:sz w:val="26"/>
          <w:szCs w:val="26"/>
        </w:rPr>
        <w:t xml:space="preserve"> </w:t>
      </w:r>
      <w:r w:rsidRPr="00EE6ED7">
        <w:rPr>
          <w:sz w:val="26"/>
          <w:szCs w:val="26"/>
        </w:rPr>
        <w:t>wir an allen Abenden</w:t>
      </w:r>
      <w:r w:rsidR="000A4652">
        <w:rPr>
          <w:sz w:val="26"/>
          <w:szCs w:val="26"/>
        </w:rPr>
        <w:t>...</w:t>
      </w:r>
      <w:r w:rsidRPr="00EE6ED7">
        <w:rPr>
          <w:sz w:val="26"/>
          <w:szCs w:val="26"/>
        </w:rPr>
        <w:t>, heute abend</w:t>
      </w:r>
      <w:r w:rsidR="000A4652">
        <w:rPr>
          <w:sz w:val="26"/>
          <w:szCs w:val="26"/>
        </w:rPr>
        <w:t>...</w:t>
      </w:r>
      <w:r w:rsidRPr="00EE6ED7">
        <w:rPr>
          <w:sz w:val="26"/>
          <w:szCs w:val="26"/>
        </w:rPr>
        <w:t>; da</w:t>
      </w:r>
      <w:r w:rsidR="00F51CCF">
        <w:rPr>
          <w:sz w:val="26"/>
          <w:szCs w:val="26"/>
        </w:rPr>
        <w:t>ß</w:t>
      </w:r>
      <w:r w:rsidR="0014624C" w:rsidRPr="00EE6ED7">
        <w:rPr>
          <w:sz w:val="26"/>
          <w:szCs w:val="26"/>
        </w:rPr>
        <w:t xml:space="preserve"> </w:t>
      </w:r>
      <w:r w:rsidRPr="00EE6ED7">
        <w:rPr>
          <w:sz w:val="26"/>
          <w:szCs w:val="26"/>
        </w:rPr>
        <w:t>wir an allen Abenden</w:t>
      </w:r>
      <w:r w:rsidR="000A4652">
        <w:rPr>
          <w:sz w:val="26"/>
          <w:szCs w:val="26"/>
        </w:rPr>
        <w:t>...</w:t>
      </w:r>
      <w:r w:rsidRPr="00EE6ED7">
        <w:rPr>
          <w:sz w:val="26"/>
          <w:szCs w:val="26"/>
        </w:rPr>
        <w:t>, heute aber...?</w:t>
      </w:r>
      <w:r w:rsidR="009053C9" w:rsidRPr="00EE6ED7">
        <w:rPr>
          <w:sz w:val="26"/>
          <w:szCs w:val="26"/>
        </w:rPr>
        <w:t>”</w:t>
      </w:r>
      <w:r w:rsidRPr="00EE6ED7">
        <w:rPr>
          <w:sz w:val="26"/>
          <w:szCs w:val="26"/>
          <w:vertAlign w:val="superscript"/>
        </w:rPr>
        <w:footnoteReference w:id="22"/>
      </w:r>
    </w:p>
    <w:p w:rsidR="00E155B3" w:rsidRDefault="00E155B3"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p>
    <w:p w:rsidR="00E155B3" w:rsidRPr="00E155B3" w:rsidRDefault="002C71D1" w:rsidP="00DF6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Pr>
          <w:sz w:val="26"/>
          <w:szCs w:val="26"/>
        </w:rPr>
        <w:t>Joshua Ephraim Bombach (1960):</w:t>
      </w:r>
      <w:r w:rsidR="00E155B3" w:rsidRPr="00E155B3">
        <w:rPr>
          <w:sz w:val="26"/>
          <w:szCs w:val="26"/>
          <w:rtl/>
        </w:rPr>
        <w:t>אלא הוא שואל כתינוק על השתנות הזמן מפני מה זמן זה משונה מן כל הזמנים והכל הוא אינו רק שאלה אחת, אלא שחושב לאביו כל השינויים שיש בזמן הזה וחושב נמי שינויים שתיקנו רבנן כי אין לו נ"מ בזה רק במה שזמן זה הוא משונה משאר הזמנים</w:t>
      </w:r>
      <w:r w:rsidR="00E155B3" w:rsidRPr="00E155B3">
        <w:rPr>
          <w:sz w:val="26"/>
          <w:szCs w:val="26"/>
        </w:rPr>
        <w:t>.</w:t>
      </w:r>
      <w:r w:rsidR="00DF6EF5" w:rsidRPr="00EE6ED7">
        <w:rPr>
          <w:sz w:val="26"/>
          <w:szCs w:val="26"/>
          <w:vertAlign w:val="superscript"/>
        </w:rPr>
        <w:footnoteReference w:id="23"/>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720"/>
        <w:jc w:val="both"/>
        <w:rPr>
          <w:sz w:val="26"/>
          <w:szCs w:val="26"/>
        </w:rPr>
      </w:pPr>
    </w:p>
    <w:p w:rsidR="00105DEE" w:rsidRPr="00EE6ED7" w:rsidRDefault="00105DEE" w:rsidP="000C73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lastRenderedPageBreak/>
        <w:t xml:space="preserve">Like many translators, Baneth and Goldschmidt use a single question mark in translating </w:t>
      </w:r>
      <w:r w:rsidRPr="00EE6ED7">
        <w:rPr>
          <w:sz w:val="26"/>
          <w:szCs w:val="26"/>
          <w:rtl/>
        </w:rPr>
        <w:t>מה נשתנה</w:t>
      </w:r>
      <w:r w:rsidRPr="00EE6ED7">
        <w:rPr>
          <w:sz w:val="26"/>
          <w:szCs w:val="26"/>
        </w:rPr>
        <w:t xml:space="preserve">, but unlike the others, they put it at the very end, </w:t>
      </w:r>
      <w:r w:rsidRPr="00EE6ED7">
        <w:rPr>
          <w:i/>
          <w:sz w:val="26"/>
          <w:szCs w:val="26"/>
        </w:rPr>
        <w:t>after</w:t>
      </w:r>
      <w:r w:rsidRPr="00EE6ED7">
        <w:rPr>
          <w:sz w:val="26"/>
          <w:szCs w:val="26"/>
        </w:rPr>
        <w:t xml:space="preserve"> all of the </w:t>
      </w:r>
      <w:r w:rsidRPr="00EE6ED7">
        <w:rPr>
          <w:sz w:val="26"/>
          <w:szCs w:val="26"/>
          <w:rtl/>
        </w:rPr>
        <w:t>ש</w:t>
      </w:r>
      <w:r w:rsidRPr="00EE6ED7">
        <w:rPr>
          <w:sz w:val="26"/>
          <w:szCs w:val="26"/>
        </w:rPr>
        <w:t>-clauses.</w:t>
      </w:r>
      <w:r w:rsidR="0014624C" w:rsidRPr="00EE6ED7">
        <w:rPr>
          <w:sz w:val="26"/>
          <w:szCs w:val="26"/>
        </w:rPr>
        <w:t xml:space="preserve"> </w:t>
      </w:r>
      <w:r w:rsidR="002F6ED4">
        <w:rPr>
          <w:sz w:val="26"/>
          <w:szCs w:val="26"/>
        </w:rPr>
        <w:t xml:space="preserve">Both put only a comma following their </w:t>
      </w:r>
      <w:r w:rsidR="000C73DE">
        <w:rPr>
          <w:sz w:val="26"/>
          <w:szCs w:val="26"/>
        </w:rPr>
        <w:t xml:space="preserve">respective </w:t>
      </w:r>
      <w:r w:rsidR="002F6ED4">
        <w:rPr>
          <w:sz w:val="26"/>
          <w:szCs w:val="26"/>
        </w:rPr>
        <w:t xml:space="preserve">renderings of </w:t>
      </w:r>
      <w:r w:rsidRPr="00EE6ED7">
        <w:rPr>
          <w:sz w:val="26"/>
          <w:szCs w:val="26"/>
          <w:rtl/>
        </w:rPr>
        <w:t>מכל הלילות</w:t>
      </w:r>
      <w:r w:rsidRPr="00EE6ED7">
        <w:rPr>
          <w:sz w:val="26"/>
          <w:szCs w:val="26"/>
        </w:rPr>
        <w:t>.</w:t>
      </w:r>
      <w:r w:rsidR="0014624C" w:rsidRPr="00EE6ED7">
        <w:rPr>
          <w:sz w:val="26"/>
          <w:szCs w:val="26"/>
        </w:rPr>
        <w:t xml:space="preserve"> </w:t>
      </w:r>
      <w:r w:rsidRPr="00EE6ED7">
        <w:rPr>
          <w:sz w:val="26"/>
          <w:szCs w:val="26"/>
        </w:rPr>
        <w:t xml:space="preserve">Both render </w:t>
      </w:r>
      <w:r w:rsidRPr="00EE6ED7">
        <w:rPr>
          <w:sz w:val="26"/>
          <w:szCs w:val="26"/>
          <w:rtl/>
        </w:rPr>
        <w:t>מה</w:t>
      </w:r>
      <w:r w:rsidRPr="00EE6ED7">
        <w:rPr>
          <w:sz w:val="26"/>
          <w:szCs w:val="26"/>
        </w:rPr>
        <w:t xml:space="preserve"> with </w:t>
      </w:r>
      <w:r w:rsidRPr="00EE6ED7">
        <w:rPr>
          <w:i/>
          <w:sz w:val="26"/>
          <w:szCs w:val="26"/>
        </w:rPr>
        <w:t>was</w:t>
      </w:r>
      <w:r w:rsidRPr="00EE6ED7">
        <w:rPr>
          <w:sz w:val="26"/>
          <w:szCs w:val="26"/>
        </w:rPr>
        <w:t xml:space="preserve"> “what” rather than </w:t>
      </w:r>
      <w:r w:rsidRPr="00EE6ED7">
        <w:rPr>
          <w:i/>
          <w:sz w:val="26"/>
          <w:szCs w:val="26"/>
        </w:rPr>
        <w:t>warum</w:t>
      </w:r>
      <w:r w:rsidRPr="00EE6ED7">
        <w:rPr>
          <w:sz w:val="26"/>
          <w:szCs w:val="26"/>
        </w:rPr>
        <w:t xml:space="preserve"> “why.”</w:t>
      </w:r>
      <w:r w:rsidR="0014624C" w:rsidRPr="00EE6ED7">
        <w:rPr>
          <w:sz w:val="26"/>
          <w:szCs w:val="26"/>
        </w:rPr>
        <w:t xml:space="preserve"> </w:t>
      </w:r>
      <w:r w:rsidRPr="00EE6ED7">
        <w:rPr>
          <w:sz w:val="26"/>
          <w:szCs w:val="26"/>
        </w:rPr>
        <w:t xml:space="preserve">And both render </w:t>
      </w:r>
      <w:r w:rsidRPr="00EE6ED7">
        <w:rPr>
          <w:sz w:val="26"/>
          <w:szCs w:val="26"/>
          <w:rtl/>
        </w:rPr>
        <w:t>ש-</w:t>
      </w:r>
      <w:r w:rsidRPr="00EE6ED7">
        <w:rPr>
          <w:sz w:val="26"/>
          <w:szCs w:val="26"/>
        </w:rPr>
        <w:t xml:space="preserve"> with </w:t>
      </w:r>
      <w:r w:rsidRPr="00EE6ED7">
        <w:rPr>
          <w:i/>
          <w:sz w:val="26"/>
          <w:szCs w:val="26"/>
        </w:rPr>
        <w:t>dass</w:t>
      </w:r>
      <w:r w:rsidRPr="00EE6ED7">
        <w:rPr>
          <w:sz w:val="26"/>
          <w:szCs w:val="26"/>
        </w:rPr>
        <w:t xml:space="preserve"> “that,” suggesting that the </w:t>
      </w:r>
      <w:r w:rsidRPr="00EE6ED7">
        <w:rPr>
          <w:sz w:val="26"/>
          <w:szCs w:val="26"/>
          <w:rtl/>
        </w:rPr>
        <w:t>ש</w:t>
      </w:r>
      <w:r w:rsidRPr="00EE6ED7">
        <w:rPr>
          <w:sz w:val="26"/>
          <w:szCs w:val="26"/>
        </w:rPr>
        <w:t xml:space="preserve">-clauses describe the </w:t>
      </w:r>
      <w:r w:rsidRPr="00EE6ED7">
        <w:rPr>
          <w:i/>
          <w:sz w:val="26"/>
          <w:szCs w:val="26"/>
        </w:rPr>
        <w:t>results</w:t>
      </w:r>
      <w:r w:rsidRPr="00EE6ED7">
        <w:rPr>
          <w:sz w:val="26"/>
          <w:szCs w:val="26"/>
        </w:rPr>
        <w:t xml:space="preserve"> of the difference mentioned in the </w:t>
      </w:r>
      <w:r w:rsidRPr="00EE6ED7">
        <w:rPr>
          <w:sz w:val="26"/>
          <w:szCs w:val="26"/>
          <w:rtl/>
        </w:rPr>
        <w:t>מה</w:t>
      </w:r>
      <w:r w:rsidRPr="00EE6ED7">
        <w:rPr>
          <w:sz w:val="26"/>
          <w:szCs w:val="26"/>
        </w:rPr>
        <w:t>-clause.</w:t>
      </w:r>
      <w:r w:rsidRPr="00EE6ED7">
        <w:rPr>
          <w:sz w:val="26"/>
          <w:szCs w:val="26"/>
          <w:vertAlign w:val="superscript"/>
        </w:rPr>
        <w:footnoteReference w:id="24"/>
      </w:r>
    </w:p>
    <w:p w:rsidR="00105DEE" w:rsidRPr="00EE6ED7" w:rsidRDefault="00105DEE" w:rsidP="002C71D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A similar view of the relationship between the </w:t>
      </w:r>
      <w:r w:rsidRPr="00EE6ED7">
        <w:rPr>
          <w:sz w:val="26"/>
          <w:szCs w:val="26"/>
          <w:rtl/>
        </w:rPr>
        <w:t>ש</w:t>
      </w:r>
      <w:r w:rsidRPr="00EE6ED7">
        <w:rPr>
          <w:sz w:val="26"/>
          <w:szCs w:val="26"/>
        </w:rPr>
        <w:t xml:space="preserve">-clauses and the </w:t>
      </w:r>
      <w:r w:rsidRPr="00EE6ED7">
        <w:rPr>
          <w:sz w:val="26"/>
          <w:szCs w:val="26"/>
          <w:rtl/>
        </w:rPr>
        <w:t>מה</w:t>
      </w:r>
      <w:r w:rsidRPr="00EE6ED7">
        <w:rPr>
          <w:sz w:val="26"/>
          <w:szCs w:val="26"/>
        </w:rPr>
        <w:t xml:space="preserve">-clause is implicit in the paraphrase of R. Judah Loew b. Bezalel (Maharal) of </w:t>
      </w:r>
      <w:smartTag w:uri="urn:schemas-microsoft-com:office:smarttags" w:element="place">
        <w:smartTag w:uri="urn:schemas-microsoft-com:office:smarttags" w:element="City">
          <w:r w:rsidRPr="00EE6ED7">
            <w:rPr>
              <w:sz w:val="26"/>
              <w:szCs w:val="26"/>
            </w:rPr>
            <w:t>Prague</w:t>
          </w:r>
        </w:smartTag>
      </w:smartTag>
      <w:r w:rsidRPr="00EE6ED7">
        <w:rPr>
          <w:sz w:val="26"/>
          <w:szCs w:val="26"/>
        </w:rPr>
        <w:t xml:space="preserve"> in </w:t>
      </w:r>
      <w:r w:rsidRPr="00EE6ED7">
        <w:rPr>
          <w:i/>
          <w:sz w:val="26"/>
          <w:szCs w:val="26"/>
        </w:rPr>
        <w:t>Gevurot ha-Shem</w:t>
      </w:r>
      <w:r w:rsidRPr="00EE6ED7">
        <w:rPr>
          <w:sz w:val="26"/>
          <w:szCs w:val="26"/>
        </w:rPr>
        <w:t xml:space="preserve"> (1582):</w:t>
      </w:r>
      <w:r w:rsidRPr="00EE6ED7">
        <w:rPr>
          <w:sz w:val="26"/>
          <w:szCs w:val="26"/>
          <w:rtl/>
        </w:rPr>
        <w:t>מה קרה לנו שעושין החירות והשעבוד</w:t>
      </w:r>
      <w:r w:rsidRPr="00EE6ED7">
        <w:rPr>
          <w:sz w:val="26"/>
          <w:szCs w:val="26"/>
        </w:rPr>
        <w:t>.</w:t>
      </w:r>
      <w:r w:rsidR="002F6ED4" w:rsidRPr="00EE6ED7">
        <w:rPr>
          <w:sz w:val="26"/>
          <w:szCs w:val="26"/>
          <w:vertAlign w:val="superscript"/>
        </w:rPr>
        <w:footnoteReference w:id="25"/>
      </w:r>
      <w:r w:rsidR="0014624C" w:rsidRPr="00EE6ED7">
        <w:rPr>
          <w:sz w:val="26"/>
          <w:szCs w:val="26"/>
        </w:rPr>
        <w:t xml:space="preserve"> </w:t>
      </w:r>
      <w:r w:rsidRPr="00EE6ED7">
        <w:rPr>
          <w:sz w:val="26"/>
          <w:szCs w:val="26"/>
        </w:rPr>
        <w:t xml:space="preserve">Unlike the </w:t>
      </w:r>
      <w:r w:rsidR="002C57BB">
        <w:rPr>
          <w:sz w:val="26"/>
          <w:szCs w:val="26"/>
        </w:rPr>
        <w:t>four</w:t>
      </w:r>
      <w:r w:rsidRPr="00EE6ED7">
        <w:rPr>
          <w:sz w:val="26"/>
          <w:szCs w:val="26"/>
        </w:rPr>
        <w:t xml:space="preserve"> aforementioned authors, Maharal views the question as moving from past event to present result;</w:t>
      </w:r>
      <w:r w:rsidRPr="00EE6ED7">
        <w:rPr>
          <w:sz w:val="26"/>
          <w:szCs w:val="26"/>
          <w:rtl/>
        </w:rPr>
        <w:t>מה קרה לנו</w:t>
      </w:r>
      <w:r w:rsidRPr="00EE6ED7">
        <w:rPr>
          <w:sz w:val="26"/>
          <w:szCs w:val="26"/>
        </w:rPr>
        <w:t xml:space="preserve"> is his paraphrase of the </w:t>
      </w:r>
      <w:r w:rsidRPr="00EE6ED7">
        <w:rPr>
          <w:sz w:val="26"/>
          <w:szCs w:val="26"/>
          <w:rtl/>
        </w:rPr>
        <w:t>מה</w:t>
      </w:r>
      <w:r w:rsidRPr="00EE6ED7">
        <w:rPr>
          <w:sz w:val="26"/>
          <w:szCs w:val="26"/>
        </w:rPr>
        <w:t xml:space="preserve">-clause, while </w:t>
      </w:r>
      <w:r w:rsidRPr="00EE6ED7">
        <w:rPr>
          <w:sz w:val="26"/>
          <w:szCs w:val="26"/>
          <w:rtl/>
        </w:rPr>
        <w:t>שעושין החירות והשעבוד</w:t>
      </w:r>
      <w:r w:rsidRPr="00EE6ED7">
        <w:rPr>
          <w:sz w:val="26"/>
          <w:szCs w:val="26"/>
        </w:rPr>
        <w:t xml:space="preserve"> is his paraphrase of the </w:t>
      </w:r>
      <w:r w:rsidRPr="00EE6ED7">
        <w:rPr>
          <w:sz w:val="26"/>
          <w:szCs w:val="26"/>
          <w:rtl/>
        </w:rPr>
        <w:t>ש</w:t>
      </w:r>
      <w:r w:rsidRPr="00EE6ED7">
        <w:rPr>
          <w:sz w:val="26"/>
          <w:szCs w:val="26"/>
        </w:rPr>
        <w:t>-clauses.</w:t>
      </w:r>
      <w:r w:rsidR="0014624C" w:rsidRPr="00EE6ED7">
        <w:rPr>
          <w:sz w:val="26"/>
          <w:szCs w:val="26"/>
        </w:rPr>
        <w:t xml:space="preserve"> </w:t>
      </w:r>
      <w:r w:rsidRPr="00EE6ED7">
        <w:rPr>
          <w:sz w:val="26"/>
          <w:szCs w:val="26"/>
        </w:rPr>
        <w:t xml:space="preserve">The idea that the </w:t>
      </w:r>
      <w:r w:rsidRPr="00EE6ED7">
        <w:rPr>
          <w:sz w:val="26"/>
          <w:szCs w:val="26"/>
          <w:rtl/>
        </w:rPr>
        <w:t>מה</w:t>
      </w:r>
      <w:r w:rsidRPr="00EE6ED7">
        <w:rPr>
          <w:sz w:val="26"/>
          <w:szCs w:val="26"/>
        </w:rPr>
        <w:t>-clause refers to the past is not as strange as it seems.</w:t>
      </w:r>
      <w:r w:rsidR="0014624C" w:rsidRPr="00EE6ED7">
        <w:rPr>
          <w:sz w:val="26"/>
          <w:szCs w:val="26"/>
        </w:rPr>
        <w:t xml:space="preserve"> </w:t>
      </w:r>
      <w:r w:rsidRPr="00EE6ED7">
        <w:rPr>
          <w:sz w:val="26"/>
          <w:szCs w:val="26"/>
        </w:rPr>
        <w:t xml:space="preserve">The verb </w:t>
      </w:r>
      <w:r w:rsidRPr="00EE6ED7">
        <w:rPr>
          <w:sz w:val="26"/>
          <w:szCs w:val="26"/>
          <w:rtl/>
        </w:rPr>
        <w:t>נשתנה</w:t>
      </w:r>
      <w:r w:rsidRPr="00EE6ED7">
        <w:rPr>
          <w:sz w:val="26"/>
          <w:szCs w:val="26"/>
        </w:rPr>
        <w:t xml:space="preserve"> is a perfect,</w:t>
      </w:r>
      <w:r w:rsidRPr="00EE6ED7">
        <w:rPr>
          <w:sz w:val="26"/>
          <w:szCs w:val="26"/>
          <w:vertAlign w:val="superscript"/>
        </w:rPr>
        <w:footnoteReference w:id="26"/>
      </w:r>
      <w:r w:rsidRPr="00EE6ED7">
        <w:rPr>
          <w:sz w:val="26"/>
          <w:szCs w:val="26"/>
        </w:rPr>
        <w:t xml:space="preserve"> and is translated with past-tense verbs in many traditions, e.g., </w:t>
      </w:r>
      <w:r w:rsidRPr="00EE6ED7">
        <w:rPr>
          <w:sz w:val="26"/>
          <w:szCs w:val="26"/>
          <w:rtl/>
        </w:rPr>
        <w:t>אכ'תלפת</w:t>
      </w:r>
      <w:r w:rsidRPr="00EE6ED7">
        <w:rPr>
          <w:sz w:val="26"/>
          <w:szCs w:val="26"/>
        </w:rPr>
        <w:t xml:space="preserve"> (</w:t>
      </w:r>
      <w:smartTag w:uri="urn:schemas-microsoft-com:office:smarttags" w:element="country-region">
        <w:r w:rsidRPr="00EE6ED7">
          <w:rPr>
            <w:sz w:val="26"/>
            <w:szCs w:val="26"/>
          </w:rPr>
          <w:t>Yemen</w:t>
        </w:r>
      </w:smartTag>
      <w:r w:rsidRPr="00EE6ED7">
        <w:rPr>
          <w:sz w:val="26"/>
          <w:szCs w:val="26"/>
        </w:rPr>
        <w:t>),</w:t>
      </w:r>
      <w:r w:rsidRPr="00EE6ED7">
        <w:rPr>
          <w:sz w:val="26"/>
          <w:szCs w:val="26"/>
          <w:vertAlign w:val="superscript"/>
        </w:rPr>
        <w:footnoteReference w:id="27"/>
      </w:r>
      <w:r w:rsidRPr="00EE6ED7">
        <w:rPr>
          <w:sz w:val="26"/>
          <w:szCs w:val="26"/>
        </w:rPr>
        <w:t xml:space="preserve"> </w:t>
      </w:r>
      <w:r w:rsidRPr="00EE6ED7">
        <w:rPr>
          <w:sz w:val="26"/>
          <w:szCs w:val="26"/>
          <w:rtl/>
        </w:rPr>
        <w:t>תג'יירת</w:t>
      </w:r>
      <w:r w:rsidRPr="00EE6ED7">
        <w:rPr>
          <w:sz w:val="26"/>
          <w:szCs w:val="26"/>
        </w:rPr>
        <w:t xml:space="preserve"> (</w:t>
      </w:r>
      <w:smartTag w:uri="urn:schemas-microsoft-com:office:smarttags" w:element="country-region">
        <w:r w:rsidRPr="00EE6ED7">
          <w:rPr>
            <w:sz w:val="26"/>
            <w:szCs w:val="26"/>
          </w:rPr>
          <w:t>Iraq</w:t>
        </w:r>
      </w:smartTag>
      <w:r w:rsidRPr="00EE6ED7">
        <w:rPr>
          <w:sz w:val="26"/>
          <w:szCs w:val="26"/>
        </w:rPr>
        <w:t>),</w:t>
      </w:r>
      <w:r w:rsidRPr="00EE6ED7">
        <w:rPr>
          <w:sz w:val="26"/>
          <w:szCs w:val="26"/>
          <w:vertAlign w:val="superscript"/>
        </w:rPr>
        <w:footnoteReference w:id="28"/>
      </w:r>
      <w:r w:rsidRPr="00EE6ED7">
        <w:rPr>
          <w:sz w:val="26"/>
          <w:szCs w:val="26"/>
        </w:rPr>
        <w:t xml:space="preserve"> </w:t>
      </w:r>
      <w:r w:rsidRPr="00EE6ED7">
        <w:rPr>
          <w:sz w:val="26"/>
          <w:szCs w:val="26"/>
          <w:rtl/>
        </w:rPr>
        <w:t>אתבדלת</w:t>
      </w:r>
      <w:r w:rsidRPr="00EE6ED7">
        <w:rPr>
          <w:sz w:val="26"/>
          <w:szCs w:val="26"/>
        </w:rPr>
        <w:t xml:space="preserve">, </w:t>
      </w:r>
      <w:r w:rsidRPr="00EE6ED7">
        <w:rPr>
          <w:sz w:val="26"/>
          <w:szCs w:val="26"/>
          <w:rtl/>
        </w:rPr>
        <w:t>תבדלת</w:t>
      </w:r>
      <w:r w:rsidRPr="00EE6ED7">
        <w:rPr>
          <w:sz w:val="26"/>
          <w:szCs w:val="26"/>
        </w:rPr>
        <w:t xml:space="preserve"> (North Africa),</w:t>
      </w:r>
      <w:r w:rsidRPr="00EE6ED7">
        <w:rPr>
          <w:sz w:val="26"/>
          <w:szCs w:val="26"/>
          <w:vertAlign w:val="superscript"/>
        </w:rPr>
        <w:footnoteReference w:id="29"/>
      </w:r>
      <w:r w:rsidRPr="00EE6ED7">
        <w:rPr>
          <w:sz w:val="26"/>
          <w:szCs w:val="26"/>
        </w:rPr>
        <w:t xml:space="preserve"> </w:t>
      </w:r>
      <w:r w:rsidRPr="00EE6ED7">
        <w:rPr>
          <w:sz w:val="26"/>
          <w:szCs w:val="26"/>
          <w:rtl/>
        </w:rPr>
        <w:t>פוּאֵי דֵימודַדַה</w:t>
      </w:r>
      <w:r w:rsidRPr="00EE6ED7">
        <w:rPr>
          <w:sz w:val="26"/>
          <w:szCs w:val="26"/>
        </w:rPr>
        <w:t xml:space="preserve"> </w:t>
      </w:r>
      <w:r w:rsidRPr="00EE6ED7">
        <w:rPr>
          <w:sz w:val="26"/>
          <w:szCs w:val="26"/>
        </w:rPr>
        <w:lastRenderedPageBreak/>
        <w:t>(</w:t>
      </w:r>
      <w:smartTag w:uri="urn:schemas-microsoft-com:office:smarttags" w:element="country-region">
        <w:r w:rsidRPr="00EE6ED7">
          <w:rPr>
            <w:sz w:val="26"/>
            <w:szCs w:val="26"/>
          </w:rPr>
          <w:t>Italy</w:t>
        </w:r>
      </w:smartTag>
      <w:r w:rsidRPr="00EE6ED7">
        <w:rPr>
          <w:sz w:val="26"/>
          <w:szCs w:val="26"/>
        </w:rPr>
        <w:t xml:space="preserve"> &lt; </w:t>
      </w:r>
      <w:smartTag w:uri="urn:schemas-microsoft-com:office:smarttags" w:element="country-region">
        <w:r w:rsidRPr="00EE6ED7">
          <w:rPr>
            <w:sz w:val="26"/>
            <w:szCs w:val="26"/>
          </w:rPr>
          <w:t>Spain</w:t>
        </w:r>
      </w:smartTag>
      <w:r w:rsidRPr="00EE6ED7">
        <w:rPr>
          <w:sz w:val="26"/>
          <w:szCs w:val="26"/>
        </w:rPr>
        <w:t>),</w:t>
      </w:r>
      <w:r w:rsidRPr="00EE6ED7">
        <w:rPr>
          <w:sz w:val="26"/>
          <w:szCs w:val="26"/>
          <w:vertAlign w:val="superscript"/>
        </w:rPr>
        <w:footnoteReference w:id="30"/>
      </w:r>
      <w:r w:rsidRPr="00EE6ED7">
        <w:rPr>
          <w:sz w:val="26"/>
          <w:szCs w:val="26"/>
        </w:rPr>
        <w:t xml:space="preserve"> </w:t>
      </w:r>
      <w:r w:rsidRPr="00EE6ED7">
        <w:rPr>
          <w:sz w:val="26"/>
          <w:szCs w:val="26"/>
          <w:rtl/>
        </w:rPr>
        <w:t>איז פארענדערט געװארן</w:t>
      </w:r>
      <w:r w:rsidRPr="00EE6ED7">
        <w:rPr>
          <w:sz w:val="26"/>
          <w:szCs w:val="26"/>
        </w:rPr>
        <w:t xml:space="preserve"> (</w:t>
      </w:r>
      <w:smartTag w:uri="urn:schemas-microsoft-com:office:smarttags" w:element="place">
        <w:r w:rsidRPr="00EE6ED7">
          <w:rPr>
            <w:sz w:val="26"/>
            <w:szCs w:val="26"/>
          </w:rPr>
          <w:t>Eastern Europe</w:t>
        </w:r>
      </w:smartTag>
      <w:r w:rsidRPr="00EE6ED7">
        <w:rPr>
          <w:sz w:val="26"/>
          <w:szCs w:val="26"/>
        </w:rPr>
        <w:t>).</w:t>
      </w:r>
      <w:r w:rsidRPr="00EE6ED7">
        <w:rPr>
          <w:sz w:val="26"/>
          <w:szCs w:val="26"/>
          <w:vertAlign w:val="superscript"/>
        </w:rPr>
        <w:footnoteReference w:id="31"/>
      </w:r>
      <w:r w:rsidR="0014624C" w:rsidRPr="00EE6ED7">
        <w:rPr>
          <w:sz w:val="26"/>
          <w:szCs w:val="26"/>
        </w:rPr>
        <w:t xml:space="preserve"> </w:t>
      </w:r>
      <w:r w:rsidRPr="00EE6ED7">
        <w:rPr>
          <w:sz w:val="26"/>
          <w:szCs w:val="26"/>
        </w:rPr>
        <w:t xml:space="preserve">Indeed, it is the present-tense interpretation of </w:t>
      </w:r>
      <w:r w:rsidRPr="00EE6ED7">
        <w:rPr>
          <w:sz w:val="26"/>
          <w:szCs w:val="26"/>
          <w:rtl/>
        </w:rPr>
        <w:t>נשתנה</w:t>
      </w:r>
      <w:r w:rsidRPr="00EE6ED7">
        <w:rPr>
          <w:sz w:val="26"/>
          <w:szCs w:val="26"/>
        </w:rPr>
        <w:t xml:space="preserve"> that would seem to require explanation!</w:t>
      </w:r>
      <w:bookmarkStart w:id="2" w:name="_Ref200357575"/>
      <w:r w:rsidRPr="00EE6ED7">
        <w:rPr>
          <w:sz w:val="26"/>
          <w:szCs w:val="26"/>
          <w:vertAlign w:val="superscript"/>
        </w:rPr>
        <w:footnoteReference w:id="32"/>
      </w:r>
      <w:bookmarkEnd w:id="2"/>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Maharal’s interpretation was accepted by R. Zevi Hirsch b. Tan</w:t>
      </w:r>
      <w:r w:rsidR="002C71D1" w:rsidRPr="00111094">
        <w:rPr>
          <w:rFonts w:ascii="CalSemitic" w:hAnsi="CalSemitic"/>
          <w:sz w:val="28"/>
          <w:szCs w:val="26"/>
        </w:rPr>
        <w:t>x</w:t>
      </w:r>
      <w:r w:rsidRPr="00EE6ED7">
        <w:rPr>
          <w:sz w:val="26"/>
          <w:szCs w:val="26"/>
        </w:rPr>
        <w:t xml:space="preserve">um, </w:t>
      </w:r>
      <w:r w:rsidRPr="00EE6ED7">
        <w:rPr>
          <w:i/>
          <w:sz w:val="26"/>
          <w:szCs w:val="26"/>
        </w:rPr>
        <w:t>Av Bet Din</w:t>
      </w:r>
      <w:r w:rsidRPr="00EE6ED7">
        <w:rPr>
          <w:sz w:val="26"/>
          <w:szCs w:val="26"/>
        </w:rPr>
        <w:t xml:space="preserve"> of </w:t>
      </w:r>
      <w:smartTag w:uri="urn:schemas-microsoft-com:office:smarttags" w:element="City">
        <w:smartTag w:uri="urn:schemas-microsoft-com:office:smarttags" w:element="place">
          <w:r w:rsidRPr="00EE6ED7">
            <w:rPr>
              <w:sz w:val="26"/>
              <w:szCs w:val="26"/>
            </w:rPr>
            <w:t>Grodno</w:t>
          </w:r>
        </w:smartTag>
      </w:smartTag>
      <w:r w:rsidRPr="00EE6ED7">
        <w:rPr>
          <w:sz w:val="26"/>
          <w:szCs w:val="26"/>
        </w:rPr>
        <w:t xml:space="preserve">, who succeeded in carrying it a step further (1852):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מה נשתנה - </w:t>
      </w:r>
      <w:r w:rsidRPr="00EE6ED7">
        <w:rPr>
          <w:sz w:val="26"/>
          <w:szCs w:val="26"/>
          <w:u w:val="single"/>
          <w:rtl/>
        </w:rPr>
        <w:t>לפי הרגיל בבאורו הול"ל למה נשתנה או מדוע</w:t>
      </w:r>
      <w:r w:rsidRPr="00EE6ED7">
        <w:rPr>
          <w:sz w:val="26"/>
          <w:szCs w:val="26"/>
          <w:rtl/>
        </w:rPr>
        <w:t xml:space="preserve"> והיה הבאור מדוע אנו עושין בלילה הזה דברים משונים מה שאין הרגילות לעשות כך בשאר הלילות</w:t>
      </w:r>
      <w:r w:rsidR="000A4652">
        <w:rPr>
          <w:sz w:val="26"/>
          <w:szCs w:val="26"/>
          <w:rtl/>
        </w:rPr>
        <w:t xml:space="preserve">... </w:t>
      </w:r>
      <w:r w:rsidRPr="00EE6ED7">
        <w:rPr>
          <w:sz w:val="26"/>
          <w:szCs w:val="26"/>
          <w:rtl/>
        </w:rPr>
        <w:t>ואולם לאשר ראינו שסדר זה באלו השאלות נתקנו לבן חכם האוהב לחקור ולהבין שרשי הענינים ולא לשאול מדוע נעשה כזאת כשאלת התם</w:t>
      </w:r>
      <w:r w:rsidR="000A4652">
        <w:rPr>
          <w:sz w:val="26"/>
          <w:szCs w:val="26"/>
          <w:rtl/>
        </w:rPr>
        <w:t xml:space="preserve">... </w:t>
      </w:r>
      <w:r w:rsidRPr="00EE6ED7">
        <w:rPr>
          <w:sz w:val="26"/>
          <w:szCs w:val="26"/>
          <w:rtl/>
        </w:rPr>
        <w:t xml:space="preserve">לכן גם פה בראותו איזה השתנות </w:t>
      </w:r>
      <w:r w:rsidR="006A341B" w:rsidRPr="00EE6ED7">
        <w:rPr>
          <w:sz w:val="26"/>
          <w:szCs w:val="26"/>
          <w:rtl/>
        </w:rPr>
        <w:t>(</w:t>
      </w:r>
      <w:r w:rsidRPr="00EE6ED7">
        <w:rPr>
          <w:sz w:val="26"/>
          <w:szCs w:val="26"/>
          <w:rtl/>
        </w:rPr>
        <w:t>צ"ל השתנויות</w:t>
      </w:r>
      <w:r w:rsidR="006A341B" w:rsidRPr="00EE6ED7">
        <w:rPr>
          <w:sz w:val="26"/>
          <w:szCs w:val="26"/>
          <w:rtl/>
        </w:rPr>
        <w:t xml:space="preserve">) </w:t>
      </w:r>
      <w:r w:rsidRPr="00EE6ED7">
        <w:rPr>
          <w:sz w:val="26"/>
          <w:szCs w:val="26"/>
          <w:rtl/>
        </w:rPr>
        <w:t>לבבו יבין כי לא במקרה נעשו</w:t>
      </w:r>
      <w:r w:rsidR="000A4652">
        <w:rPr>
          <w:sz w:val="26"/>
          <w:szCs w:val="26"/>
          <w:rtl/>
        </w:rPr>
        <w:t xml:space="preserve">... </w:t>
      </w:r>
      <w:r w:rsidRPr="00EE6ED7">
        <w:rPr>
          <w:sz w:val="26"/>
          <w:szCs w:val="26"/>
          <w:rtl/>
        </w:rPr>
        <w:t xml:space="preserve">ושואל </w:t>
      </w:r>
      <w:r w:rsidRPr="00EE6ED7">
        <w:rPr>
          <w:sz w:val="26"/>
          <w:szCs w:val="26"/>
          <w:u w:val="single"/>
          <w:rtl/>
        </w:rPr>
        <w:t>איזה השתנות היה בלילה הזה שמחמתה אנחנו עושים אלו ההשתנות</w:t>
      </w:r>
      <w:r w:rsidRPr="00EE6ED7">
        <w:rPr>
          <w:sz w:val="26"/>
          <w:szCs w:val="26"/>
          <w:rtl/>
        </w:rPr>
        <w:t xml:space="preserve"> </w:t>
      </w:r>
      <w:r w:rsidR="006A341B" w:rsidRPr="00EE6ED7">
        <w:rPr>
          <w:sz w:val="26"/>
          <w:szCs w:val="26"/>
          <w:rtl/>
        </w:rPr>
        <w:t>(</w:t>
      </w:r>
      <w:r w:rsidRPr="00EE6ED7">
        <w:rPr>
          <w:sz w:val="26"/>
          <w:szCs w:val="26"/>
          <w:rtl/>
        </w:rPr>
        <w:t>צ"ל השתנויות</w:t>
      </w:r>
      <w:r w:rsidR="006A341B" w:rsidRPr="00EE6ED7">
        <w:rPr>
          <w:sz w:val="26"/>
          <w:szCs w:val="26"/>
          <w:rtl/>
        </w:rPr>
        <w:t>)</w:t>
      </w:r>
      <w:r w:rsidRPr="00EE6ED7">
        <w:rPr>
          <w:sz w:val="26"/>
          <w:szCs w:val="26"/>
          <w:rtl/>
        </w:rPr>
        <w:t xml:space="preserve">. ושאלתו על ימים הראשונים: </w:t>
      </w:r>
      <w:r w:rsidRPr="00EE6ED7">
        <w:rPr>
          <w:sz w:val="26"/>
          <w:szCs w:val="26"/>
          <w:u w:val="single"/>
          <w:rtl/>
        </w:rPr>
        <w:t>מה קרה בלילה הזה שבכל הלילות אנו אוכלין כו'</w:t>
      </w:r>
      <w:r w:rsidRPr="00EE6ED7">
        <w:rPr>
          <w:sz w:val="26"/>
          <w:szCs w:val="26"/>
          <w:rtl/>
        </w:rPr>
        <w:t>. ולזה השיב כהלכה את תורף המעשה אשר נעשה כהיום</w:t>
      </w:r>
      <w:r w:rsidR="000A4652">
        <w:rPr>
          <w:sz w:val="26"/>
          <w:szCs w:val="26"/>
          <w:rtl/>
        </w:rPr>
        <w:t>...</w:t>
      </w:r>
      <w:r w:rsidRPr="00EE6ED7">
        <w:rPr>
          <w:sz w:val="26"/>
          <w:szCs w:val="26"/>
          <w:vertAlign w:val="superscript"/>
          <w:rtl/>
        </w:rPr>
        <w:footnoteReference w:id="33"/>
      </w:r>
      <w:r w:rsidRPr="00EE6ED7">
        <w:rPr>
          <w:sz w:val="26"/>
          <w:szCs w:val="26"/>
          <w:rtl/>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It will be noted that the word </w:t>
      </w:r>
      <w:r w:rsidRPr="00EE6ED7">
        <w:rPr>
          <w:sz w:val="26"/>
          <w:szCs w:val="26"/>
          <w:rtl/>
        </w:rPr>
        <w:t>השתנות</w:t>
      </w:r>
      <w:r w:rsidRPr="00EE6ED7">
        <w:rPr>
          <w:sz w:val="26"/>
          <w:szCs w:val="26"/>
        </w:rPr>
        <w:t xml:space="preserve"> “difference” occurs twice in the second underlined clause and that the two occurrences do not have the same referent.</w:t>
      </w:r>
      <w:r w:rsidR="0014624C" w:rsidRPr="00EE6ED7">
        <w:rPr>
          <w:sz w:val="26"/>
          <w:szCs w:val="26"/>
        </w:rPr>
        <w:t xml:space="preserve"> </w:t>
      </w:r>
      <w:r w:rsidRPr="00EE6ED7">
        <w:rPr>
          <w:sz w:val="26"/>
          <w:szCs w:val="26"/>
        </w:rPr>
        <w:t>The idea is that the question</w:t>
      </w:r>
      <w:r w:rsidRPr="00EE6ED7">
        <w:rPr>
          <w:sz w:val="26"/>
          <w:szCs w:val="26"/>
          <w:vertAlign w:val="superscript"/>
        </w:rPr>
        <w:footnoteReference w:id="34"/>
      </w:r>
      <w:r w:rsidRPr="00EE6ED7">
        <w:rPr>
          <w:sz w:val="26"/>
          <w:szCs w:val="26"/>
        </w:rPr>
        <w:t xml:space="preserve"> refers to two kinds of differences: (1) an underlying difference in the past, expressed by the verb </w:t>
      </w:r>
      <w:r w:rsidRPr="00EE6ED7">
        <w:rPr>
          <w:sz w:val="26"/>
          <w:szCs w:val="26"/>
          <w:rtl/>
        </w:rPr>
        <w:t>נשתנה</w:t>
      </w:r>
      <w:r w:rsidRPr="00EE6ED7">
        <w:rPr>
          <w:sz w:val="26"/>
          <w:szCs w:val="26"/>
        </w:rPr>
        <w:t xml:space="preserve"> in the first half and (2) surface differences—symptoms or manifestations—in the present, expressed by the </w:t>
      </w:r>
      <w:r w:rsidRPr="00EE6ED7">
        <w:rPr>
          <w:sz w:val="26"/>
          <w:szCs w:val="26"/>
          <w:rtl/>
        </w:rPr>
        <w:t>ש</w:t>
      </w:r>
      <w:r w:rsidRPr="00EE6ED7">
        <w:rPr>
          <w:sz w:val="26"/>
          <w:szCs w:val="26"/>
        </w:rPr>
        <w:t xml:space="preserve">-clauses in the </w:t>
      </w:r>
      <w:r w:rsidRPr="00EE6ED7">
        <w:rPr>
          <w:sz w:val="26"/>
          <w:szCs w:val="26"/>
        </w:rPr>
        <w:lastRenderedPageBreak/>
        <w:t>second half.</w:t>
      </w:r>
      <w:r w:rsidR="0014624C" w:rsidRPr="00EE6ED7">
        <w:rPr>
          <w:sz w:val="26"/>
          <w:szCs w:val="26"/>
        </w:rPr>
        <w:t xml:space="preserve"> </w:t>
      </w:r>
      <w:r w:rsidRPr="00EE6ED7">
        <w:rPr>
          <w:sz w:val="26"/>
          <w:szCs w:val="26"/>
        </w:rPr>
        <w:t xml:space="preserve">This distinction explains why the </w:t>
      </w:r>
      <w:r w:rsidR="006A341B" w:rsidRPr="00EE6ED7">
        <w:rPr>
          <w:sz w:val="26"/>
          <w:szCs w:val="26"/>
        </w:rPr>
        <w:t xml:space="preserve">Haggadah </w:t>
      </w:r>
      <w:r w:rsidRPr="00EE6ED7">
        <w:rPr>
          <w:sz w:val="26"/>
          <w:szCs w:val="26"/>
        </w:rPr>
        <w:t xml:space="preserve">of Provence speaks of </w:t>
      </w:r>
      <w:r w:rsidRPr="00EE6ED7">
        <w:rPr>
          <w:sz w:val="26"/>
          <w:szCs w:val="26"/>
          <w:u w:val="single"/>
          <w:rtl/>
        </w:rPr>
        <w:t>שינוי</w:t>
      </w:r>
      <w:r w:rsidRPr="00EE6ED7">
        <w:rPr>
          <w:sz w:val="26"/>
          <w:szCs w:val="26"/>
          <w:rtl/>
        </w:rPr>
        <w:t xml:space="preserve"> הלילה הזאת מכל הלילות</w:t>
      </w:r>
      <w:r w:rsidRPr="00EE6ED7">
        <w:rPr>
          <w:sz w:val="26"/>
          <w:szCs w:val="26"/>
        </w:rPr>
        <w:t xml:space="preserve"> in the singular, while R. Simeon b. Zemah Duran uses the plural to describe what the son witnesses:</w:t>
      </w:r>
      <w:r w:rsidRPr="00EE6ED7">
        <w:rPr>
          <w:sz w:val="26"/>
          <w:szCs w:val="26"/>
          <w:rtl/>
        </w:rPr>
        <w:t xml:space="preserve">זאת היא שאלת הבן </w:t>
      </w:r>
      <w:r w:rsidRPr="00263CEB">
        <w:rPr>
          <w:sz w:val="26"/>
          <w:szCs w:val="26"/>
          <w:u w:val="single"/>
          <w:rtl/>
        </w:rPr>
        <w:t xml:space="preserve">שהוא </w:t>
      </w:r>
      <w:r w:rsidRPr="00EE6ED7">
        <w:rPr>
          <w:sz w:val="26"/>
          <w:szCs w:val="26"/>
          <w:u w:val="single"/>
          <w:rtl/>
        </w:rPr>
        <w:t>רואה חמשה שינויין</w:t>
      </w:r>
      <w:r w:rsidRPr="00EE6ED7">
        <w:rPr>
          <w:sz w:val="26"/>
          <w:szCs w:val="26"/>
          <w:rtl/>
        </w:rPr>
        <w:t xml:space="preserve"> בלילה הזה</w:t>
      </w:r>
      <w:r w:rsidRPr="00EE6ED7">
        <w:rPr>
          <w:sz w:val="26"/>
          <w:szCs w:val="26"/>
        </w:rPr>
        <w:t>.</w:t>
      </w:r>
      <w:r w:rsidRPr="00EE6ED7">
        <w:rPr>
          <w:sz w:val="26"/>
          <w:szCs w:val="26"/>
          <w:vertAlign w:val="superscript"/>
        </w:rPr>
        <w:footnoteReference w:id="35"/>
      </w:r>
      <w:r w:rsidR="0014624C" w:rsidRPr="00EE6ED7">
        <w:rPr>
          <w:sz w:val="26"/>
          <w:szCs w:val="26"/>
        </w:rPr>
        <w:t xml:space="preserve"> </w:t>
      </w:r>
      <w:r w:rsidRPr="00EE6ED7">
        <w:rPr>
          <w:sz w:val="26"/>
          <w:szCs w:val="26"/>
        </w:rPr>
        <w:t xml:space="preserve">Failure to grasp this distinction made it difficult for some commentators to explain the tense of </w:t>
      </w:r>
      <w:r w:rsidRPr="00EE6ED7">
        <w:rPr>
          <w:sz w:val="26"/>
          <w:szCs w:val="26"/>
          <w:rtl/>
        </w:rPr>
        <w:t>נשתנה</w:t>
      </w:r>
      <w:r w:rsidRPr="00EE6ED7">
        <w:rPr>
          <w:sz w:val="26"/>
          <w:szCs w:val="26"/>
        </w:rPr>
        <w:t>.</w:t>
      </w:r>
      <w:r w:rsidRPr="00EE6ED7">
        <w:rPr>
          <w:sz w:val="26"/>
          <w:szCs w:val="26"/>
          <w:vertAlign w:val="superscript"/>
        </w:rPr>
        <w:footnoteReference w:id="36"/>
      </w:r>
    </w:p>
    <w:p w:rsidR="00105DEE" w:rsidRPr="00EE6ED7" w:rsidRDefault="00105DEE" w:rsidP="007B70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idea that the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 serves to correlate two differences (or sets of differences) is implicit in Ramban’s use of this formula (in a different context) in his </w:t>
      </w:r>
      <w:r w:rsidR="007B70CD">
        <w:rPr>
          <w:sz w:val="26"/>
          <w:szCs w:val="26"/>
        </w:rPr>
        <w:t xml:space="preserve">novellae on </w:t>
      </w:r>
      <w:r w:rsidRPr="00EE6ED7">
        <w:rPr>
          <w:sz w:val="26"/>
          <w:szCs w:val="26"/>
        </w:rPr>
        <w:t>b.Shab. 65b:</w:t>
      </w:r>
      <w:r w:rsidRPr="00EE6ED7">
        <w:rPr>
          <w:sz w:val="26"/>
          <w:szCs w:val="26"/>
          <w:rtl/>
        </w:rPr>
        <w:t>מה נשתנה זה שנשתנה שמו</w:t>
      </w:r>
      <w:r w:rsidRPr="00EE6ED7">
        <w:rPr>
          <w:sz w:val="26"/>
          <w:szCs w:val="26"/>
        </w:rPr>
        <w:t>.</w:t>
      </w:r>
      <w:r w:rsidR="0014624C" w:rsidRPr="00EE6ED7">
        <w:rPr>
          <w:sz w:val="26"/>
          <w:szCs w:val="26"/>
        </w:rPr>
        <w:t xml:space="preserve"> </w:t>
      </w:r>
      <w:r w:rsidRPr="00EE6ED7">
        <w:rPr>
          <w:sz w:val="26"/>
          <w:szCs w:val="26"/>
        </w:rPr>
        <w:t xml:space="preserve">Here, in addition to the </w:t>
      </w:r>
      <w:r w:rsidRPr="00EE6ED7">
        <w:rPr>
          <w:sz w:val="26"/>
          <w:szCs w:val="26"/>
          <w:rtl/>
        </w:rPr>
        <w:t>נשתנה</w:t>
      </w:r>
      <w:r w:rsidRPr="00EE6ED7">
        <w:rPr>
          <w:sz w:val="26"/>
          <w:szCs w:val="26"/>
        </w:rPr>
        <w:t xml:space="preserve"> in the </w:t>
      </w:r>
      <w:r w:rsidRPr="00EE6ED7">
        <w:rPr>
          <w:sz w:val="26"/>
          <w:szCs w:val="26"/>
          <w:rtl/>
        </w:rPr>
        <w:t>מה</w:t>
      </w:r>
      <w:r w:rsidRPr="00EE6ED7">
        <w:rPr>
          <w:sz w:val="26"/>
          <w:szCs w:val="26"/>
        </w:rPr>
        <w:t xml:space="preserve">-clause, we have a second </w:t>
      </w:r>
      <w:r w:rsidRPr="00EE6ED7">
        <w:rPr>
          <w:sz w:val="26"/>
          <w:szCs w:val="26"/>
          <w:rtl/>
        </w:rPr>
        <w:t>נשתנה</w:t>
      </w:r>
      <w:r w:rsidRPr="00EE6ED7">
        <w:rPr>
          <w:sz w:val="26"/>
          <w:szCs w:val="26"/>
        </w:rPr>
        <w:t xml:space="preserve">—presumably with a different referent—in the </w:t>
      </w:r>
      <w:r w:rsidRPr="00EE6ED7">
        <w:rPr>
          <w:sz w:val="26"/>
          <w:szCs w:val="26"/>
          <w:rtl/>
        </w:rPr>
        <w:t>ש</w:t>
      </w:r>
      <w:r w:rsidRPr="00EE6ED7">
        <w:rPr>
          <w:sz w:val="26"/>
          <w:szCs w:val="26"/>
        </w:rPr>
        <w:t>-clause.</w:t>
      </w:r>
      <w:r w:rsidR="0014624C" w:rsidRPr="00EE6ED7">
        <w:rPr>
          <w:sz w:val="26"/>
          <w:szCs w:val="26"/>
        </w:rPr>
        <w:t xml:space="preserve"> </w:t>
      </w:r>
      <w:r w:rsidRPr="00EE6ED7">
        <w:rPr>
          <w:sz w:val="26"/>
          <w:szCs w:val="26"/>
        </w:rPr>
        <w:t>This type of explanation—in which one difference is related to a second, more basic, difference—is typical of rabbinic analysis, especially rabbinic textual analysis.</w:t>
      </w:r>
      <w:r w:rsidR="0014624C" w:rsidRPr="00EE6ED7">
        <w:rPr>
          <w:sz w:val="26"/>
          <w:szCs w:val="26"/>
        </w:rPr>
        <w:t xml:space="preserve"> </w:t>
      </w:r>
      <w:r w:rsidRPr="00EE6ED7">
        <w:rPr>
          <w:sz w:val="26"/>
          <w:szCs w:val="26"/>
        </w:rPr>
        <w:t xml:space="preserve">On the very first page of the Babylonian Talmud, the second line of </w:t>
      </w:r>
      <w:r w:rsidRPr="00EE6ED7">
        <w:rPr>
          <w:i/>
          <w:sz w:val="26"/>
          <w:szCs w:val="26"/>
        </w:rPr>
        <w:t>gemara</w:t>
      </w:r>
      <w:r w:rsidRPr="00EE6ED7">
        <w:rPr>
          <w:sz w:val="26"/>
          <w:szCs w:val="26"/>
        </w:rPr>
        <w:t xml:space="preserve"> contains a question that appears to be of this type, beginning </w:t>
      </w:r>
      <w:r w:rsidRPr="00EE6ED7">
        <w:rPr>
          <w:sz w:val="26"/>
          <w:szCs w:val="26"/>
          <w:rtl/>
        </w:rPr>
        <w:t>מאי שנא ד</w:t>
      </w:r>
      <w:r w:rsidR="00304017">
        <w:rPr>
          <w:rFonts w:hint="cs"/>
          <w:sz w:val="26"/>
          <w:szCs w:val="26"/>
          <w:rtl/>
        </w:rPr>
        <w:t>-...</w:t>
      </w:r>
      <w:r w:rsidR="000A4652">
        <w:rPr>
          <w:sz w:val="26"/>
          <w:szCs w:val="26"/>
        </w:rPr>
        <w:t xml:space="preserve">. </w:t>
      </w:r>
      <w:r w:rsidRPr="00EE6ED7">
        <w:rPr>
          <w:sz w:val="26"/>
          <w:szCs w:val="26"/>
        </w:rPr>
        <w:t>This very common formula is, of course, the Aramaic equivalent of</w:t>
      </w:r>
      <w:r w:rsidRPr="00EE6ED7">
        <w:rPr>
          <w:sz w:val="26"/>
          <w:szCs w:val="26"/>
          <w:rtl/>
        </w:rPr>
        <w:t>מה שנה/נשתנה</w:t>
      </w:r>
      <w:r w:rsidR="000A4652">
        <w:rPr>
          <w:sz w:val="26"/>
          <w:szCs w:val="26"/>
          <w:rtl/>
        </w:rPr>
        <w:t xml:space="preserve">... </w:t>
      </w:r>
      <w:r w:rsidRPr="00EE6ED7">
        <w:rPr>
          <w:sz w:val="26"/>
          <w:szCs w:val="26"/>
          <w:rtl/>
        </w:rPr>
        <w:t>ש-...</w:t>
      </w:r>
      <w:r w:rsidRPr="00EE6ED7">
        <w:rPr>
          <w:sz w:val="26"/>
          <w:szCs w:val="26"/>
        </w:rPr>
        <w:t xml:space="preserve"> and even interchanges with it at times.</w:t>
      </w:r>
      <w:r w:rsidRPr="00EE6ED7">
        <w:rPr>
          <w:sz w:val="26"/>
          <w:szCs w:val="26"/>
          <w:vertAlign w:val="superscript"/>
        </w:rPr>
        <w:footnoteReference w:id="37"/>
      </w:r>
      <w:r w:rsidR="0014624C" w:rsidRPr="00EE6ED7">
        <w:rPr>
          <w:sz w:val="26"/>
          <w:szCs w:val="26"/>
        </w:rPr>
        <w:t xml:space="preserve"> </w:t>
      </w:r>
      <w:r w:rsidRPr="00EE6ED7">
        <w:rPr>
          <w:sz w:val="26"/>
          <w:szCs w:val="26"/>
        </w:rPr>
        <w:t>Other talmudic formulas that serve to co</w:t>
      </w:r>
      <w:r w:rsidR="00184B74">
        <w:rPr>
          <w:sz w:val="26"/>
          <w:szCs w:val="26"/>
        </w:rPr>
        <w:t>rrelate two differences are (1)</w:t>
      </w:r>
      <w:r w:rsidRPr="00EE6ED7">
        <w:rPr>
          <w:sz w:val="26"/>
          <w:szCs w:val="26"/>
          <w:rtl/>
        </w:rPr>
        <w:t>הואיל ונשתנה X נשתנה Y</w:t>
      </w:r>
      <w:r w:rsidRPr="00EE6ED7">
        <w:rPr>
          <w:sz w:val="26"/>
          <w:szCs w:val="26"/>
        </w:rPr>
        <w:t xml:space="preserve">, (2) </w:t>
      </w:r>
      <w:r w:rsidRPr="00EE6ED7">
        <w:rPr>
          <w:sz w:val="26"/>
          <w:szCs w:val="26"/>
          <w:rtl/>
        </w:rPr>
        <w:t>הואיל ואשתני אשתני</w:t>
      </w:r>
      <w:r w:rsidR="00372521">
        <w:rPr>
          <w:sz w:val="26"/>
          <w:szCs w:val="26"/>
        </w:rPr>
        <w:t>, and (3)</w:t>
      </w:r>
      <w:r w:rsidRPr="00EE6ED7">
        <w:rPr>
          <w:sz w:val="26"/>
          <w:szCs w:val="26"/>
          <w:rtl/>
        </w:rPr>
        <w:t>מדאשתני ל-X אשתני ל</w:t>
      </w:r>
      <w:r w:rsidR="00372521">
        <w:rPr>
          <w:sz w:val="26"/>
          <w:szCs w:val="26"/>
          <w:rtl/>
        </w:rPr>
        <w:noBreakHyphen/>
      </w:r>
      <w:r w:rsidRPr="00EE6ED7">
        <w:rPr>
          <w:sz w:val="26"/>
          <w:szCs w:val="26"/>
          <w:rtl/>
        </w:rPr>
        <w:t>Y</w:t>
      </w:r>
      <w:r w:rsidRPr="00EE6ED7">
        <w:rPr>
          <w:sz w:val="26"/>
          <w:szCs w:val="26"/>
        </w:rPr>
        <w:t>.</w:t>
      </w:r>
      <w:r w:rsidR="0014624C" w:rsidRPr="00EE6ED7">
        <w:rPr>
          <w:sz w:val="26"/>
          <w:szCs w:val="26"/>
        </w:rPr>
        <w:t xml:space="preserve"> </w:t>
      </w:r>
      <w:r w:rsidRPr="00EE6ED7">
        <w:rPr>
          <w:sz w:val="26"/>
          <w:szCs w:val="26"/>
        </w:rPr>
        <w:t>Such tools for explaining differences were necessitated by the omnisignificance doctrine, which postulates that everything in the Torah has meaning, including variation.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evidence for this interpretation will be presented in section IV.</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III. INTERPRETATION B</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4B2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“Why is this night different in so many ways?</w:t>
      </w:r>
      <w:r w:rsidR="0014624C" w:rsidRPr="00EE6ED7">
        <w:rPr>
          <w:sz w:val="26"/>
          <w:szCs w:val="26"/>
        </w:rPr>
        <w:t xml:space="preserve"> </w:t>
      </w:r>
      <w:r w:rsidRPr="00EE6ED7">
        <w:rPr>
          <w:sz w:val="26"/>
          <w:szCs w:val="26"/>
        </w:rPr>
        <w:t>We are eating matzah instead of bread</w:t>
      </w:r>
      <w:r w:rsidR="003B1435">
        <w:rPr>
          <w:sz w:val="26"/>
          <w:szCs w:val="26"/>
        </w:rPr>
        <w:t>...</w:t>
      </w:r>
      <w:r w:rsidRPr="00EE6ED7">
        <w:rPr>
          <w:sz w:val="26"/>
          <w:szCs w:val="26"/>
        </w:rPr>
        <w:t>”</w:t>
      </w:r>
      <w:r w:rsidR="0014624C" w:rsidRPr="00EE6ED7">
        <w:rPr>
          <w:sz w:val="26"/>
          <w:szCs w:val="26"/>
        </w:rPr>
        <w:t xml:space="preserve"> </w:t>
      </w:r>
      <w:r w:rsidRPr="00EE6ED7">
        <w:rPr>
          <w:sz w:val="26"/>
          <w:szCs w:val="26"/>
        </w:rPr>
        <w:t xml:space="preserve">This is the common interpretation in modern times, reflected in the earliest English translations, e.g., “Wherefore differs </w:t>
      </w:r>
      <w:r w:rsidRPr="00EE6ED7">
        <w:rPr>
          <w:sz w:val="26"/>
          <w:szCs w:val="26"/>
        </w:rPr>
        <w:lastRenderedPageBreak/>
        <w:t>this night from all other nights? other nights</w:t>
      </w:r>
      <w:r w:rsidR="000A4652">
        <w:rPr>
          <w:sz w:val="26"/>
          <w:szCs w:val="26"/>
        </w:rPr>
        <w:t xml:space="preserve">... </w:t>
      </w:r>
      <w:r w:rsidRPr="00EE6ED7">
        <w:rPr>
          <w:sz w:val="26"/>
          <w:szCs w:val="26"/>
        </w:rPr>
        <w:t>but this night</w:t>
      </w:r>
      <w:r w:rsidR="000A4652">
        <w:rPr>
          <w:sz w:val="26"/>
          <w:szCs w:val="26"/>
        </w:rPr>
        <w:t>...</w:t>
      </w:r>
      <w:r w:rsidRPr="00EE6ED7">
        <w:rPr>
          <w:sz w:val="26"/>
          <w:szCs w:val="26"/>
        </w:rPr>
        <w:t>”</w:t>
      </w:r>
      <w:bookmarkStart w:id="3" w:name="_Ref223707528"/>
      <w:r w:rsidRPr="00EE6ED7">
        <w:rPr>
          <w:sz w:val="26"/>
          <w:szCs w:val="26"/>
          <w:vertAlign w:val="superscript"/>
        </w:rPr>
        <w:footnoteReference w:id="38"/>
      </w:r>
      <w:bookmarkEnd w:id="3"/>
      <w:r w:rsidRPr="00EE6ED7">
        <w:rPr>
          <w:sz w:val="26"/>
          <w:szCs w:val="26"/>
        </w:rPr>
        <w:t xml:space="preserve"> and “Wherefore is this night distinguished from all other nights?</w:t>
      </w:r>
      <w:r w:rsidR="0014624C" w:rsidRPr="00EE6ED7">
        <w:rPr>
          <w:sz w:val="26"/>
          <w:szCs w:val="26"/>
        </w:rPr>
        <w:t xml:space="preserve"> </w:t>
      </w:r>
      <w:r w:rsidRPr="00EE6ED7">
        <w:rPr>
          <w:sz w:val="26"/>
          <w:szCs w:val="26"/>
        </w:rPr>
        <w:t>On all the other nights</w:t>
      </w:r>
      <w:r w:rsidR="000A4652">
        <w:rPr>
          <w:sz w:val="26"/>
          <w:szCs w:val="26"/>
        </w:rPr>
        <w:t xml:space="preserve">... </w:t>
      </w:r>
      <w:r w:rsidRPr="00EE6ED7">
        <w:rPr>
          <w:sz w:val="26"/>
          <w:szCs w:val="26"/>
        </w:rPr>
        <w:t>but on this night</w:t>
      </w:r>
      <w:r w:rsidR="000A4652">
        <w:rPr>
          <w:sz w:val="26"/>
          <w:szCs w:val="26"/>
        </w:rPr>
        <w:t>...</w:t>
      </w:r>
      <w:r w:rsidRPr="00EE6ED7">
        <w:rPr>
          <w:sz w:val="26"/>
          <w:szCs w:val="26"/>
        </w:rPr>
        <w:t>”</w:t>
      </w:r>
      <w:bookmarkStart w:id="4" w:name="_Ref223707543"/>
      <w:r w:rsidRPr="00EE6ED7">
        <w:rPr>
          <w:sz w:val="26"/>
          <w:szCs w:val="26"/>
          <w:vertAlign w:val="superscript"/>
        </w:rPr>
        <w:footnoteReference w:id="39"/>
      </w:r>
      <w:bookmarkEnd w:id="4"/>
      <w:r w:rsidR="0014624C" w:rsidRPr="00EE6ED7">
        <w:rPr>
          <w:sz w:val="26"/>
          <w:szCs w:val="26"/>
        </w:rPr>
        <w:t xml:space="preserve"> </w:t>
      </w:r>
      <w:r w:rsidRPr="00EE6ED7">
        <w:rPr>
          <w:sz w:val="26"/>
          <w:szCs w:val="26"/>
        </w:rPr>
        <w:t xml:space="preserve">The position of the question mark is crucial here; it is placed before the </w:t>
      </w:r>
      <w:r w:rsidRPr="00EE6ED7">
        <w:rPr>
          <w:sz w:val="26"/>
          <w:szCs w:val="26"/>
          <w:rtl/>
        </w:rPr>
        <w:t>ש</w:t>
      </w:r>
      <w:r w:rsidRPr="00EE6ED7">
        <w:rPr>
          <w:sz w:val="26"/>
          <w:szCs w:val="26"/>
        </w:rPr>
        <w:t>-clauses instead of after them (contrast Baneth and Goldschmidt</w:t>
      </w:r>
      <w:r w:rsidR="003B1198">
        <w:rPr>
          <w:sz w:val="26"/>
          <w:szCs w:val="26"/>
        </w:rPr>
        <w:t xml:space="preserve"> in section II above</w:t>
      </w:r>
      <w:r w:rsidRPr="00EE6ED7">
        <w:rPr>
          <w:sz w:val="26"/>
          <w:szCs w:val="26"/>
        </w:rPr>
        <w:t>).</w:t>
      </w:r>
      <w:r w:rsidR="0014624C" w:rsidRPr="00EE6ED7">
        <w:rPr>
          <w:sz w:val="26"/>
          <w:szCs w:val="26"/>
        </w:rPr>
        <w:t xml:space="preserve"> </w:t>
      </w:r>
      <w:r w:rsidRPr="00EE6ED7">
        <w:rPr>
          <w:sz w:val="26"/>
          <w:szCs w:val="26"/>
        </w:rPr>
        <w:t xml:space="preserve">The same is true in the </w:t>
      </w:r>
      <w:r w:rsidR="00F0281E" w:rsidRPr="00EE6ED7">
        <w:rPr>
          <w:sz w:val="26"/>
          <w:szCs w:val="26"/>
        </w:rPr>
        <w:t xml:space="preserve">Haggadah </w:t>
      </w:r>
      <w:r w:rsidRPr="00EE6ED7">
        <w:rPr>
          <w:sz w:val="26"/>
          <w:szCs w:val="26"/>
        </w:rPr>
        <w:t xml:space="preserve">section of the Ferrara Ladino </w:t>
      </w:r>
      <w:r w:rsidR="00F0281E" w:rsidRPr="00EE6ED7">
        <w:rPr>
          <w:sz w:val="26"/>
          <w:szCs w:val="26"/>
        </w:rPr>
        <w:t xml:space="preserve">Siddur </w:t>
      </w:r>
      <w:r w:rsidRPr="00EE6ED7">
        <w:rPr>
          <w:sz w:val="26"/>
          <w:szCs w:val="26"/>
        </w:rPr>
        <w:t>of 1552:</w:t>
      </w:r>
      <w:r w:rsidR="0014624C" w:rsidRPr="00EE6ED7">
        <w:rPr>
          <w:sz w:val="26"/>
          <w:szCs w:val="26"/>
        </w:rPr>
        <w:t xml:space="preserve"> </w:t>
      </w:r>
      <w:r w:rsidRPr="00EE6ED7">
        <w:rPr>
          <w:i/>
          <w:sz w:val="26"/>
          <w:szCs w:val="26"/>
        </w:rPr>
        <w:t>Por que fue demudada la noche esta mas que todas las noches?</w:t>
      </w:r>
      <w:r w:rsidR="0014624C" w:rsidRPr="00EE6ED7">
        <w:rPr>
          <w:i/>
          <w:sz w:val="26"/>
          <w:szCs w:val="26"/>
        </w:rPr>
        <w:t xml:space="preserve"> </w:t>
      </w:r>
      <w:r w:rsidRPr="00EE6ED7">
        <w:rPr>
          <w:i/>
          <w:sz w:val="26"/>
          <w:szCs w:val="26"/>
        </w:rPr>
        <w:t>Que en todas las noches</w:t>
      </w:r>
      <w:r w:rsidR="000A4652">
        <w:rPr>
          <w:i/>
          <w:sz w:val="26"/>
          <w:szCs w:val="26"/>
        </w:rPr>
        <w:t xml:space="preserve">... </w:t>
      </w:r>
      <w:r w:rsidRPr="00EE6ED7">
        <w:rPr>
          <w:i/>
          <w:sz w:val="26"/>
          <w:szCs w:val="26"/>
        </w:rPr>
        <w:t>(y) la noche esta</w:t>
      </w:r>
      <w:r w:rsidR="000A4652">
        <w:rPr>
          <w:i/>
          <w:sz w:val="26"/>
          <w:szCs w:val="26"/>
        </w:rPr>
        <w:t>...</w:t>
      </w:r>
      <w:r w:rsidR="004B2E4A">
        <w:rPr>
          <w:iCs/>
          <w:sz w:val="26"/>
          <w:szCs w:val="26"/>
        </w:rPr>
        <w:t xml:space="preserve"> “Why has this night been changed more than all other nights? That on all the nights… (and) this night…”</w:t>
      </w:r>
      <w:r w:rsidRPr="00EE6ED7">
        <w:rPr>
          <w:sz w:val="26"/>
          <w:szCs w:val="26"/>
          <w:vertAlign w:val="superscript"/>
        </w:rPr>
        <w:footnoteReference w:id="40"/>
      </w:r>
      <w:r w:rsidR="0014624C" w:rsidRPr="00EE6ED7">
        <w:rPr>
          <w:sz w:val="26"/>
          <w:szCs w:val="26"/>
        </w:rPr>
        <w:t xml:space="preserve"> </w:t>
      </w:r>
      <w:r w:rsidRPr="00EE6ED7">
        <w:rPr>
          <w:sz w:val="26"/>
          <w:szCs w:val="26"/>
        </w:rPr>
        <w:t>Contrast the position of the question mark a few pages later, in Hallel:</w:t>
      </w:r>
      <w:r w:rsidR="0014624C" w:rsidRPr="00EE6ED7">
        <w:rPr>
          <w:sz w:val="26"/>
          <w:szCs w:val="26"/>
        </w:rPr>
        <w:t xml:space="preserve"> </w:t>
      </w:r>
      <w:r w:rsidRPr="00EE6ED7">
        <w:rPr>
          <w:i/>
          <w:sz w:val="26"/>
          <w:szCs w:val="26"/>
        </w:rPr>
        <w:t>Que a ti la mar que huiste?</w:t>
      </w:r>
      <w:r w:rsidRPr="00EE6ED7">
        <w:rPr>
          <w:sz w:val="26"/>
          <w:szCs w:val="26"/>
        </w:rPr>
        <w:t xml:space="preserve"> =</w:t>
      </w:r>
      <w:r w:rsidRPr="00EE6ED7">
        <w:rPr>
          <w:sz w:val="26"/>
          <w:szCs w:val="26"/>
          <w:rtl/>
        </w:rPr>
        <w:t>מה לך הים כי תנוס</w:t>
      </w:r>
      <w:r w:rsidRPr="00EE6ED7">
        <w:rPr>
          <w:sz w:val="26"/>
          <w:szCs w:val="26"/>
        </w:rPr>
        <w:t xml:space="preserve"> (Psa 114:5).</w:t>
      </w:r>
      <w:r w:rsidRPr="00EE6ED7">
        <w:rPr>
          <w:sz w:val="26"/>
          <w:szCs w:val="26"/>
          <w:vertAlign w:val="superscript"/>
        </w:rPr>
        <w:footnoteReference w:id="41"/>
      </w:r>
      <w:r w:rsidR="0014624C" w:rsidRPr="00EE6ED7">
        <w:rPr>
          <w:sz w:val="26"/>
          <w:szCs w:val="26"/>
        </w:rPr>
        <w:t xml:space="preserve"> </w:t>
      </w:r>
      <w:r w:rsidRPr="00EE6ED7">
        <w:rPr>
          <w:sz w:val="26"/>
          <w:szCs w:val="26"/>
        </w:rPr>
        <w:t xml:space="preserve">There it comes at the end, after the </w:t>
      </w:r>
      <w:r w:rsidRPr="00EE6ED7">
        <w:rPr>
          <w:sz w:val="26"/>
          <w:szCs w:val="26"/>
          <w:rtl/>
        </w:rPr>
        <w:t>כי</w:t>
      </w:r>
      <w:r w:rsidRPr="00EE6ED7">
        <w:rPr>
          <w:sz w:val="26"/>
          <w:szCs w:val="26"/>
        </w:rPr>
        <w:t>-clause.</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difference between interpretation </w:t>
      </w:r>
      <w:r w:rsidR="000C0606" w:rsidRPr="00EE6ED7">
        <w:rPr>
          <w:sz w:val="26"/>
          <w:szCs w:val="26"/>
        </w:rPr>
        <w:t xml:space="preserve">A </w:t>
      </w:r>
      <w:r w:rsidRPr="00EE6ED7">
        <w:rPr>
          <w:sz w:val="26"/>
          <w:szCs w:val="26"/>
        </w:rPr>
        <w:t xml:space="preserve">and interpretation </w:t>
      </w:r>
      <w:r w:rsidR="000C0606" w:rsidRPr="00EE6ED7">
        <w:rPr>
          <w:sz w:val="26"/>
          <w:szCs w:val="26"/>
        </w:rPr>
        <w:t>B</w:t>
      </w:r>
      <w:r w:rsidRPr="00EE6ED7">
        <w:rPr>
          <w:sz w:val="26"/>
          <w:szCs w:val="26"/>
        </w:rPr>
        <w:t xml:space="preserve"> is subtle because both of them take </w:t>
      </w:r>
      <w:r w:rsidRPr="00EE6ED7">
        <w:rPr>
          <w:sz w:val="26"/>
          <w:szCs w:val="26"/>
          <w:rtl/>
        </w:rPr>
        <w:t>מה נשתנה</w:t>
      </w:r>
      <w:r w:rsidRPr="00EE6ED7">
        <w:rPr>
          <w:sz w:val="26"/>
          <w:szCs w:val="26"/>
        </w:rPr>
        <w:t xml:space="preserve"> as seeking prior causes, relating the past to the present.</w:t>
      </w:r>
      <w:r w:rsidRPr="00EE6ED7">
        <w:rPr>
          <w:sz w:val="26"/>
          <w:szCs w:val="26"/>
          <w:vertAlign w:val="superscript"/>
        </w:rPr>
        <w:footnoteReference w:id="42"/>
      </w:r>
      <w:r w:rsidR="0014624C" w:rsidRPr="00EE6ED7">
        <w:rPr>
          <w:sz w:val="26"/>
          <w:szCs w:val="26"/>
        </w:rPr>
        <w:t xml:space="preserve"> </w:t>
      </w:r>
      <w:r w:rsidRPr="00EE6ED7">
        <w:rPr>
          <w:sz w:val="26"/>
          <w:szCs w:val="26"/>
        </w:rPr>
        <w:t xml:space="preserve">They differ concerning the referent of </w:t>
      </w:r>
      <w:r w:rsidRPr="00EE6ED7">
        <w:rPr>
          <w:sz w:val="26"/>
          <w:szCs w:val="26"/>
          <w:rtl/>
        </w:rPr>
        <w:t>נשתנה</w:t>
      </w:r>
      <w:r w:rsidRPr="00EE6ED7">
        <w:rPr>
          <w:sz w:val="26"/>
          <w:szCs w:val="26"/>
        </w:rPr>
        <w:t xml:space="preserve"> and, indirectly, the meaning of </w:t>
      </w:r>
      <w:r w:rsidRPr="00EE6ED7">
        <w:rPr>
          <w:sz w:val="26"/>
          <w:szCs w:val="26"/>
          <w:rtl/>
        </w:rPr>
        <w:t>ש-</w:t>
      </w:r>
      <w:r w:rsidRPr="00EE6ED7">
        <w:rPr>
          <w:sz w:val="26"/>
          <w:szCs w:val="26"/>
        </w:rPr>
        <w:t>.</w:t>
      </w:r>
      <w:r w:rsidR="0014624C" w:rsidRPr="00EE6ED7">
        <w:rPr>
          <w:sz w:val="26"/>
          <w:szCs w:val="26"/>
        </w:rPr>
        <w:t xml:space="preserve"> </w:t>
      </w:r>
      <w:r w:rsidRPr="00EE6ED7">
        <w:rPr>
          <w:sz w:val="26"/>
          <w:szCs w:val="26"/>
        </w:rPr>
        <w:t xml:space="preserve">We have already noted that in interpretation A, </w:t>
      </w:r>
      <w:r w:rsidRPr="00EE6ED7">
        <w:rPr>
          <w:sz w:val="26"/>
          <w:szCs w:val="26"/>
          <w:rtl/>
        </w:rPr>
        <w:t>נשתנה</w:t>
      </w:r>
      <w:r w:rsidRPr="00EE6ED7">
        <w:rPr>
          <w:sz w:val="26"/>
          <w:szCs w:val="26"/>
        </w:rPr>
        <w:t xml:space="preserve"> refers to an underlying difference in the past (or, at least, </w:t>
      </w:r>
      <w:r w:rsidRPr="00EE6ED7">
        <w:rPr>
          <w:i/>
          <w:sz w:val="26"/>
          <w:szCs w:val="26"/>
        </w:rPr>
        <w:t>rooted</w:t>
      </w:r>
      <w:r w:rsidRPr="00EE6ED7">
        <w:rPr>
          <w:sz w:val="26"/>
          <w:szCs w:val="26"/>
        </w:rPr>
        <w:t xml:space="preserve"> in the past), while the </w:t>
      </w:r>
      <w:r w:rsidRPr="00EE6ED7">
        <w:rPr>
          <w:sz w:val="26"/>
          <w:szCs w:val="26"/>
          <w:rtl/>
        </w:rPr>
        <w:t>ש</w:t>
      </w:r>
      <w:r w:rsidRPr="00EE6ED7">
        <w:rPr>
          <w:sz w:val="26"/>
          <w:szCs w:val="26"/>
        </w:rPr>
        <w:t>-clauses refer to surface differences in the present, which are the visible manifestations of the underlying difference.</w:t>
      </w:r>
      <w:r w:rsidR="0014624C" w:rsidRPr="00EE6ED7">
        <w:rPr>
          <w:sz w:val="26"/>
          <w:szCs w:val="26"/>
        </w:rPr>
        <w:t xml:space="preserve"> </w:t>
      </w:r>
      <w:r w:rsidRPr="00EE6ED7">
        <w:rPr>
          <w:sz w:val="26"/>
          <w:szCs w:val="26"/>
        </w:rPr>
        <w:t xml:space="preserve">In interpretation B, on the other hand, the use of “why” makes </w:t>
      </w:r>
      <w:r w:rsidRPr="00EE6ED7">
        <w:rPr>
          <w:sz w:val="26"/>
          <w:szCs w:val="26"/>
          <w:rtl/>
        </w:rPr>
        <w:t>נשתנה</w:t>
      </w:r>
      <w:r w:rsidRPr="00EE6ED7">
        <w:rPr>
          <w:sz w:val="26"/>
          <w:szCs w:val="26"/>
        </w:rPr>
        <w:t xml:space="preserve"> refer to the visible differences that are spelled out in the </w:t>
      </w:r>
      <w:r w:rsidRPr="00EE6ED7">
        <w:rPr>
          <w:sz w:val="26"/>
          <w:szCs w:val="26"/>
          <w:rtl/>
        </w:rPr>
        <w:t>ש</w:t>
      </w:r>
      <w:r w:rsidRPr="00EE6ED7">
        <w:rPr>
          <w:sz w:val="26"/>
          <w:szCs w:val="26"/>
        </w:rPr>
        <w:t>-clauses.</w:t>
      </w:r>
      <w:r w:rsidR="0014624C" w:rsidRPr="00EE6ED7">
        <w:rPr>
          <w:sz w:val="26"/>
          <w:szCs w:val="26"/>
        </w:rPr>
        <w:t xml:space="preserve"> </w:t>
      </w:r>
      <w:r w:rsidRPr="00EE6ED7">
        <w:rPr>
          <w:sz w:val="26"/>
          <w:szCs w:val="26"/>
        </w:rPr>
        <w:t>Careful reading of R. Zevi Hirsch b. Tan</w:t>
      </w:r>
      <w:r w:rsidR="008A2B4A" w:rsidRPr="00263CEB">
        <w:rPr>
          <w:rFonts w:ascii="CalSemitic" w:hAnsi="CalSemitic"/>
          <w:sz w:val="28"/>
          <w:szCs w:val="26"/>
        </w:rPr>
        <w:t>x</w:t>
      </w:r>
      <w:r w:rsidRPr="00EE6ED7">
        <w:rPr>
          <w:sz w:val="26"/>
          <w:szCs w:val="26"/>
        </w:rPr>
        <w:t>um’s discussion</w:t>
      </w:r>
      <w:r w:rsidRPr="00EE6ED7">
        <w:rPr>
          <w:sz w:val="26"/>
          <w:szCs w:val="26"/>
          <w:vertAlign w:val="superscript"/>
        </w:rPr>
        <w:footnoteReference w:id="43"/>
      </w:r>
      <w:r w:rsidRPr="00EE6ED7">
        <w:rPr>
          <w:sz w:val="26"/>
          <w:szCs w:val="26"/>
        </w:rPr>
        <w:t xml:space="preserve"> shows that he recognized this connection between the meaning of </w:t>
      </w:r>
      <w:r w:rsidRPr="00EE6ED7">
        <w:rPr>
          <w:sz w:val="26"/>
          <w:szCs w:val="26"/>
          <w:rtl/>
        </w:rPr>
        <w:t>מה</w:t>
      </w:r>
      <w:r w:rsidRPr="00EE6ED7">
        <w:rPr>
          <w:sz w:val="26"/>
          <w:szCs w:val="26"/>
        </w:rPr>
        <w:t xml:space="preserve"> and the referent of </w:t>
      </w:r>
      <w:r w:rsidRPr="00EE6ED7">
        <w:rPr>
          <w:sz w:val="26"/>
          <w:szCs w:val="26"/>
          <w:rtl/>
        </w:rPr>
        <w:t>נשתנה</w:t>
      </w:r>
      <w:r w:rsidRPr="00EE6ED7">
        <w:rPr>
          <w:sz w:val="26"/>
          <w:szCs w:val="26"/>
        </w:rPr>
        <w:t>.</w:t>
      </w:r>
      <w:r w:rsidR="0014624C" w:rsidRPr="00EE6ED7">
        <w:rPr>
          <w:sz w:val="26"/>
          <w:szCs w:val="26"/>
        </w:rPr>
        <w:t xml:space="preserve"> </w:t>
      </w:r>
      <w:r w:rsidRPr="00EE6ED7">
        <w:rPr>
          <w:sz w:val="26"/>
          <w:szCs w:val="26"/>
        </w:rPr>
        <w:t xml:space="preserve">Both of these, in turn, are connected with the meaning of </w:t>
      </w:r>
      <w:r w:rsidRPr="00EE6ED7">
        <w:rPr>
          <w:sz w:val="26"/>
          <w:szCs w:val="26"/>
          <w:rtl/>
        </w:rPr>
        <w:t>ש-</w:t>
      </w:r>
      <w:r w:rsidRPr="00EE6ED7">
        <w:rPr>
          <w:sz w:val="26"/>
          <w:szCs w:val="26"/>
        </w:rPr>
        <w:t>.</w:t>
      </w:r>
      <w:r w:rsidR="0014624C" w:rsidRPr="00EE6ED7">
        <w:rPr>
          <w:sz w:val="26"/>
          <w:szCs w:val="26"/>
        </w:rPr>
        <w:t xml:space="preserve"> </w:t>
      </w:r>
      <w:r w:rsidRPr="00EE6ED7">
        <w:rPr>
          <w:sz w:val="26"/>
          <w:szCs w:val="26"/>
        </w:rPr>
        <w:t xml:space="preserve">In interpretation A, </w:t>
      </w:r>
      <w:r w:rsidRPr="00EE6ED7">
        <w:rPr>
          <w:sz w:val="26"/>
          <w:szCs w:val="26"/>
          <w:rtl/>
        </w:rPr>
        <w:t>ש-</w:t>
      </w:r>
      <w:r w:rsidRPr="00EE6ED7">
        <w:rPr>
          <w:sz w:val="26"/>
          <w:szCs w:val="26"/>
        </w:rPr>
        <w:t xml:space="preserve"> is always rendered “that,” while in interpretation B, it is rendered “for” or, more commonly, ignored.</w:t>
      </w:r>
      <w:r w:rsidR="0014624C" w:rsidRPr="00EE6ED7">
        <w:rPr>
          <w:sz w:val="26"/>
          <w:szCs w:val="26"/>
        </w:rPr>
        <w:t xml:space="preserve"> </w:t>
      </w:r>
      <w:r w:rsidRPr="00EE6ED7">
        <w:rPr>
          <w:sz w:val="26"/>
          <w:szCs w:val="26"/>
        </w:rPr>
        <w:t xml:space="preserve">The failure to render </w:t>
      </w:r>
      <w:r w:rsidRPr="00EE6ED7">
        <w:rPr>
          <w:sz w:val="26"/>
          <w:szCs w:val="26"/>
          <w:rtl/>
        </w:rPr>
        <w:t>ש-</w:t>
      </w:r>
      <w:r w:rsidRPr="00EE6ED7">
        <w:rPr>
          <w:sz w:val="26"/>
          <w:szCs w:val="26"/>
        </w:rPr>
        <w:t xml:space="preserve"> in most modern </w:t>
      </w:r>
      <w:r w:rsidRPr="00EE6ED7">
        <w:rPr>
          <w:sz w:val="26"/>
          <w:szCs w:val="26"/>
        </w:rPr>
        <w:lastRenderedPageBreak/>
        <w:t>translations leaves the erroneous impression that it is meaningless and superfluous.</w:t>
      </w:r>
      <w:r w:rsidRPr="00EE6ED7">
        <w:rPr>
          <w:sz w:val="26"/>
          <w:szCs w:val="26"/>
          <w:vertAlign w:val="superscript"/>
        </w:rPr>
        <w:footnoteReference w:id="44"/>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Despite the prevalence of this interpretation in modern times, it is not easy to analyze.</w:t>
      </w:r>
      <w:bookmarkStart w:id="5" w:name="_Ref200358700"/>
      <w:r w:rsidRPr="00EE6ED7">
        <w:rPr>
          <w:sz w:val="26"/>
          <w:szCs w:val="26"/>
          <w:vertAlign w:val="superscript"/>
        </w:rPr>
        <w:footnoteReference w:id="45"/>
      </w:r>
      <w:bookmarkEnd w:id="5"/>
      <w:r w:rsidR="0014624C" w:rsidRPr="00EE6ED7">
        <w:rPr>
          <w:sz w:val="26"/>
          <w:szCs w:val="26"/>
        </w:rPr>
        <w:t xml:space="preserve"> </w:t>
      </w:r>
      <w:r w:rsidRPr="00EE6ED7">
        <w:rPr>
          <w:sz w:val="26"/>
          <w:szCs w:val="26"/>
        </w:rPr>
        <w:t>The structure that it assumes is unclear, and the number of question marks it requires is controversial.</w:t>
      </w:r>
      <w:r w:rsidRPr="00EE6ED7">
        <w:rPr>
          <w:sz w:val="26"/>
          <w:szCs w:val="26"/>
          <w:vertAlign w:val="superscript"/>
        </w:rPr>
        <w:footnoteReference w:id="46"/>
      </w:r>
      <w:r w:rsidR="0014624C" w:rsidRPr="00EE6ED7">
        <w:rPr>
          <w:sz w:val="26"/>
          <w:szCs w:val="26"/>
        </w:rPr>
        <w:t xml:space="preserve"> </w:t>
      </w:r>
      <w:r w:rsidRPr="00EE6ED7">
        <w:rPr>
          <w:sz w:val="26"/>
          <w:szCs w:val="26"/>
        </w:rPr>
        <w:t>Ostensible evidence for this interpretation will be discussed in the next section.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312CAD"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IV. INTERPRETATION A VS. INTERPRETATION B: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RABBINIC AND BIBLICAL EVIDENCE</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 is well attested in Rabbinic literature.</w:t>
      </w:r>
      <w:r w:rsidR="0014624C" w:rsidRPr="00EE6ED7">
        <w:rPr>
          <w:sz w:val="26"/>
          <w:szCs w:val="26"/>
        </w:rPr>
        <w:t xml:space="preserve"> </w:t>
      </w:r>
      <w:r w:rsidRPr="00EE6ED7">
        <w:rPr>
          <w:sz w:val="26"/>
          <w:szCs w:val="26"/>
        </w:rPr>
        <w:t>A tannaitic example that will be discussed below is: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263C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u w:val="single"/>
          <w:rtl/>
        </w:rPr>
        <w:t>מה נשתנית</w:t>
      </w:r>
      <w:r w:rsidRPr="00EE6ED7">
        <w:rPr>
          <w:sz w:val="26"/>
          <w:szCs w:val="26"/>
          <w:rtl/>
        </w:rPr>
        <w:t xml:space="preserve"> הודייה זאת </w:t>
      </w:r>
      <w:r w:rsidRPr="00EE6ED7">
        <w:rPr>
          <w:sz w:val="26"/>
          <w:szCs w:val="26"/>
          <w:u w:val="single"/>
          <w:rtl/>
        </w:rPr>
        <w:t>מכל</w:t>
      </w:r>
      <w:r w:rsidRPr="00EE6ED7">
        <w:rPr>
          <w:sz w:val="26"/>
          <w:szCs w:val="26"/>
          <w:rtl/>
        </w:rPr>
        <w:t xml:space="preserve"> הודייות שבתורה </w:t>
      </w:r>
      <w:r w:rsidRPr="00EE6ED7">
        <w:rPr>
          <w:sz w:val="26"/>
          <w:szCs w:val="26"/>
          <w:u w:val="single"/>
          <w:rtl/>
        </w:rPr>
        <w:t>שכל</w:t>
      </w:r>
      <w:r w:rsidRPr="00EE6ED7">
        <w:rPr>
          <w:sz w:val="26"/>
          <w:szCs w:val="26"/>
          <w:rtl/>
        </w:rPr>
        <w:t xml:space="preserve"> הודייות שבתו' נאמ' הודו לייי כי טוב כי לעו' חסדו </w:t>
      </w:r>
      <w:r w:rsidRPr="00EE6ED7">
        <w:rPr>
          <w:sz w:val="26"/>
          <w:szCs w:val="26"/>
          <w:u w:val="single"/>
          <w:rtl/>
        </w:rPr>
        <w:t>וכן</w:t>
      </w:r>
      <w:r w:rsidRPr="00EE6ED7">
        <w:rPr>
          <w:sz w:val="26"/>
          <w:szCs w:val="26"/>
          <w:rtl/>
        </w:rPr>
        <w:t xml:space="preserve"> </w:t>
      </w:r>
      <w:r w:rsidR="004D06E4" w:rsidRPr="00EE6ED7">
        <w:rPr>
          <w:sz w:val="26"/>
          <w:szCs w:val="26"/>
          <w:rtl/>
        </w:rPr>
        <w:t>[</w:t>
      </w:r>
      <w:r w:rsidRPr="00EE6ED7">
        <w:rPr>
          <w:sz w:val="26"/>
          <w:szCs w:val="26"/>
          <w:rtl/>
        </w:rPr>
        <w:t>=וכאן</w:t>
      </w:r>
      <w:r w:rsidR="004D06E4" w:rsidRPr="00EE6ED7">
        <w:rPr>
          <w:sz w:val="26"/>
          <w:szCs w:val="26"/>
          <w:rtl/>
        </w:rPr>
        <w:t>]</w:t>
      </w:r>
      <w:r w:rsidR="004D06E4" w:rsidRPr="00EE6ED7" w:rsidDel="004D06E4">
        <w:rPr>
          <w:sz w:val="26"/>
          <w:szCs w:val="26"/>
          <w:rtl/>
        </w:rPr>
        <w:t xml:space="preserve"> </w:t>
      </w:r>
      <w:r w:rsidRPr="00EE6ED7">
        <w:rPr>
          <w:sz w:val="26"/>
          <w:szCs w:val="26"/>
          <w:rtl/>
        </w:rPr>
        <w:t xml:space="preserve">הוא או' הודו לייי כי לע' חס' </w:t>
      </w:r>
      <w:r w:rsidR="004D06E4" w:rsidRPr="00EE6ED7">
        <w:rPr>
          <w:sz w:val="26"/>
          <w:szCs w:val="26"/>
          <w:rtl/>
        </w:rPr>
        <w:t>(</w:t>
      </w:r>
      <w:r w:rsidRPr="00EE6ED7">
        <w:rPr>
          <w:sz w:val="26"/>
          <w:szCs w:val="26"/>
          <w:rtl/>
        </w:rPr>
        <w:t>דה"ב כ</w:t>
      </w:r>
      <w:r w:rsidR="002D1C7D">
        <w:rPr>
          <w:rFonts w:hint="cs"/>
          <w:sz w:val="26"/>
          <w:szCs w:val="26"/>
          <w:rtl/>
        </w:rPr>
        <w:t>,</w:t>
      </w:r>
      <w:r w:rsidRPr="00EE6ED7">
        <w:rPr>
          <w:sz w:val="26"/>
          <w:szCs w:val="26"/>
          <w:rtl/>
        </w:rPr>
        <w:t xml:space="preserve"> כא</w:t>
      </w:r>
      <w:r w:rsidR="004D06E4" w:rsidRPr="00EE6ED7">
        <w:rPr>
          <w:sz w:val="26"/>
          <w:szCs w:val="26"/>
          <w:rtl/>
        </w:rPr>
        <w:t>)</w:t>
      </w:r>
      <w:r w:rsidRPr="00EE6ED7">
        <w:rPr>
          <w:sz w:val="26"/>
          <w:szCs w:val="26"/>
          <w:rtl/>
        </w:rPr>
        <w:t>?</w:t>
      </w:r>
      <w:r w:rsidR="0014624C" w:rsidRPr="00EE6ED7">
        <w:rPr>
          <w:sz w:val="26"/>
          <w:szCs w:val="26"/>
          <w:rtl/>
        </w:rPr>
        <w:t xml:space="preserve"> </w:t>
      </w:r>
      <w:r w:rsidRPr="00EE6ED7">
        <w:rPr>
          <w:sz w:val="26"/>
          <w:szCs w:val="26"/>
          <w:rtl/>
        </w:rPr>
        <w:t>אלא כביכול לא היתה שמחה לפניו במרום</w:t>
      </w:r>
      <w:r w:rsidR="00263CEB">
        <w:rPr>
          <w:rFonts w:hint="cs"/>
          <w:sz w:val="26"/>
          <w:szCs w:val="26"/>
          <w:rtl/>
        </w:rPr>
        <w:t xml:space="preserve"> (</w:t>
      </w:r>
      <w:r w:rsidR="00263CEB" w:rsidRPr="00EE6ED7">
        <w:rPr>
          <w:sz w:val="26"/>
          <w:szCs w:val="26"/>
          <w:rtl/>
        </w:rPr>
        <w:t>מכילתא בשלח</w:t>
      </w:r>
      <w:r w:rsidR="00263CEB">
        <w:rPr>
          <w:rFonts w:hint="cs"/>
          <w:sz w:val="26"/>
          <w:szCs w:val="26"/>
          <w:rtl/>
        </w:rPr>
        <w:t>,</w:t>
      </w:r>
      <w:r w:rsidR="00263CEB" w:rsidRPr="00EE6ED7">
        <w:rPr>
          <w:sz w:val="26"/>
          <w:szCs w:val="26"/>
          <w:rtl/>
        </w:rPr>
        <w:t xml:space="preserve"> שירה</w:t>
      </w:r>
      <w:r w:rsidR="00263CEB">
        <w:rPr>
          <w:rFonts w:hint="cs"/>
          <w:sz w:val="26"/>
          <w:szCs w:val="26"/>
          <w:rtl/>
        </w:rPr>
        <w:t>,</w:t>
      </w:r>
      <w:r w:rsidR="00263CEB" w:rsidRPr="00EE6ED7">
        <w:rPr>
          <w:sz w:val="26"/>
          <w:szCs w:val="26"/>
          <w:rtl/>
        </w:rPr>
        <w:t xml:space="preserve"> א</w:t>
      </w:r>
      <w:r w:rsidR="004B2E4A">
        <w:rPr>
          <w:rFonts w:hint="cs"/>
          <w:sz w:val="26"/>
          <w:szCs w:val="26"/>
          <w:rtl/>
        </w:rPr>
        <w:t>, מהדורת הורוביץ-רבין, עמ' 118</w:t>
      </w:r>
      <w:r w:rsidR="00263CEB">
        <w:rPr>
          <w:rFonts w:hint="cs"/>
          <w:sz w:val="26"/>
          <w:szCs w:val="26"/>
          <w:rtl/>
        </w:rPr>
        <w:t>)</w:t>
      </w:r>
      <w:r w:rsidRPr="00EE6ED7">
        <w:rPr>
          <w:sz w:val="26"/>
          <w:szCs w:val="26"/>
          <w:rtl/>
        </w:rPr>
        <w:t>.</w:t>
      </w:r>
      <w:r w:rsidRPr="00EE6ED7">
        <w:rPr>
          <w:sz w:val="26"/>
          <w:szCs w:val="26"/>
          <w:vertAlign w:val="superscript"/>
          <w:rtl/>
        </w:rPr>
        <w:footnoteReference w:id="47"/>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This close parallel to the question of the Haggadah is not to be confused with two other occurrences of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in tannaitic midrashim that are superficially similar but have very different structures:</w:t>
      </w:r>
    </w:p>
    <w:p w:rsidR="00312CAD" w:rsidRDefault="00312CAD"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right="720"/>
        <w:jc w:val="both"/>
        <w:rPr>
          <w:sz w:val="26"/>
          <w:szCs w:val="26"/>
        </w:rPr>
      </w:pPr>
    </w:p>
    <w:p w:rsidR="00105DEE" w:rsidRPr="00EE6ED7" w:rsidRDefault="00105DEE" w:rsidP="004B2E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נשתנה</w:t>
      </w:r>
      <w:r w:rsidRPr="00EE6ED7">
        <w:rPr>
          <w:sz w:val="26"/>
          <w:szCs w:val="26"/>
          <w:rtl/>
        </w:rPr>
        <w:t xml:space="preserve"> הדיבר הזה מכל הדיברות שבתורה, </w:t>
      </w:r>
      <w:r w:rsidRPr="00EE6ED7">
        <w:rPr>
          <w:sz w:val="26"/>
          <w:szCs w:val="26"/>
          <w:u w:val="single"/>
          <w:rtl/>
        </w:rPr>
        <w:t>שכל</w:t>
      </w:r>
      <w:r w:rsidRPr="00EE6ED7">
        <w:rPr>
          <w:sz w:val="26"/>
          <w:szCs w:val="26"/>
          <w:rtl/>
        </w:rPr>
        <w:t xml:space="preserve"> הדברות שבתור' הדבר מפי משה לאמר לכל ישר', </w:t>
      </w:r>
      <w:r w:rsidRPr="00EE6ED7">
        <w:rPr>
          <w:sz w:val="26"/>
          <w:szCs w:val="26"/>
          <w:u w:val="single"/>
          <w:rtl/>
        </w:rPr>
        <w:t>ואף כאן</w:t>
      </w:r>
      <w:r w:rsidRPr="00EE6ED7">
        <w:rPr>
          <w:sz w:val="26"/>
          <w:szCs w:val="26"/>
          <w:rtl/>
        </w:rPr>
        <w:t xml:space="preserve"> הדיבר מפי משה לאמר לכל ישר'</w:t>
      </w:r>
      <w:r w:rsidR="0091070C">
        <w:rPr>
          <w:rFonts w:hint="cs"/>
          <w:sz w:val="26"/>
          <w:szCs w:val="26"/>
          <w:rtl/>
        </w:rPr>
        <w:t xml:space="preserve"> (מכילתא בא, פסחא, יא</w:t>
      </w:r>
      <w:r w:rsidR="00403865">
        <w:rPr>
          <w:rFonts w:hint="cs"/>
          <w:sz w:val="26"/>
          <w:szCs w:val="26"/>
          <w:rtl/>
        </w:rPr>
        <w:t xml:space="preserve">, </w:t>
      </w:r>
      <w:r w:rsidR="004B2E4A">
        <w:rPr>
          <w:rFonts w:hint="cs"/>
          <w:sz w:val="26"/>
          <w:szCs w:val="26"/>
          <w:rtl/>
        </w:rPr>
        <w:t>שם</w:t>
      </w:r>
      <w:r w:rsidR="00403865">
        <w:rPr>
          <w:rFonts w:hint="cs"/>
          <w:sz w:val="26"/>
          <w:szCs w:val="26"/>
          <w:rtl/>
        </w:rPr>
        <w:t xml:space="preserve"> עמ' 36</w:t>
      </w:r>
      <w:r w:rsidR="0091070C">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ואשא אתכם על כנפי נשרים </w:t>
      </w:r>
      <w:r w:rsidR="004D06E4" w:rsidRPr="00EE6ED7">
        <w:rPr>
          <w:sz w:val="26"/>
          <w:szCs w:val="26"/>
          <w:rtl/>
        </w:rPr>
        <w:t>(</w:t>
      </w:r>
      <w:r w:rsidRPr="00EE6ED7">
        <w:rPr>
          <w:sz w:val="26"/>
          <w:szCs w:val="26"/>
          <w:rtl/>
        </w:rPr>
        <w:t>שמות יט, ד</w:t>
      </w:r>
      <w:r w:rsidR="004D06E4" w:rsidRPr="00EE6ED7">
        <w:rPr>
          <w:sz w:val="26"/>
          <w:szCs w:val="26"/>
          <w:rtl/>
        </w:rPr>
        <w:t>)</w:t>
      </w:r>
      <w:r w:rsidRPr="00EE6ED7">
        <w:rPr>
          <w:sz w:val="26"/>
          <w:szCs w:val="26"/>
          <w:rtl/>
        </w:rPr>
        <w:t xml:space="preserve">. </w:t>
      </w:r>
      <w:r w:rsidRPr="00EE6ED7">
        <w:rPr>
          <w:sz w:val="26"/>
          <w:szCs w:val="26"/>
          <w:u w:val="single"/>
          <w:rtl/>
        </w:rPr>
        <w:t>מה נשתנה</w:t>
      </w:r>
      <w:r w:rsidRPr="00EE6ED7">
        <w:rPr>
          <w:sz w:val="26"/>
          <w:szCs w:val="26"/>
          <w:rtl/>
        </w:rPr>
        <w:t xml:space="preserve"> הנשר הזה </w:t>
      </w:r>
      <w:r w:rsidRPr="00EE6ED7">
        <w:rPr>
          <w:sz w:val="26"/>
          <w:szCs w:val="26"/>
          <w:u w:val="single"/>
          <w:rtl/>
        </w:rPr>
        <w:t>מכל</w:t>
      </w:r>
      <w:r w:rsidRPr="00EE6ED7">
        <w:rPr>
          <w:sz w:val="26"/>
          <w:szCs w:val="26"/>
          <w:rtl/>
        </w:rPr>
        <w:t xml:space="preserve"> העופות? </w:t>
      </w:r>
      <w:r w:rsidRPr="00EE6ED7">
        <w:rPr>
          <w:sz w:val="26"/>
          <w:szCs w:val="26"/>
          <w:u w:val="single"/>
          <w:rtl/>
        </w:rPr>
        <w:t>שכל</w:t>
      </w:r>
      <w:r w:rsidRPr="00EE6ED7">
        <w:rPr>
          <w:sz w:val="26"/>
          <w:szCs w:val="26"/>
          <w:rtl/>
        </w:rPr>
        <w:t xml:space="preserve"> העופות כלם נותנין את בניהם ביני רגליהן מפני שהן מתיראין מעוף אחר שהוא פורח על גביהן </w:t>
      </w:r>
      <w:r w:rsidRPr="00EE6ED7">
        <w:rPr>
          <w:sz w:val="26"/>
          <w:szCs w:val="26"/>
          <w:u w:val="single"/>
          <w:rtl/>
        </w:rPr>
        <w:t>אבל</w:t>
      </w:r>
      <w:r w:rsidRPr="00EE6ED7">
        <w:rPr>
          <w:sz w:val="26"/>
          <w:szCs w:val="26"/>
          <w:rtl/>
        </w:rPr>
        <w:t xml:space="preserve"> הנשר הזה אינו מתירא אלא מאדם הזה בלבד שמא יזרק בו חץ, אומר מוטב שיכנס בי ולא בבני</w:t>
      </w:r>
      <w:r w:rsidR="0091070C">
        <w:rPr>
          <w:rFonts w:hint="cs"/>
          <w:sz w:val="26"/>
          <w:szCs w:val="26"/>
          <w:rtl/>
        </w:rPr>
        <w:t xml:space="preserve"> (מכילתא יתרו, בחדש, ב</w:t>
      </w:r>
      <w:r w:rsidR="00403865">
        <w:rPr>
          <w:rFonts w:hint="cs"/>
          <w:sz w:val="26"/>
          <w:szCs w:val="26"/>
          <w:rtl/>
        </w:rPr>
        <w:t>, שם עמ' 207</w:t>
      </w:r>
      <w:r w:rsidR="00403865">
        <w:rPr>
          <w:rFonts w:hint="eastAsia"/>
          <w:sz w:val="26"/>
          <w:szCs w:val="26"/>
          <w:rtl/>
        </w:rPr>
        <w:t>–</w:t>
      </w:r>
      <w:r w:rsidR="00403865">
        <w:rPr>
          <w:rFonts w:hint="cs"/>
          <w:sz w:val="26"/>
          <w:szCs w:val="26"/>
          <w:rtl/>
        </w:rPr>
        <w:t>208</w:t>
      </w:r>
      <w:r w:rsidR="0091070C">
        <w:rPr>
          <w:rFonts w:hint="cs"/>
          <w:sz w:val="26"/>
          <w:szCs w:val="26"/>
          <w:rtl/>
        </w:rPr>
        <w:t>)</w:t>
      </w:r>
      <w:r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first of these examples is a rhetorical question in which </w:t>
      </w:r>
      <w:r w:rsidRPr="00EE6ED7">
        <w:rPr>
          <w:sz w:val="26"/>
          <w:szCs w:val="26"/>
          <w:rtl/>
        </w:rPr>
        <w:t>מה נשתנה</w:t>
      </w:r>
      <w:r w:rsidRPr="00EE6ED7">
        <w:rPr>
          <w:sz w:val="26"/>
          <w:szCs w:val="26"/>
        </w:rPr>
        <w:t xml:space="preserve"> is equivalent to </w:t>
      </w:r>
      <w:r w:rsidRPr="00EE6ED7">
        <w:rPr>
          <w:sz w:val="26"/>
          <w:szCs w:val="26"/>
          <w:rtl/>
        </w:rPr>
        <w:t>לא נשתנה</w:t>
      </w:r>
      <w:r w:rsidRPr="00EE6ED7">
        <w:rPr>
          <w:sz w:val="26"/>
          <w:szCs w:val="26"/>
        </w:rPr>
        <w:t>.</w:t>
      </w:r>
      <w:r w:rsidRPr="00EE6ED7">
        <w:rPr>
          <w:sz w:val="26"/>
          <w:szCs w:val="26"/>
          <w:vertAlign w:val="superscript"/>
        </w:rPr>
        <w:footnoteReference w:id="48"/>
      </w:r>
      <w:r w:rsidR="0014624C" w:rsidRPr="00EE6ED7">
        <w:rPr>
          <w:sz w:val="26"/>
          <w:szCs w:val="26"/>
        </w:rPr>
        <w:t xml:space="preserve"> </w:t>
      </w:r>
      <w:r w:rsidRPr="00EE6ED7">
        <w:rPr>
          <w:sz w:val="26"/>
          <w:szCs w:val="26"/>
        </w:rPr>
        <w:t xml:space="preserve">The conjunction </w:t>
      </w:r>
      <w:r w:rsidRPr="00EE6ED7">
        <w:rPr>
          <w:sz w:val="26"/>
          <w:szCs w:val="26"/>
          <w:rtl/>
        </w:rPr>
        <w:t>ש-</w:t>
      </w:r>
      <w:r w:rsidRPr="00EE6ED7">
        <w:rPr>
          <w:sz w:val="26"/>
          <w:szCs w:val="26"/>
        </w:rPr>
        <w:t xml:space="preserve"> introduces a statement that the two compared things are </w:t>
      </w:r>
      <w:r w:rsidRPr="00EE6ED7">
        <w:rPr>
          <w:i/>
          <w:sz w:val="26"/>
          <w:szCs w:val="26"/>
        </w:rPr>
        <w:t>not</w:t>
      </w:r>
      <w:r w:rsidRPr="00EE6ED7">
        <w:rPr>
          <w:sz w:val="26"/>
          <w:szCs w:val="26"/>
        </w:rPr>
        <w:t xml:space="preserve"> different.</w:t>
      </w:r>
      <w:r w:rsidR="0014624C" w:rsidRPr="00EE6ED7">
        <w:rPr>
          <w:sz w:val="26"/>
          <w:szCs w:val="26"/>
        </w:rPr>
        <w:t xml:space="preserve"> </w:t>
      </w:r>
      <w:r w:rsidRPr="00EE6ED7">
        <w:rPr>
          <w:sz w:val="26"/>
          <w:szCs w:val="26"/>
        </w:rPr>
        <w:t xml:space="preserve">In the second example, </w:t>
      </w:r>
      <w:r w:rsidRPr="00EE6ED7">
        <w:rPr>
          <w:sz w:val="26"/>
          <w:szCs w:val="26"/>
          <w:rtl/>
        </w:rPr>
        <w:t>ש-</w:t>
      </w:r>
      <w:r w:rsidRPr="00EE6ED7">
        <w:rPr>
          <w:sz w:val="26"/>
          <w:szCs w:val="26"/>
        </w:rPr>
        <w:t xml:space="preserve"> introduces the </w:t>
      </w:r>
      <w:r w:rsidRPr="00EE6ED7">
        <w:rPr>
          <w:i/>
          <w:sz w:val="26"/>
          <w:szCs w:val="26"/>
        </w:rPr>
        <w:t>answer</w:t>
      </w:r>
      <w:r w:rsidRPr="00EE6ED7">
        <w:rPr>
          <w:sz w:val="26"/>
          <w:szCs w:val="26"/>
        </w:rPr>
        <w:t xml:space="preserve"> to the question.</w:t>
      </w:r>
      <w:r w:rsidR="0014624C" w:rsidRPr="00EE6ED7">
        <w:rPr>
          <w:sz w:val="26"/>
          <w:szCs w:val="26"/>
        </w:rPr>
        <w:t xml:space="preserve"> </w:t>
      </w:r>
      <w:r w:rsidRPr="00EE6ED7">
        <w:rPr>
          <w:sz w:val="26"/>
          <w:szCs w:val="26"/>
        </w:rPr>
        <w:t xml:space="preserve">Both of these must be carefully distinguished from the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 discussed in this article.</w:t>
      </w:r>
      <w:r w:rsidR="0014624C" w:rsidRPr="00EE6ED7">
        <w:rPr>
          <w:sz w:val="26"/>
          <w:szCs w:val="26"/>
        </w:rPr>
        <w:t xml:space="preserve"> </w:t>
      </w:r>
      <w:r w:rsidRPr="00EE6ED7">
        <w:rPr>
          <w:sz w:val="26"/>
          <w:szCs w:val="26"/>
        </w:rPr>
        <w:t>We shall return to them later.</w:t>
      </w:r>
      <w:r w:rsidRPr="00EE6ED7">
        <w:rPr>
          <w:sz w:val="26"/>
          <w:szCs w:val="26"/>
          <w:vertAlign w:val="superscript"/>
        </w:rPr>
        <w:footnoteReference w:id="49"/>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amoraic and post-amoraic examples of our formula are also worth examining.</w:t>
      </w:r>
      <w:r w:rsidR="0014624C" w:rsidRPr="00EE6ED7">
        <w:rPr>
          <w:sz w:val="26"/>
          <w:szCs w:val="26"/>
        </w:rPr>
        <w:t xml:space="preserve"> </w:t>
      </w:r>
      <w:r w:rsidRPr="00EE6ED7">
        <w:rPr>
          <w:sz w:val="26"/>
          <w:szCs w:val="26"/>
        </w:rPr>
        <w:t xml:space="preserve">In many of them, the visible symptom expressed in the </w:t>
      </w:r>
      <w:r w:rsidRPr="00EE6ED7">
        <w:rPr>
          <w:sz w:val="26"/>
          <w:szCs w:val="26"/>
          <w:rtl/>
        </w:rPr>
        <w:t>ש</w:t>
      </w:r>
      <w:r w:rsidRPr="00EE6ED7">
        <w:rPr>
          <w:sz w:val="26"/>
          <w:szCs w:val="26"/>
        </w:rPr>
        <w:t xml:space="preserve">-clause is a unique reward or punishment, and the question is what the subject has done to deserve it: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u w:val="single"/>
          <w:rtl/>
        </w:rPr>
        <w:t>מה נשתנינו</w:t>
      </w:r>
      <w:r w:rsidRPr="00EE6ED7">
        <w:rPr>
          <w:sz w:val="26"/>
          <w:szCs w:val="26"/>
          <w:rtl/>
        </w:rPr>
        <w:t xml:space="preserve"> </w:t>
      </w:r>
      <w:r w:rsidRPr="00EE6ED7">
        <w:rPr>
          <w:sz w:val="26"/>
          <w:szCs w:val="26"/>
          <w:u w:val="single"/>
          <w:rtl/>
        </w:rPr>
        <w:t>מכל</w:t>
      </w:r>
      <w:r w:rsidRPr="00EE6ED7">
        <w:rPr>
          <w:sz w:val="26"/>
          <w:szCs w:val="26"/>
          <w:rtl/>
        </w:rPr>
        <w:t xml:space="preserve"> אומה ולשון </w:t>
      </w:r>
      <w:r w:rsidRPr="00EE6ED7">
        <w:rPr>
          <w:sz w:val="26"/>
          <w:szCs w:val="26"/>
          <w:u w:val="single"/>
          <w:rtl/>
        </w:rPr>
        <w:t>ש</w:t>
      </w:r>
      <w:r w:rsidRPr="00EE6ED7">
        <w:rPr>
          <w:sz w:val="26"/>
          <w:szCs w:val="26"/>
          <w:rtl/>
        </w:rPr>
        <w:t>אתם גוזרין עלינו גז</w:t>
      </w:r>
      <w:r w:rsidR="00FF6767">
        <w:rPr>
          <w:rFonts w:hint="cs"/>
          <w:sz w:val="26"/>
          <w:szCs w:val="26"/>
          <w:rtl/>
        </w:rPr>
        <w:t>י</w:t>
      </w:r>
      <w:r w:rsidRPr="00EE6ED7">
        <w:rPr>
          <w:sz w:val="26"/>
          <w:szCs w:val="26"/>
          <w:rtl/>
        </w:rPr>
        <w:t>רות קשות/רעות?</w:t>
      </w:r>
      <w:bookmarkStart w:id="6" w:name="_Ref200358402"/>
      <w:r w:rsidRPr="00EE6ED7">
        <w:rPr>
          <w:sz w:val="26"/>
          <w:szCs w:val="26"/>
          <w:vertAlign w:val="superscript"/>
          <w:rtl/>
        </w:rPr>
        <w:footnoteReference w:id="50"/>
      </w:r>
      <w:bookmarkEnd w:id="6"/>
      <w:r w:rsidR="005174BD">
        <w:rPr>
          <w:rFonts w:hint="cs"/>
          <w:sz w:val="26"/>
          <w:szCs w:val="26"/>
          <w:rtl/>
        </w:rPr>
        <w:t xml:space="preserve"> (בבלי ר"ה יט ע"א </w:t>
      </w:r>
      <w:r w:rsidR="008F7462">
        <w:rPr>
          <w:rFonts w:hint="cs"/>
          <w:sz w:val="26"/>
          <w:szCs w:val="26"/>
          <w:rtl/>
        </w:rPr>
        <w:t>ו</w:t>
      </w:r>
      <w:r w:rsidR="005174BD">
        <w:rPr>
          <w:rFonts w:hint="cs"/>
          <w:sz w:val="26"/>
          <w:szCs w:val="26"/>
          <w:rtl/>
        </w:rPr>
        <w:t>תענית יח ע"א)</w:t>
      </w:r>
    </w:p>
    <w:p w:rsidR="00312CAD" w:rsidRPr="00EE6ED7" w:rsidRDefault="00312CAD"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lastRenderedPageBreak/>
        <w:t xml:space="preserve">ושעיר עזים אחד לחטאת לה' </w:t>
      </w:r>
      <w:r w:rsidR="00656CE9" w:rsidRPr="00EE6ED7">
        <w:rPr>
          <w:sz w:val="26"/>
          <w:szCs w:val="26"/>
          <w:rtl/>
        </w:rPr>
        <w:t>(</w:t>
      </w:r>
      <w:r w:rsidRPr="00EE6ED7">
        <w:rPr>
          <w:sz w:val="26"/>
          <w:szCs w:val="26"/>
          <w:rtl/>
        </w:rPr>
        <w:t>במדבר כח, טו</w:t>
      </w:r>
      <w:r w:rsidR="00656CE9" w:rsidRPr="00EE6ED7">
        <w:rPr>
          <w:sz w:val="26"/>
          <w:szCs w:val="26"/>
          <w:rtl/>
        </w:rPr>
        <w:t>)</w:t>
      </w:r>
      <w:r w:rsidR="000A4652">
        <w:rPr>
          <w:sz w:val="26"/>
          <w:szCs w:val="26"/>
          <w:rtl/>
        </w:rPr>
        <w:t xml:space="preserve">... </w:t>
      </w:r>
      <w:r w:rsidRPr="00EE6ED7">
        <w:rPr>
          <w:sz w:val="26"/>
          <w:szCs w:val="26"/>
          <w:rtl/>
        </w:rPr>
        <w:t xml:space="preserve">דאמר ר"ל </w:t>
      </w:r>
      <w:r w:rsidRPr="00EE6ED7">
        <w:rPr>
          <w:sz w:val="26"/>
          <w:szCs w:val="26"/>
          <w:u w:val="single"/>
          <w:rtl/>
        </w:rPr>
        <w:t>מה נשתנה</w:t>
      </w:r>
      <w:r w:rsidRPr="00EE6ED7">
        <w:rPr>
          <w:sz w:val="26"/>
          <w:szCs w:val="26"/>
          <w:rtl/>
        </w:rPr>
        <w:t xml:space="preserve"> שעיר של ר"ח </w:t>
      </w:r>
      <w:r w:rsidRPr="00EE6ED7">
        <w:rPr>
          <w:sz w:val="26"/>
          <w:szCs w:val="26"/>
          <w:u w:val="single"/>
          <w:rtl/>
        </w:rPr>
        <w:t>ש</w:t>
      </w:r>
      <w:r w:rsidRPr="00EE6ED7">
        <w:rPr>
          <w:sz w:val="26"/>
          <w:szCs w:val="26"/>
          <w:rtl/>
        </w:rPr>
        <w:t>נאמר בו לה'? אמר הקב"ה שעיר זה יהא כפרה על שמיעטתי את הירח</w:t>
      </w:r>
      <w:r w:rsidR="005174BD">
        <w:rPr>
          <w:rFonts w:hint="cs"/>
          <w:sz w:val="26"/>
          <w:szCs w:val="26"/>
          <w:rtl/>
        </w:rPr>
        <w:t xml:space="preserve"> (בבלי שבועות ט ע"א)</w:t>
      </w:r>
      <w:r w:rsidRPr="00EE6ED7">
        <w:rPr>
          <w:sz w:val="26"/>
          <w:szCs w:val="26"/>
          <w:rtl/>
        </w:rPr>
        <w:t>.</w:t>
      </w:r>
      <w:r w:rsidRPr="00EE6ED7">
        <w:rPr>
          <w:sz w:val="26"/>
          <w:szCs w:val="26"/>
          <w:vertAlign w:val="superscript"/>
          <w:rtl/>
        </w:rPr>
        <w:footnoteReference w:id="51"/>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א"ר יצחק </w:t>
      </w:r>
      <w:r w:rsidRPr="00EE6ED7">
        <w:rPr>
          <w:sz w:val="26"/>
          <w:szCs w:val="26"/>
          <w:u w:val="single"/>
          <w:rtl/>
        </w:rPr>
        <w:t>מה נשתנית</w:t>
      </w:r>
      <w:r w:rsidRPr="00EE6ED7">
        <w:rPr>
          <w:sz w:val="26"/>
          <w:szCs w:val="26"/>
          <w:rtl/>
        </w:rPr>
        <w:t xml:space="preserve"> מנחה </w:t>
      </w:r>
      <w:r w:rsidRPr="00EE6ED7">
        <w:rPr>
          <w:sz w:val="26"/>
          <w:szCs w:val="26"/>
          <w:u w:val="single"/>
          <w:rtl/>
        </w:rPr>
        <w:t>ש</w:t>
      </w:r>
      <w:r w:rsidRPr="00EE6ED7">
        <w:rPr>
          <w:sz w:val="26"/>
          <w:szCs w:val="26"/>
          <w:rtl/>
        </w:rPr>
        <w:t>נאמר בה חמשה מיני טיגון הללו? משל למלך בשר ודם שעשה לו אוהבו סעודה ויודע בו שהוא עני, אמר לו: עשה לי מן חמשה מיני טיגון כדי שאהנה ממך</w:t>
      </w:r>
      <w:r w:rsidR="005174BD">
        <w:rPr>
          <w:rFonts w:hint="cs"/>
          <w:sz w:val="26"/>
          <w:szCs w:val="26"/>
          <w:rtl/>
        </w:rPr>
        <w:t xml:space="preserve"> (בבלי מנחות קד ע"ב)</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נשתנה</w:t>
      </w:r>
      <w:r w:rsidRPr="00EE6ED7">
        <w:rPr>
          <w:sz w:val="26"/>
          <w:szCs w:val="26"/>
          <w:rtl/>
        </w:rPr>
        <w:t xml:space="preserve"> מצורע </w:t>
      </w:r>
      <w:r w:rsidRPr="00EE6ED7">
        <w:rPr>
          <w:sz w:val="26"/>
          <w:szCs w:val="26"/>
          <w:u w:val="single"/>
          <w:rtl/>
        </w:rPr>
        <w:t>ש</w:t>
      </w:r>
      <w:r w:rsidRPr="00EE6ED7">
        <w:rPr>
          <w:sz w:val="26"/>
          <w:szCs w:val="26"/>
          <w:rtl/>
        </w:rPr>
        <w:t xml:space="preserve">אמרה תורה בדד ישב מחוץ למחנה מושבו </w:t>
      </w:r>
      <w:r w:rsidR="00656CE9" w:rsidRPr="00EE6ED7">
        <w:rPr>
          <w:sz w:val="26"/>
          <w:szCs w:val="26"/>
          <w:rtl/>
        </w:rPr>
        <w:t>(</w:t>
      </w:r>
      <w:r w:rsidRPr="00EE6ED7">
        <w:rPr>
          <w:sz w:val="26"/>
          <w:szCs w:val="26"/>
          <w:rtl/>
        </w:rPr>
        <w:t>ויקרא יג, מו</w:t>
      </w:r>
      <w:r w:rsidR="00656CE9" w:rsidRPr="00EE6ED7">
        <w:rPr>
          <w:sz w:val="26"/>
          <w:szCs w:val="26"/>
          <w:rtl/>
        </w:rPr>
        <w:t>)</w:t>
      </w:r>
      <w:r w:rsidRPr="00EE6ED7">
        <w:rPr>
          <w:sz w:val="26"/>
          <w:szCs w:val="26"/>
          <w:rtl/>
        </w:rPr>
        <w:t>? הוא הבדיל בין איש לאשתו בין איש לרעהו לפיכך אמרה תורה בדד ישב וגו'</w:t>
      </w:r>
      <w:r w:rsidR="005174BD">
        <w:rPr>
          <w:rFonts w:hint="cs"/>
          <w:sz w:val="26"/>
          <w:szCs w:val="26"/>
          <w:rtl/>
        </w:rPr>
        <w:t xml:space="preserve"> (בבלי ערכין טז ע"ב)</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5174B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מה נאוו על ההרי' רגלי מבשר </w:t>
      </w:r>
      <w:r w:rsidR="00656CE9" w:rsidRPr="00EE6ED7">
        <w:rPr>
          <w:sz w:val="26"/>
          <w:szCs w:val="26"/>
          <w:rtl/>
        </w:rPr>
        <w:t>(</w:t>
      </w:r>
      <w:r w:rsidRPr="00EE6ED7">
        <w:rPr>
          <w:sz w:val="26"/>
          <w:szCs w:val="26"/>
          <w:rtl/>
        </w:rPr>
        <w:t>ישעיה נב,</w:t>
      </w:r>
      <w:r w:rsidR="00CB01EA" w:rsidRPr="00EE6ED7">
        <w:rPr>
          <w:sz w:val="26"/>
          <w:szCs w:val="26"/>
          <w:rtl/>
        </w:rPr>
        <w:t xml:space="preserve"> </w:t>
      </w:r>
      <w:r w:rsidRPr="00EE6ED7">
        <w:rPr>
          <w:sz w:val="26"/>
          <w:szCs w:val="26"/>
          <w:rtl/>
        </w:rPr>
        <w:t>ז</w:t>
      </w:r>
      <w:r w:rsidR="00656CE9" w:rsidRPr="00EE6ED7">
        <w:rPr>
          <w:sz w:val="26"/>
          <w:szCs w:val="26"/>
          <w:rtl/>
        </w:rPr>
        <w:t xml:space="preserve">). </w:t>
      </w:r>
      <w:r w:rsidRPr="00EE6ED7">
        <w:rPr>
          <w:sz w:val="26"/>
          <w:szCs w:val="26"/>
          <w:rtl/>
        </w:rPr>
        <w:t xml:space="preserve">ר' יהושע או' </w:t>
      </w:r>
      <w:r w:rsidRPr="00EE6ED7">
        <w:rPr>
          <w:sz w:val="26"/>
          <w:szCs w:val="26"/>
          <w:u w:val="single"/>
          <w:rtl/>
        </w:rPr>
        <w:t>מה נשתנו</w:t>
      </w:r>
      <w:r w:rsidRPr="00EE6ED7">
        <w:rPr>
          <w:sz w:val="26"/>
          <w:szCs w:val="26"/>
          <w:rtl/>
        </w:rPr>
        <w:t xml:space="preserve"> ההרי' </w:t>
      </w:r>
      <w:r w:rsidRPr="00EE6ED7">
        <w:rPr>
          <w:sz w:val="26"/>
          <w:szCs w:val="26"/>
          <w:u w:val="single"/>
          <w:rtl/>
        </w:rPr>
        <w:t>מכל</w:t>
      </w:r>
      <w:r w:rsidRPr="00EE6ED7">
        <w:rPr>
          <w:sz w:val="26"/>
          <w:szCs w:val="26"/>
          <w:rtl/>
        </w:rPr>
        <w:t xml:space="preserve"> מעשה בראשי' </w:t>
      </w:r>
      <w:r w:rsidRPr="00EE6ED7">
        <w:rPr>
          <w:sz w:val="26"/>
          <w:szCs w:val="26"/>
          <w:u w:val="single"/>
          <w:rtl/>
        </w:rPr>
        <w:t>ש</w:t>
      </w:r>
      <w:r w:rsidRPr="00EE6ED7">
        <w:rPr>
          <w:sz w:val="26"/>
          <w:szCs w:val="26"/>
          <w:rtl/>
        </w:rPr>
        <w:t>המבשרי' באין עליהם תחלה? אלא אבות העולם נמשלו להרי', שנ' שמעו הרי' את</w:t>
      </w:r>
      <w:r w:rsidR="0014624C" w:rsidRPr="00EE6ED7">
        <w:rPr>
          <w:sz w:val="26"/>
          <w:szCs w:val="26"/>
          <w:rtl/>
        </w:rPr>
        <w:t xml:space="preserve"> </w:t>
      </w:r>
      <w:r w:rsidRPr="00EE6ED7">
        <w:rPr>
          <w:sz w:val="26"/>
          <w:szCs w:val="26"/>
          <w:rtl/>
        </w:rPr>
        <w:t xml:space="preserve">ריב י"י והאיתני' מוסדי הארץ וגו' </w:t>
      </w:r>
      <w:r w:rsidR="00656CE9" w:rsidRPr="00EE6ED7">
        <w:rPr>
          <w:sz w:val="26"/>
          <w:szCs w:val="26"/>
          <w:rtl/>
        </w:rPr>
        <w:t>(</w:t>
      </w:r>
      <w:r w:rsidRPr="00EE6ED7">
        <w:rPr>
          <w:sz w:val="26"/>
          <w:szCs w:val="26"/>
          <w:rtl/>
        </w:rPr>
        <w:t>מיכה ו</w:t>
      </w:r>
      <w:r w:rsidR="008F7462">
        <w:rPr>
          <w:rFonts w:hint="cs"/>
          <w:sz w:val="26"/>
          <w:szCs w:val="26"/>
          <w:rtl/>
        </w:rPr>
        <w:t>,</w:t>
      </w:r>
      <w:r w:rsidRPr="00EE6ED7">
        <w:rPr>
          <w:sz w:val="26"/>
          <w:szCs w:val="26"/>
          <w:rtl/>
        </w:rPr>
        <w:t xml:space="preserve"> ב</w:t>
      </w:r>
      <w:r w:rsidR="005174BD">
        <w:rPr>
          <w:rFonts w:hint="cs"/>
          <w:sz w:val="26"/>
          <w:szCs w:val="26"/>
          <w:rtl/>
        </w:rPr>
        <w:t>; פסיקתא דרב כהנא, נספח ה, מה נאוו על ההרים</w:t>
      </w:r>
      <w:r w:rsidR="00403865">
        <w:rPr>
          <w:rFonts w:hint="cs"/>
          <w:sz w:val="26"/>
          <w:szCs w:val="26"/>
          <w:rtl/>
        </w:rPr>
        <w:t>, מהדורת מנדלבוים, ב, עמ' 464</w:t>
      </w:r>
      <w:r w:rsidR="00656CE9" w:rsidRPr="00EE6ED7">
        <w:rPr>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u w:val="single"/>
          <w:rtl/>
        </w:rPr>
        <w:t>מה נשתנה</w:t>
      </w:r>
      <w:r w:rsidRPr="00EE6ED7">
        <w:rPr>
          <w:sz w:val="26"/>
          <w:szCs w:val="26"/>
          <w:rtl/>
        </w:rPr>
        <w:t xml:space="preserve"> התכלת </w:t>
      </w:r>
      <w:r w:rsidRPr="00EE6ED7">
        <w:rPr>
          <w:sz w:val="26"/>
          <w:szCs w:val="26"/>
          <w:u w:val="single"/>
          <w:rtl/>
        </w:rPr>
        <w:t>מכל</w:t>
      </w:r>
      <w:r w:rsidRPr="00EE6ED7">
        <w:rPr>
          <w:sz w:val="26"/>
          <w:szCs w:val="26"/>
          <w:rtl/>
        </w:rPr>
        <w:t xml:space="preserve"> מיני צבעונין </w:t>
      </w:r>
      <w:r w:rsidRPr="00EE6ED7">
        <w:rPr>
          <w:sz w:val="26"/>
          <w:szCs w:val="26"/>
          <w:u w:val="single"/>
          <w:rtl/>
        </w:rPr>
        <w:t>ש</w:t>
      </w:r>
      <w:r w:rsidRPr="00EE6ED7">
        <w:rPr>
          <w:sz w:val="26"/>
          <w:szCs w:val="26"/>
          <w:rtl/>
        </w:rPr>
        <w:t xml:space="preserve">אמרה התורה פתיל תכלת </w:t>
      </w:r>
      <w:r w:rsidR="00656CE9" w:rsidRPr="00EE6ED7">
        <w:rPr>
          <w:sz w:val="26"/>
          <w:szCs w:val="26"/>
          <w:rtl/>
        </w:rPr>
        <w:t>(</w:t>
      </w:r>
      <w:r w:rsidRPr="00EE6ED7">
        <w:rPr>
          <w:sz w:val="26"/>
          <w:szCs w:val="26"/>
          <w:rtl/>
        </w:rPr>
        <w:t>במדבר טו, לח</w:t>
      </w:r>
      <w:r w:rsidR="00656CE9" w:rsidRPr="00EE6ED7">
        <w:rPr>
          <w:sz w:val="26"/>
          <w:szCs w:val="26"/>
          <w:rtl/>
        </w:rPr>
        <w:t>)</w:t>
      </w:r>
      <w:r w:rsidRPr="00EE6ED7">
        <w:rPr>
          <w:sz w:val="26"/>
          <w:szCs w:val="26"/>
          <w:rtl/>
        </w:rPr>
        <w:t>? אלא שהתכלת דומה לים, והים דומה לרקיע, וכו'</w:t>
      </w:r>
      <w:r w:rsidR="00124276">
        <w:rPr>
          <w:rFonts w:hint="cs"/>
          <w:sz w:val="26"/>
          <w:szCs w:val="26"/>
          <w:rtl/>
        </w:rPr>
        <w:t xml:space="preserve"> (משנת רבי אליעזר, יד</w:t>
      </w:r>
      <w:r w:rsidR="00695BA0">
        <w:rPr>
          <w:rFonts w:hint="cs"/>
          <w:sz w:val="26"/>
          <w:szCs w:val="26"/>
          <w:rtl/>
        </w:rPr>
        <w:t>,מהדורת אנאלאו, עמ' 263</w:t>
      </w:r>
      <w:r w:rsidR="00124276">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p>
    <w:p w:rsidR="00105DEE" w:rsidRPr="00EE6ED7" w:rsidRDefault="00105DEE" w:rsidP="00695B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ומה נשתנה</w:t>
      </w:r>
      <w:r w:rsidRPr="00EE6ED7">
        <w:rPr>
          <w:sz w:val="26"/>
          <w:szCs w:val="26"/>
          <w:rtl/>
        </w:rPr>
        <w:t xml:space="preserve"> זבולון ונפתלי </w:t>
      </w:r>
      <w:r w:rsidRPr="00EE6ED7">
        <w:rPr>
          <w:sz w:val="26"/>
          <w:szCs w:val="26"/>
          <w:u w:val="single"/>
          <w:rtl/>
        </w:rPr>
        <w:t>מכל</w:t>
      </w:r>
      <w:r w:rsidRPr="00EE6ED7">
        <w:rPr>
          <w:sz w:val="26"/>
          <w:szCs w:val="26"/>
          <w:rtl/>
        </w:rPr>
        <w:t xml:space="preserve"> השבטים כולם </w:t>
      </w:r>
      <w:r w:rsidRPr="00EE6ED7">
        <w:rPr>
          <w:sz w:val="26"/>
          <w:szCs w:val="26"/>
          <w:u w:val="single"/>
          <w:rtl/>
        </w:rPr>
        <w:t>ש</w:t>
      </w:r>
      <w:r w:rsidRPr="00EE6ED7">
        <w:rPr>
          <w:sz w:val="26"/>
          <w:szCs w:val="26"/>
          <w:rtl/>
        </w:rPr>
        <w:t>באת תשועה גדולה לישראל על ידן...? כך אמרו חכמים: נפתלי שימש את יעקב אבינו ויצא ממנו קורת רוח וזבולון שמש את יששכר ועל שעשה לו אכסניא</w:t>
      </w:r>
      <w:r w:rsidR="000A4652">
        <w:rPr>
          <w:sz w:val="26"/>
          <w:szCs w:val="26"/>
          <w:rtl/>
        </w:rPr>
        <w:t xml:space="preserve">... </w:t>
      </w:r>
      <w:r w:rsidRPr="00EE6ED7">
        <w:rPr>
          <w:sz w:val="26"/>
          <w:szCs w:val="26"/>
          <w:u w:val="single"/>
          <w:rtl/>
        </w:rPr>
        <w:t>ומה נשתנית</w:t>
      </w:r>
      <w:r w:rsidRPr="00EE6ED7">
        <w:rPr>
          <w:sz w:val="26"/>
          <w:szCs w:val="26"/>
          <w:rtl/>
        </w:rPr>
        <w:t xml:space="preserve"> יעל אשת חבר הקני </w:t>
      </w:r>
      <w:r w:rsidRPr="00EE6ED7">
        <w:rPr>
          <w:sz w:val="26"/>
          <w:szCs w:val="26"/>
          <w:u w:val="single"/>
          <w:rtl/>
        </w:rPr>
        <w:t>מכל</w:t>
      </w:r>
      <w:r w:rsidRPr="00EE6ED7">
        <w:rPr>
          <w:sz w:val="26"/>
          <w:szCs w:val="26"/>
          <w:rtl/>
        </w:rPr>
        <w:t xml:space="preserve"> הנשים כלן </w:t>
      </w:r>
      <w:r w:rsidRPr="00EE6ED7">
        <w:rPr>
          <w:sz w:val="26"/>
          <w:szCs w:val="26"/>
          <w:u w:val="single"/>
          <w:rtl/>
        </w:rPr>
        <w:t>ש</w:t>
      </w:r>
      <w:r w:rsidRPr="00EE6ED7">
        <w:rPr>
          <w:sz w:val="26"/>
          <w:szCs w:val="26"/>
          <w:rtl/>
        </w:rPr>
        <w:t>באת תשועה גדולה לישראל על ידה...? כך אמרו חכמים: יעל אשה כשירה היתה ועושה רצון בעלה היתה</w:t>
      </w:r>
      <w:r w:rsidR="00124276">
        <w:rPr>
          <w:rFonts w:hint="cs"/>
          <w:sz w:val="26"/>
          <w:szCs w:val="26"/>
          <w:rtl/>
        </w:rPr>
        <w:t xml:space="preserve"> (תנא דבי אליהו רבא, ט</w:t>
      </w:r>
      <w:r w:rsidR="00695BA0">
        <w:rPr>
          <w:rFonts w:hint="cs"/>
          <w:sz w:val="26"/>
          <w:szCs w:val="26"/>
          <w:rtl/>
        </w:rPr>
        <w:t>, מהדורת פרידמן, עמ' 73</w:t>
      </w:r>
      <w:r w:rsidR="00124276">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נשתנה</w:t>
      </w:r>
      <w:r w:rsidRPr="00EE6ED7">
        <w:rPr>
          <w:sz w:val="26"/>
          <w:szCs w:val="26"/>
          <w:rtl/>
        </w:rPr>
        <w:t xml:space="preserve"> הושע בן אלה </w:t>
      </w:r>
      <w:r w:rsidRPr="00EE6ED7">
        <w:rPr>
          <w:sz w:val="26"/>
          <w:szCs w:val="26"/>
          <w:u w:val="single"/>
          <w:rtl/>
        </w:rPr>
        <w:t>ש</w:t>
      </w:r>
      <w:r w:rsidRPr="00EE6ED7">
        <w:rPr>
          <w:sz w:val="26"/>
          <w:szCs w:val="26"/>
          <w:rtl/>
        </w:rPr>
        <w:t>גלו עשרת השבטים בימיו?</w:t>
      </w:r>
      <w:r w:rsidR="0014624C" w:rsidRPr="00EE6ED7">
        <w:rPr>
          <w:sz w:val="26"/>
          <w:szCs w:val="26"/>
          <w:rtl/>
        </w:rPr>
        <w:t xml:space="preserve"> </w:t>
      </w:r>
      <w:r w:rsidRPr="00EE6ED7">
        <w:rPr>
          <w:sz w:val="26"/>
          <w:szCs w:val="26"/>
          <w:rtl/>
        </w:rPr>
        <w:t>אלא עד עכשו היתה עבודת אלילים קשורה ביחיד וקשה לפני הקב"ה להגלות את הצבור בעון יחיד, כיון שבא הושע בן אלה וביטל כל המשמרות כלן ואמר כל מי שיעלה לירושלים יעלה ולא אמר הכל יעלו לירושלים, עליו הוא אומר ויעש הרע בעיני ה' רק לא כמלכי ישראל עליו עלה שלמנאסר</w:t>
      </w:r>
      <w:r w:rsidR="00124276">
        <w:rPr>
          <w:rFonts w:hint="cs"/>
          <w:sz w:val="26"/>
          <w:szCs w:val="26"/>
          <w:rtl/>
        </w:rPr>
        <w:t xml:space="preserve"> (ילקוט שמעוני מלכים ב, יז, </w:t>
      </w:r>
      <w:r w:rsidR="00E11134">
        <w:rPr>
          <w:rFonts w:hint="cs"/>
          <w:sz w:val="26"/>
          <w:szCs w:val="26"/>
          <w:rtl/>
        </w:rPr>
        <w:t xml:space="preserve">רמז </w:t>
      </w:r>
      <w:r w:rsidR="00124276">
        <w:rPr>
          <w:rFonts w:hint="cs"/>
          <w:sz w:val="26"/>
          <w:szCs w:val="26"/>
          <w:rtl/>
        </w:rPr>
        <w:t>רלד)</w:t>
      </w:r>
      <w:r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Several variants of the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 are attested.</w:t>
      </w:r>
      <w:r w:rsidR="0014624C" w:rsidRPr="00EE6ED7">
        <w:rPr>
          <w:sz w:val="26"/>
          <w:szCs w:val="26"/>
        </w:rPr>
        <w:t xml:space="preserve"> </w:t>
      </w:r>
      <w:r w:rsidRPr="00EE6ED7">
        <w:rPr>
          <w:sz w:val="26"/>
          <w:szCs w:val="26"/>
        </w:rPr>
        <w:t xml:space="preserve">In a few examples, </w:t>
      </w:r>
      <w:r w:rsidRPr="00EE6ED7">
        <w:rPr>
          <w:sz w:val="26"/>
          <w:szCs w:val="26"/>
          <w:rtl/>
        </w:rPr>
        <w:t>מה</w:t>
      </w:r>
      <w:r w:rsidRPr="00EE6ED7">
        <w:rPr>
          <w:sz w:val="26"/>
          <w:szCs w:val="26"/>
        </w:rPr>
        <w:t xml:space="preserve"> is replaced by </w:t>
      </w:r>
      <w:r w:rsidRPr="00EE6ED7">
        <w:rPr>
          <w:sz w:val="26"/>
          <w:szCs w:val="26"/>
          <w:rtl/>
        </w:rPr>
        <w:t>מפני מה</w:t>
      </w:r>
      <w:r w:rsidRPr="00EE6ED7">
        <w:rPr>
          <w:sz w:val="26"/>
          <w:szCs w:val="26"/>
        </w:rPr>
        <w:t>:</w:t>
      </w:r>
      <w:r w:rsidRPr="00EE6ED7">
        <w:rPr>
          <w:sz w:val="26"/>
          <w:szCs w:val="26"/>
          <w:vertAlign w:val="superscript"/>
        </w:rPr>
        <w:footnoteReference w:id="52"/>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lastRenderedPageBreak/>
        <w:t xml:space="preserve">אמר ר' יצחק </w:t>
      </w:r>
      <w:r w:rsidRPr="00EE6ED7">
        <w:rPr>
          <w:sz w:val="26"/>
          <w:szCs w:val="26"/>
          <w:u w:val="single"/>
          <w:rtl/>
        </w:rPr>
        <w:t>מפני מה נשתנית</w:t>
      </w:r>
      <w:r w:rsidRPr="00EE6ED7">
        <w:rPr>
          <w:sz w:val="26"/>
          <w:szCs w:val="26"/>
          <w:rtl/>
        </w:rPr>
        <w:t xml:space="preserve"> מנחה </w:t>
      </w:r>
      <w:r w:rsidRPr="00EE6ED7">
        <w:rPr>
          <w:sz w:val="26"/>
          <w:szCs w:val="26"/>
          <w:u w:val="single"/>
          <w:rtl/>
        </w:rPr>
        <w:t>ש</w:t>
      </w:r>
      <w:r w:rsidRPr="00EE6ED7">
        <w:rPr>
          <w:sz w:val="26"/>
          <w:szCs w:val="26"/>
          <w:rtl/>
        </w:rPr>
        <w:t xml:space="preserve">נאמר בה נפש </w:t>
      </w:r>
      <w:r w:rsidR="00656CE9" w:rsidRPr="00EE6ED7">
        <w:rPr>
          <w:sz w:val="26"/>
          <w:szCs w:val="26"/>
          <w:rtl/>
        </w:rPr>
        <w:t>(</w:t>
      </w:r>
      <w:r w:rsidRPr="00EE6ED7">
        <w:rPr>
          <w:sz w:val="26"/>
          <w:szCs w:val="26"/>
          <w:rtl/>
        </w:rPr>
        <w:t>ויקרא ב, א</w:t>
      </w:r>
      <w:r w:rsidR="00656CE9" w:rsidRPr="00EE6ED7">
        <w:rPr>
          <w:sz w:val="26"/>
          <w:szCs w:val="26"/>
          <w:rtl/>
        </w:rPr>
        <w:t>)</w:t>
      </w:r>
      <w:r w:rsidRPr="00EE6ED7">
        <w:rPr>
          <w:sz w:val="26"/>
          <w:szCs w:val="26"/>
          <w:rtl/>
        </w:rPr>
        <w:t>?</w:t>
      </w:r>
      <w:r w:rsidR="0014624C" w:rsidRPr="00EE6ED7">
        <w:rPr>
          <w:sz w:val="26"/>
          <w:szCs w:val="26"/>
          <w:rtl/>
        </w:rPr>
        <w:t xml:space="preserve"> </w:t>
      </w:r>
      <w:r w:rsidRPr="00EE6ED7">
        <w:rPr>
          <w:sz w:val="26"/>
          <w:szCs w:val="26"/>
          <w:rtl/>
        </w:rPr>
        <w:t>אמר הקדוש ברוך הוא מי דרכו להביא מנחה?</w:t>
      </w:r>
      <w:r w:rsidR="0014624C" w:rsidRPr="00EE6ED7">
        <w:rPr>
          <w:sz w:val="26"/>
          <w:szCs w:val="26"/>
          <w:rtl/>
        </w:rPr>
        <w:t xml:space="preserve"> </w:t>
      </w:r>
      <w:r w:rsidRPr="00EE6ED7">
        <w:rPr>
          <w:sz w:val="26"/>
          <w:szCs w:val="26"/>
          <w:rtl/>
        </w:rPr>
        <w:t>עני.</w:t>
      </w:r>
      <w:r w:rsidR="0014624C" w:rsidRPr="00EE6ED7">
        <w:rPr>
          <w:sz w:val="26"/>
          <w:szCs w:val="26"/>
          <w:rtl/>
        </w:rPr>
        <w:t xml:space="preserve"> </w:t>
      </w:r>
      <w:r w:rsidRPr="00EE6ED7">
        <w:rPr>
          <w:sz w:val="26"/>
          <w:szCs w:val="26"/>
          <w:rtl/>
        </w:rPr>
        <w:t>מעלה אני עליו כאילו הקריב נפשו לפני</w:t>
      </w:r>
      <w:r w:rsidR="00124276">
        <w:rPr>
          <w:rFonts w:hint="cs"/>
          <w:sz w:val="26"/>
          <w:szCs w:val="26"/>
          <w:rtl/>
        </w:rPr>
        <w:t xml:space="preserve"> (בבלי מנחות קד ע"ב)</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1620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מפני מה נשתניתי</w:t>
      </w:r>
      <w:r w:rsidRPr="00EE6ED7">
        <w:rPr>
          <w:sz w:val="26"/>
          <w:szCs w:val="26"/>
          <w:rtl/>
        </w:rPr>
        <w:t xml:space="preserve"> </w:t>
      </w:r>
      <w:r w:rsidRPr="00EE6ED7">
        <w:rPr>
          <w:sz w:val="26"/>
          <w:szCs w:val="26"/>
          <w:u w:val="single"/>
          <w:rtl/>
        </w:rPr>
        <w:t>מכל</w:t>
      </w:r>
      <w:r w:rsidRPr="00EE6ED7">
        <w:rPr>
          <w:sz w:val="26"/>
          <w:szCs w:val="26"/>
          <w:rtl/>
        </w:rPr>
        <w:t xml:space="preserve"> אומה ולשון </w:t>
      </w:r>
      <w:r w:rsidRPr="00EE6ED7">
        <w:rPr>
          <w:sz w:val="26"/>
          <w:szCs w:val="26"/>
          <w:u w:val="single"/>
          <w:rtl/>
        </w:rPr>
        <w:t>ש</w:t>
      </w:r>
      <w:r w:rsidRPr="00EE6ED7">
        <w:rPr>
          <w:sz w:val="26"/>
          <w:szCs w:val="26"/>
          <w:rtl/>
        </w:rPr>
        <w:t>באתי לידי בושה וכלימה זאת?</w:t>
      </w:r>
      <w:r w:rsidR="00124276">
        <w:rPr>
          <w:rFonts w:hint="cs"/>
          <w:sz w:val="26"/>
          <w:szCs w:val="26"/>
          <w:rtl/>
        </w:rPr>
        <w:t xml:space="preserve"> (</w:t>
      </w:r>
      <w:r w:rsidR="00124276" w:rsidRPr="00EE6ED7">
        <w:rPr>
          <w:sz w:val="26"/>
          <w:szCs w:val="26"/>
          <w:rtl/>
        </w:rPr>
        <w:t>איכה רבה</w:t>
      </w:r>
      <w:r w:rsidR="00124276">
        <w:rPr>
          <w:rFonts w:hint="cs"/>
          <w:sz w:val="26"/>
          <w:szCs w:val="26"/>
          <w:rtl/>
        </w:rPr>
        <w:t>,</w:t>
      </w:r>
      <w:r w:rsidR="00124276" w:rsidRPr="00EE6ED7">
        <w:rPr>
          <w:sz w:val="26"/>
          <w:szCs w:val="26"/>
          <w:rtl/>
        </w:rPr>
        <w:t xml:space="preserve"> פתיחתא כד</w:t>
      </w:r>
      <w:r w:rsidR="00495FDE">
        <w:rPr>
          <w:rFonts w:hint="cs"/>
          <w:sz w:val="26"/>
          <w:szCs w:val="26"/>
          <w:rtl/>
        </w:rPr>
        <w:t>, מהדורת בובר, יג ע"ב</w:t>
      </w:r>
      <w:r w:rsidR="00124276">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FF67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אמר לי רבי </w:t>
      </w:r>
      <w:r w:rsidRPr="00EE6ED7">
        <w:rPr>
          <w:sz w:val="26"/>
          <w:szCs w:val="26"/>
          <w:u w:val="single"/>
          <w:rtl/>
        </w:rPr>
        <w:t>מפני מה נשתנו</w:t>
      </w:r>
      <w:r w:rsidRPr="00EE6ED7">
        <w:rPr>
          <w:sz w:val="26"/>
          <w:szCs w:val="26"/>
          <w:rtl/>
        </w:rPr>
        <w:t xml:space="preserve"> דורות הראשונים </w:t>
      </w:r>
      <w:r w:rsidRPr="00EE6ED7">
        <w:rPr>
          <w:sz w:val="26"/>
          <w:szCs w:val="26"/>
          <w:u w:val="single"/>
          <w:rtl/>
        </w:rPr>
        <w:t>מכל</w:t>
      </w:r>
      <w:r w:rsidRPr="00EE6ED7">
        <w:rPr>
          <w:sz w:val="26"/>
          <w:szCs w:val="26"/>
          <w:rtl/>
        </w:rPr>
        <w:t xml:space="preserve"> הדורות כול</w:t>
      </w:r>
      <w:r w:rsidR="00FF6767">
        <w:rPr>
          <w:rFonts w:hint="cs"/>
          <w:sz w:val="26"/>
          <w:szCs w:val="26"/>
          <w:rtl/>
        </w:rPr>
        <w:t>ן</w:t>
      </w:r>
      <w:r w:rsidRPr="00EE6ED7">
        <w:rPr>
          <w:sz w:val="26"/>
          <w:szCs w:val="26"/>
          <w:rtl/>
        </w:rPr>
        <w:t xml:space="preserve"> </w:t>
      </w:r>
      <w:r w:rsidRPr="00EE6ED7">
        <w:rPr>
          <w:sz w:val="26"/>
          <w:szCs w:val="26"/>
          <w:u w:val="single"/>
          <w:rtl/>
        </w:rPr>
        <w:t>ש</w:t>
      </w:r>
      <w:r w:rsidRPr="00EE6ED7">
        <w:rPr>
          <w:sz w:val="26"/>
          <w:szCs w:val="26"/>
          <w:rtl/>
        </w:rPr>
        <w:t xml:space="preserve">רבו ימיהם והאריכו שנים? אמרתי לו בני </w:t>
      </w:r>
      <w:r w:rsidR="00FF6767">
        <w:rPr>
          <w:rFonts w:hint="cs"/>
          <w:sz w:val="26"/>
          <w:szCs w:val="26"/>
          <w:rtl/>
        </w:rPr>
        <w:t xml:space="preserve">לבודקן </w:t>
      </w:r>
      <w:r w:rsidRPr="00EE6ED7">
        <w:rPr>
          <w:sz w:val="26"/>
          <w:szCs w:val="26"/>
          <w:rtl/>
        </w:rPr>
        <w:t xml:space="preserve">האריכו </w:t>
      </w:r>
      <w:r w:rsidR="00FF6767">
        <w:rPr>
          <w:rFonts w:hint="cs"/>
          <w:sz w:val="26"/>
          <w:szCs w:val="26"/>
          <w:rtl/>
        </w:rPr>
        <w:t>שנים</w:t>
      </w:r>
      <w:r w:rsidRPr="00EE6ED7">
        <w:rPr>
          <w:sz w:val="26"/>
          <w:szCs w:val="26"/>
          <w:rtl/>
        </w:rPr>
        <w:t xml:space="preserve"> לעשות גמילות חסדים זה עם זה</w:t>
      </w:r>
      <w:r w:rsidR="00124276">
        <w:rPr>
          <w:rFonts w:hint="cs"/>
          <w:sz w:val="26"/>
          <w:szCs w:val="26"/>
          <w:rtl/>
        </w:rPr>
        <w:t xml:space="preserve"> (תנא דבי אלהיו רבא, טז</w:t>
      </w:r>
      <w:r w:rsidR="00695BA0">
        <w:rPr>
          <w:rFonts w:hint="cs"/>
          <w:sz w:val="26"/>
          <w:szCs w:val="26"/>
          <w:rtl/>
        </w:rPr>
        <w:t xml:space="preserve">, מהדורת איש-שלום, עמ' </w:t>
      </w:r>
      <w:r w:rsidR="00FF6767">
        <w:rPr>
          <w:rFonts w:hint="cs"/>
          <w:sz w:val="26"/>
          <w:szCs w:val="26"/>
          <w:rtl/>
        </w:rPr>
        <w:t>80</w:t>
      </w:r>
      <w:r w:rsidR="00124276">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rtl/>
        </w:rPr>
        <w:t xml:space="preserve">אמר לי רבי </w:t>
      </w:r>
      <w:r w:rsidRPr="00EE6ED7">
        <w:rPr>
          <w:sz w:val="26"/>
          <w:szCs w:val="26"/>
          <w:u w:val="single"/>
          <w:rtl/>
        </w:rPr>
        <w:t>מפני מה נשתנו</w:t>
      </w:r>
      <w:r w:rsidRPr="00EE6ED7">
        <w:rPr>
          <w:sz w:val="26"/>
          <w:szCs w:val="26"/>
          <w:rtl/>
        </w:rPr>
        <w:t xml:space="preserve"> אומות העולם </w:t>
      </w:r>
      <w:r w:rsidRPr="00EE6ED7">
        <w:rPr>
          <w:sz w:val="26"/>
          <w:szCs w:val="26"/>
          <w:u w:val="single"/>
          <w:rtl/>
        </w:rPr>
        <w:t>ש</w:t>
      </w:r>
      <w:r w:rsidRPr="00EE6ED7">
        <w:rPr>
          <w:sz w:val="26"/>
          <w:szCs w:val="26"/>
          <w:rtl/>
        </w:rPr>
        <w:t>אוכלין העולם הזה? אמרתי לו בני שכרן שהפריש ישראל מתוכן, לפיכך אוכלין העולם הזה</w:t>
      </w:r>
      <w:r w:rsidR="00124276">
        <w:rPr>
          <w:rFonts w:hint="cs"/>
          <w:sz w:val="26"/>
          <w:szCs w:val="26"/>
          <w:rtl/>
        </w:rPr>
        <w:t xml:space="preserve"> (תנא דבי אליהו זוטא, ב</w:t>
      </w:r>
      <w:r w:rsidR="00695BA0">
        <w:rPr>
          <w:rFonts w:hint="cs"/>
          <w:sz w:val="26"/>
          <w:szCs w:val="26"/>
          <w:rtl/>
        </w:rPr>
        <w:t>, מהדורת איש-שלום, עמ' 174</w:t>
      </w:r>
      <w:r w:rsidR="00124276">
        <w:rPr>
          <w:rFonts w:hint="cs"/>
          <w:sz w:val="26"/>
          <w:szCs w:val="26"/>
          <w:rtl/>
        </w:rPr>
        <w:t>)</w:t>
      </w:r>
      <w:r w:rsidRPr="00EE6ED7">
        <w:rPr>
          <w:sz w:val="26"/>
          <w:szCs w:val="26"/>
          <w:rtl/>
        </w:rPr>
        <w:t>.</w:t>
      </w:r>
      <w:r w:rsidR="00495FDE" w:rsidRPr="00495FDE">
        <w:rPr>
          <w:sz w:val="26"/>
          <w:szCs w:val="26"/>
          <w:vertAlign w:val="superscript"/>
        </w:rPr>
        <w:t xml:space="preserve"> </w:t>
      </w:r>
      <w:r w:rsidR="00495FDE" w:rsidRPr="00EE6ED7">
        <w:rPr>
          <w:sz w:val="26"/>
          <w:szCs w:val="26"/>
          <w:vertAlign w:val="superscript"/>
        </w:rPr>
        <w:footnoteReference w:id="53"/>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In one late example, </w:t>
      </w:r>
      <w:r w:rsidRPr="00EE6ED7">
        <w:rPr>
          <w:sz w:val="26"/>
          <w:szCs w:val="26"/>
          <w:rtl/>
        </w:rPr>
        <w:t>מה</w:t>
      </w:r>
      <w:r w:rsidRPr="00EE6ED7">
        <w:rPr>
          <w:sz w:val="26"/>
          <w:szCs w:val="26"/>
        </w:rPr>
        <w:t xml:space="preserve"> is replaced by </w:t>
      </w:r>
      <w:r w:rsidRPr="00EE6ED7">
        <w:rPr>
          <w:sz w:val="26"/>
          <w:szCs w:val="26"/>
          <w:rtl/>
        </w:rPr>
        <w:t>במה</w:t>
      </w:r>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אמר' לפניו רבש"ע </w:t>
      </w:r>
      <w:r w:rsidRPr="00EE6ED7">
        <w:rPr>
          <w:sz w:val="26"/>
          <w:szCs w:val="26"/>
          <w:u w:val="single"/>
          <w:rtl/>
        </w:rPr>
        <w:t>במה נשתנה</w:t>
      </w:r>
      <w:r w:rsidRPr="00EE6ED7">
        <w:rPr>
          <w:sz w:val="26"/>
          <w:szCs w:val="26"/>
          <w:rtl/>
        </w:rPr>
        <w:t xml:space="preserve"> אומה זו </w:t>
      </w:r>
      <w:r w:rsidRPr="00EE6ED7">
        <w:rPr>
          <w:sz w:val="26"/>
          <w:szCs w:val="26"/>
          <w:u w:val="single"/>
          <w:rtl/>
        </w:rPr>
        <w:t>ש</w:t>
      </w:r>
      <w:r w:rsidRPr="00EE6ED7">
        <w:rPr>
          <w:sz w:val="26"/>
          <w:szCs w:val="26"/>
          <w:rtl/>
        </w:rPr>
        <w:t>אהבת אותם ביותר? אמר להם שוטים שבעולם. אתם ידעתם אותי והנחתם אותי והשתחויתם לע"ז שלכם ולא בטחתם בי. אבל ישראל קדשו שמי פעמים בכל יום תמיד ובטחו בי. ואני נותן להם שכר טוב</w:t>
      </w:r>
      <w:r w:rsidR="00124276" w:rsidRPr="00124276">
        <w:rPr>
          <w:sz w:val="26"/>
          <w:szCs w:val="26"/>
          <w:rtl/>
        </w:rPr>
        <w:t xml:space="preserve"> </w:t>
      </w:r>
      <w:r w:rsidR="00124276">
        <w:rPr>
          <w:rFonts w:hint="cs"/>
          <w:sz w:val="26"/>
          <w:szCs w:val="26"/>
          <w:rtl/>
        </w:rPr>
        <w:t>(</w:t>
      </w:r>
      <w:r w:rsidR="00124276" w:rsidRPr="00EE6ED7">
        <w:rPr>
          <w:sz w:val="26"/>
          <w:szCs w:val="26"/>
          <w:rtl/>
        </w:rPr>
        <w:t>תנא דבי אליהו זוטא</w:t>
      </w:r>
      <w:r w:rsidR="00124276">
        <w:rPr>
          <w:rFonts w:hint="cs"/>
          <w:sz w:val="26"/>
          <w:szCs w:val="26"/>
          <w:rtl/>
        </w:rPr>
        <w:t xml:space="preserve">, </w:t>
      </w:r>
      <w:r w:rsidR="00124276" w:rsidRPr="00EE6ED7">
        <w:rPr>
          <w:sz w:val="26"/>
          <w:szCs w:val="26"/>
          <w:rtl/>
        </w:rPr>
        <w:t>כא</w:t>
      </w:r>
      <w:r w:rsidR="00695BA0">
        <w:rPr>
          <w:rFonts w:hint="cs"/>
          <w:sz w:val="26"/>
          <w:szCs w:val="26"/>
          <w:rtl/>
        </w:rPr>
        <w:t>,</w:t>
      </w:r>
      <w:r w:rsidR="006D19BE">
        <w:rPr>
          <w:rFonts w:hint="cs"/>
          <w:sz w:val="26"/>
          <w:szCs w:val="26"/>
          <w:rtl/>
        </w:rPr>
        <w:t xml:space="preserve"> </w:t>
      </w:r>
      <w:r w:rsidR="00695BA0">
        <w:rPr>
          <w:rFonts w:hint="cs"/>
          <w:sz w:val="26"/>
          <w:szCs w:val="26"/>
          <w:rtl/>
        </w:rPr>
        <w:t>מהדורת איש-שלום, עמ' 35</w:t>
      </w:r>
      <w:r w:rsidR="00695BA0">
        <w:rPr>
          <w:rFonts w:hint="eastAsia"/>
          <w:sz w:val="26"/>
          <w:szCs w:val="26"/>
          <w:rtl/>
        </w:rPr>
        <w:t>–</w:t>
      </w:r>
      <w:r w:rsidR="00695BA0">
        <w:rPr>
          <w:rFonts w:hint="cs"/>
          <w:sz w:val="26"/>
          <w:szCs w:val="26"/>
          <w:rtl/>
        </w:rPr>
        <w:t>36</w:t>
      </w:r>
      <w:r w:rsidR="00124276">
        <w:rPr>
          <w:rFonts w:hint="cs"/>
          <w:sz w:val="26"/>
          <w:szCs w:val="26"/>
          <w:rtl/>
        </w:rPr>
        <w:t>)</w:t>
      </w:r>
      <w:r w:rsidRPr="00EE6ED7">
        <w:rPr>
          <w:sz w:val="26"/>
          <w:szCs w:val="26"/>
          <w:rtl/>
        </w:rPr>
        <w:t>.</w:t>
      </w:r>
      <w:r w:rsidRPr="00EE6ED7">
        <w:rPr>
          <w:sz w:val="26"/>
          <w:szCs w:val="26"/>
          <w:vertAlign w:val="superscript"/>
          <w:rtl/>
        </w:rPr>
        <w:footnoteReference w:id="54"/>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In two examples, we find </w:t>
      </w:r>
      <w:r w:rsidRPr="00EE6ED7">
        <w:rPr>
          <w:sz w:val="26"/>
          <w:szCs w:val="26"/>
          <w:rtl/>
        </w:rPr>
        <w:t>ל-</w:t>
      </w:r>
      <w:r w:rsidRPr="00EE6ED7">
        <w:rPr>
          <w:sz w:val="26"/>
          <w:szCs w:val="26"/>
        </w:rPr>
        <w:t xml:space="preserve"> instead of </w:t>
      </w:r>
      <w:r w:rsidRPr="00EE6ED7">
        <w:rPr>
          <w:sz w:val="26"/>
          <w:szCs w:val="26"/>
          <w:rtl/>
        </w:rPr>
        <w:t>ש-</w:t>
      </w:r>
      <w:r w:rsidRPr="00EE6ED7">
        <w:rPr>
          <w:sz w:val="26"/>
          <w:szCs w:val="26"/>
        </w:rPr>
        <w:t xml:space="preserve"> (i.e., an infinitive in place of the finite </w:t>
      </w:r>
      <w:r w:rsidRPr="00EE6ED7">
        <w:rPr>
          <w:sz w:val="26"/>
          <w:szCs w:val="26"/>
          <w:rtl/>
        </w:rPr>
        <w:t>ש</w:t>
      </w:r>
      <w:r w:rsidRPr="00EE6ED7">
        <w:rPr>
          <w:sz w:val="26"/>
          <w:szCs w:val="26"/>
        </w:rPr>
        <w:t>-clause),</w:t>
      </w:r>
      <w:bookmarkStart w:id="7" w:name="_Ref200358314"/>
      <w:r w:rsidRPr="00EE6ED7">
        <w:rPr>
          <w:sz w:val="26"/>
          <w:szCs w:val="26"/>
          <w:vertAlign w:val="superscript"/>
        </w:rPr>
        <w:footnoteReference w:id="55"/>
      </w:r>
      <w:bookmarkEnd w:id="7"/>
      <w:r w:rsidRPr="00EE6ED7">
        <w:rPr>
          <w:sz w:val="26"/>
          <w:szCs w:val="26"/>
        </w:rPr>
        <w:t xml:space="preserve"> inserted before the </w:t>
      </w:r>
      <w:r w:rsidRPr="00EE6ED7">
        <w:rPr>
          <w:sz w:val="26"/>
          <w:szCs w:val="26"/>
          <w:rtl/>
        </w:rPr>
        <w:t>מכל</w:t>
      </w:r>
      <w:r w:rsidRPr="00EE6ED7">
        <w:rPr>
          <w:sz w:val="26"/>
          <w:szCs w:val="26"/>
        </w:rPr>
        <w:t xml:space="preserve"> phrase instead of after it: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1620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וכי מה נשתנה</w:t>
      </w:r>
      <w:r w:rsidRPr="00EE6ED7">
        <w:rPr>
          <w:sz w:val="26"/>
          <w:szCs w:val="26"/>
          <w:rtl/>
        </w:rPr>
        <w:t xml:space="preserve"> אוזן </w:t>
      </w:r>
      <w:r w:rsidRPr="00EE6ED7">
        <w:rPr>
          <w:sz w:val="26"/>
          <w:szCs w:val="26"/>
          <w:u w:val="single"/>
          <w:rtl/>
        </w:rPr>
        <w:t>ל</w:t>
      </w:r>
      <w:r w:rsidRPr="00EE6ED7">
        <w:rPr>
          <w:sz w:val="26"/>
          <w:szCs w:val="26"/>
          <w:rtl/>
        </w:rPr>
        <w:t xml:space="preserve">רצע </w:t>
      </w:r>
      <w:r w:rsidRPr="00EE6ED7">
        <w:rPr>
          <w:sz w:val="26"/>
          <w:szCs w:val="26"/>
          <w:u w:val="single"/>
          <w:rtl/>
        </w:rPr>
        <w:t>מכל</w:t>
      </w:r>
      <w:r w:rsidRPr="00EE6ED7">
        <w:rPr>
          <w:sz w:val="26"/>
          <w:szCs w:val="26"/>
          <w:rtl/>
        </w:rPr>
        <w:t xml:space="preserve"> איברין?</w:t>
      </w:r>
      <w:r w:rsidR="0014624C" w:rsidRPr="00EE6ED7">
        <w:rPr>
          <w:sz w:val="26"/>
          <w:szCs w:val="26"/>
          <w:rtl/>
        </w:rPr>
        <w:t xml:space="preserve"> </w:t>
      </w:r>
      <w:r w:rsidRPr="00EE6ED7">
        <w:rPr>
          <w:sz w:val="26"/>
          <w:szCs w:val="26"/>
          <w:rtl/>
        </w:rPr>
        <w:t>לפי ששמע</w:t>
      </w:r>
      <w:r w:rsidR="0016204B">
        <w:rPr>
          <w:rFonts w:hint="cs"/>
          <w:sz w:val="26"/>
          <w:szCs w:val="26"/>
          <w:rtl/>
        </w:rPr>
        <w:t>ה</w:t>
      </w:r>
      <w:r w:rsidRPr="00EE6ED7">
        <w:rPr>
          <w:sz w:val="26"/>
          <w:szCs w:val="26"/>
          <w:rtl/>
        </w:rPr>
        <w:t xml:space="preserve"> מהר סיני כי לי בני ישראל עבדים ופרק ממנו עול שמים והמליך עליו </w:t>
      </w:r>
      <w:r w:rsidR="0016204B">
        <w:rPr>
          <w:rFonts w:hint="cs"/>
          <w:sz w:val="26"/>
          <w:szCs w:val="26"/>
          <w:rtl/>
        </w:rPr>
        <w:t xml:space="preserve">עול </w:t>
      </w:r>
      <w:r w:rsidRPr="00EE6ED7">
        <w:rPr>
          <w:sz w:val="26"/>
          <w:szCs w:val="26"/>
          <w:rtl/>
        </w:rPr>
        <w:t xml:space="preserve">בשר ודם </w:t>
      </w:r>
      <w:r w:rsidR="0016204B" w:rsidRPr="0016204B">
        <w:rPr>
          <w:rFonts w:hint="cs"/>
          <w:sz w:val="26"/>
          <w:szCs w:val="26"/>
          <w:rtl/>
        </w:rPr>
        <w:t xml:space="preserve">וכו' </w:t>
      </w:r>
      <w:r w:rsidR="008D2CB7">
        <w:rPr>
          <w:rFonts w:hint="cs"/>
          <w:sz w:val="26"/>
          <w:szCs w:val="26"/>
          <w:rtl/>
        </w:rPr>
        <w:t>(</w:t>
      </w:r>
      <w:r w:rsidR="008D2CB7" w:rsidRPr="00EE6ED7">
        <w:rPr>
          <w:sz w:val="26"/>
          <w:szCs w:val="26"/>
          <w:rtl/>
        </w:rPr>
        <w:t>תוספתא בבא קמא ז,</w:t>
      </w:r>
      <w:r w:rsidR="008D2CB7">
        <w:rPr>
          <w:rFonts w:hint="cs"/>
          <w:sz w:val="26"/>
          <w:szCs w:val="26"/>
          <w:rtl/>
        </w:rPr>
        <w:t xml:space="preserve"> </w:t>
      </w:r>
      <w:r w:rsidR="008D2CB7" w:rsidRPr="00EE6ED7">
        <w:rPr>
          <w:sz w:val="26"/>
          <w:szCs w:val="26"/>
          <w:rtl/>
        </w:rPr>
        <w:t>ה</w:t>
      </w:r>
      <w:r w:rsidR="0016204B">
        <w:rPr>
          <w:rFonts w:hint="cs"/>
          <w:sz w:val="26"/>
          <w:szCs w:val="26"/>
          <w:rtl/>
        </w:rPr>
        <w:t>, מהדורת ליברמן, עמ' 29</w:t>
      </w:r>
      <w:r w:rsidR="0016204B">
        <w:rPr>
          <w:rFonts w:hint="eastAsia"/>
          <w:sz w:val="26"/>
          <w:szCs w:val="26"/>
          <w:rtl/>
        </w:rPr>
        <w:t>–</w:t>
      </w:r>
      <w:r w:rsidR="0016204B">
        <w:rPr>
          <w:rFonts w:hint="cs"/>
          <w:sz w:val="26"/>
          <w:szCs w:val="26"/>
          <w:rtl/>
        </w:rPr>
        <w:t>30</w:t>
      </w:r>
      <w:r w:rsidR="008D2CB7">
        <w:rPr>
          <w:rFonts w:hint="cs"/>
          <w:sz w:val="26"/>
          <w:szCs w:val="26"/>
          <w:rtl/>
        </w:rPr>
        <w:t>)</w:t>
      </w:r>
      <w:r w:rsidR="00656CE9"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6D19B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וכי מה נשתנה</w:t>
      </w:r>
      <w:r w:rsidRPr="00EE6ED7">
        <w:rPr>
          <w:sz w:val="26"/>
          <w:szCs w:val="26"/>
          <w:rtl/>
        </w:rPr>
        <w:t xml:space="preserve"> ברזל </w:t>
      </w:r>
      <w:r w:rsidRPr="00EE6ED7">
        <w:rPr>
          <w:sz w:val="26"/>
          <w:szCs w:val="26"/>
          <w:u w:val="single"/>
          <w:rtl/>
        </w:rPr>
        <w:t>ל</w:t>
      </w:r>
      <w:r w:rsidRPr="00EE6ED7">
        <w:rPr>
          <w:sz w:val="26"/>
          <w:szCs w:val="26"/>
          <w:rtl/>
        </w:rPr>
        <w:t xml:space="preserve">היות פסול למזבח </w:t>
      </w:r>
      <w:r w:rsidRPr="00EE6ED7">
        <w:rPr>
          <w:sz w:val="26"/>
          <w:szCs w:val="26"/>
          <w:u w:val="single"/>
          <w:rtl/>
        </w:rPr>
        <w:t>מכל</w:t>
      </w:r>
      <w:r w:rsidRPr="00EE6ED7">
        <w:rPr>
          <w:sz w:val="26"/>
          <w:szCs w:val="26"/>
          <w:rtl/>
        </w:rPr>
        <w:t xml:space="preserve"> מיני מתכות?</w:t>
      </w:r>
      <w:r w:rsidR="0014624C" w:rsidRPr="00EE6ED7">
        <w:rPr>
          <w:sz w:val="26"/>
          <w:szCs w:val="26"/>
          <w:rtl/>
        </w:rPr>
        <w:t xml:space="preserve"> </w:t>
      </w:r>
      <w:r w:rsidRPr="00EE6ED7">
        <w:rPr>
          <w:sz w:val="26"/>
          <w:szCs w:val="26"/>
          <w:rtl/>
        </w:rPr>
        <w:t>לפי שהחרב נעשה ממנו, וחרב סימן קללה, והמזבח סימן ברכה וכו'</w:t>
      </w:r>
      <w:r w:rsidR="008D2CB7">
        <w:rPr>
          <w:rFonts w:hint="cs"/>
          <w:sz w:val="26"/>
          <w:szCs w:val="26"/>
          <w:rtl/>
        </w:rPr>
        <w:t xml:space="preserve"> (שמחות ח, טז</w:t>
      </w:r>
      <w:r w:rsidR="000C73DE">
        <w:rPr>
          <w:rFonts w:hint="cs"/>
          <w:sz w:val="26"/>
          <w:szCs w:val="26"/>
          <w:rtl/>
        </w:rPr>
        <w:t>, מהדורת היגר, עמ' 167</w:t>
      </w:r>
      <w:r w:rsidR="008D2CB7">
        <w:rPr>
          <w:rFonts w:hint="cs"/>
          <w:sz w:val="26"/>
          <w:szCs w:val="26"/>
          <w:rtl/>
        </w:rPr>
        <w:t>)</w:t>
      </w:r>
      <w:r w:rsidR="00656CE9"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7B70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Finally, there is also a long version of the formula, </w:t>
      </w:r>
      <w:r w:rsidRPr="00EE6ED7">
        <w:rPr>
          <w:sz w:val="26"/>
          <w:szCs w:val="26"/>
          <w:rtl/>
        </w:rPr>
        <w:t>מה נשתנה...</w:t>
      </w:r>
      <w:r w:rsidR="003B1435">
        <w:rPr>
          <w:rFonts w:hint="cs"/>
          <w:sz w:val="26"/>
          <w:szCs w:val="26"/>
          <w:rtl/>
        </w:rPr>
        <w:t xml:space="preserve"> </w:t>
      </w:r>
      <w:r w:rsidRPr="00EE6ED7">
        <w:rPr>
          <w:sz w:val="26"/>
          <w:szCs w:val="26"/>
          <w:rtl/>
        </w:rPr>
        <w:t>ש-...</w:t>
      </w:r>
      <w:r w:rsidR="007B70CD">
        <w:rPr>
          <w:sz w:val="26"/>
          <w:szCs w:val="26"/>
          <w:rtl/>
        </w:rPr>
        <w:br/>
      </w:r>
      <w:r w:rsidRPr="00EE6ED7">
        <w:rPr>
          <w:sz w:val="26"/>
          <w:szCs w:val="26"/>
          <w:rtl/>
        </w:rPr>
        <w:t>ו-</w:t>
      </w:r>
      <w:r w:rsidR="00656CE9" w:rsidRPr="00EE6ED7">
        <w:rPr>
          <w:sz w:val="26"/>
          <w:szCs w:val="26"/>
          <w:rtl/>
        </w:rPr>
        <w:t>...</w:t>
      </w:r>
      <w:r w:rsidR="007B70CD">
        <w:rPr>
          <w:sz w:val="26"/>
          <w:szCs w:val="26"/>
        </w:rPr>
        <w:t>,</w:t>
      </w:r>
      <w:r w:rsidR="00656CE9" w:rsidRPr="00EE6ED7">
        <w:rPr>
          <w:sz w:val="26"/>
          <w:szCs w:val="26"/>
        </w:rPr>
        <w:t xml:space="preserve"> that</w:t>
      </w:r>
      <w:r w:rsidRPr="00EE6ED7">
        <w:rPr>
          <w:sz w:val="26"/>
          <w:szCs w:val="26"/>
        </w:rPr>
        <w:t xml:space="preserve"> spells out the surface difference in full.</w:t>
      </w:r>
      <w:r w:rsidR="0014624C" w:rsidRPr="00EE6ED7">
        <w:rPr>
          <w:sz w:val="26"/>
          <w:szCs w:val="26"/>
        </w:rPr>
        <w:t xml:space="preserve"> </w:t>
      </w:r>
      <w:r w:rsidRPr="00EE6ED7">
        <w:rPr>
          <w:sz w:val="26"/>
          <w:szCs w:val="26"/>
        </w:rPr>
        <w:t xml:space="preserve">Unlike the short </w:t>
      </w:r>
      <w:r w:rsidRPr="00EE6ED7">
        <w:rPr>
          <w:sz w:val="26"/>
          <w:szCs w:val="26"/>
        </w:rPr>
        <w:lastRenderedPageBreak/>
        <w:t xml:space="preserve">version, it specifies the relevant characteristic of </w:t>
      </w:r>
      <w:r w:rsidRPr="00EE6ED7">
        <w:rPr>
          <w:i/>
          <w:sz w:val="26"/>
          <w:szCs w:val="26"/>
        </w:rPr>
        <w:t>both</w:t>
      </w:r>
      <w:r w:rsidRPr="00EE6ED7">
        <w:rPr>
          <w:sz w:val="26"/>
          <w:szCs w:val="26"/>
        </w:rPr>
        <w:t xml:space="preserve"> of the compared things: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נשתנית</w:t>
      </w:r>
      <w:r w:rsidRPr="00EE6ED7">
        <w:rPr>
          <w:sz w:val="26"/>
          <w:szCs w:val="26"/>
          <w:rtl/>
        </w:rPr>
        <w:t xml:space="preserve"> הודייה זאת </w:t>
      </w:r>
      <w:r w:rsidRPr="00EE6ED7">
        <w:rPr>
          <w:sz w:val="26"/>
          <w:szCs w:val="26"/>
          <w:u w:val="single"/>
          <w:rtl/>
        </w:rPr>
        <w:t>מכל</w:t>
      </w:r>
      <w:r w:rsidRPr="00EE6ED7">
        <w:rPr>
          <w:sz w:val="26"/>
          <w:szCs w:val="26"/>
          <w:rtl/>
        </w:rPr>
        <w:t xml:space="preserve"> הודייות שבתורה </w:t>
      </w:r>
      <w:r w:rsidRPr="00EE6ED7">
        <w:rPr>
          <w:sz w:val="26"/>
          <w:szCs w:val="26"/>
          <w:u w:val="single"/>
          <w:rtl/>
        </w:rPr>
        <w:t>ש</w:t>
      </w:r>
      <w:r w:rsidRPr="00EE6ED7">
        <w:rPr>
          <w:sz w:val="26"/>
          <w:szCs w:val="26"/>
          <w:rtl/>
        </w:rPr>
        <w:t xml:space="preserve">כל הודייות שבתו' נאמ' הודו לייי כי טוב כי לעו' חסדו </w:t>
      </w:r>
      <w:r w:rsidRPr="00EE6ED7">
        <w:rPr>
          <w:sz w:val="26"/>
          <w:szCs w:val="26"/>
          <w:u w:val="single"/>
          <w:rtl/>
        </w:rPr>
        <w:t>ו</w:t>
      </w:r>
      <w:r w:rsidRPr="00EE6ED7">
        <w:rPr>
          <w:sz w:val="26"/>
          <w:szCs w:val="26"/>
          <w:rtl/>
        </w:rPr>
        <w:t xml:space="preserve">כן </w:t>
      </w:r>
      <w:r w:rsidR="003B06F9" w:rsidRPr="00EE6ED7">
        <w:rPr>
          <w:sz w:val="26"/>
          <w:szCs w:val="26"/>
          <w:rtl/>
        </w:rPr>
        <w:t>[</w:t>
      </w:r>
      <w:r w:rsidRPr="00EE6ED7">
        <w:rPr>
          <w:sz w:val="26"/>
          <w:szCs w:val="26"/>
          <w:rtl/>
        </w:rPr>
        <w:t>=וכאן</w:t>
      </w:r>
      <w:r w:rsidR="003B06F9" w:rsidRPr="00EE6ED7">
        <w:rPr>
          <w:sz w:val="26"/>
          <w:szCs w:val="26"/>
          <w:rtl/>
        </w:rPr>
        <w:t>]</w:t>
      </w:r>
      <w:r w:rsidRPr="00EE6ED7">
        <w:rPr>
          <w:sz w:val="26"/>
          <w:szCs w:val="26"/>
          <w:rtl/>
        </w:rPr>
        <w:t xml:space="preserve"> הוא או' הודו לייי כי לע' חס' </w:t>
      </w:r>
      <w:r w:rsidR="003B06F9" w:rsidRPr="00EE6ED7">
        <w:rPr>
          <w:sz w:val="26"/>
          <w:szCs w:val="26"/>
          <w:rtl/>
        </w:rPr>
        <w:t>(</w:t>
      </w:r>
      <w:r w:rsidRPr="00EE6ED7">
        <w:rPr>
          <w:sz w:val="26"/>
          <w:szCs w:val="26"/>
          <w:rtl/>
        </w:rPr>
        <w:t>דה"ב כ</w:t>
      </w:r>
      <w:r w:rsidR="008F7462">
        <w:rPr>
          <w:rFonts w:hint="cs"/>
          <w:sz w:val="26"/>
          <w:szCs w:val="26"/>
          <w:rtl/>
        </w:rPr>
        <w:t>,</w:t>
      </w:r>
      <w:r w:rsidRPr="00EE6ED7">
        <w:rPr>
          <w:sz w:val="26"/>
          <w:szCs w:val="26"/>
          <w:rtl/>
        </w:rPr>
        <w:t xml:space="preserve"> כא</w:t>
      </w:r>
      <w:r w:rsidR="003B06F9" w:rsidRPr="00EE6ED7">
        <w:rPr>
          <w:sz w:val="26"/>
          <w:szCs w:val="26"/>
          <w:rtl/>
        </w:rPr>
        <w:t>)</w:t>
      </w:r>
      <w:r w:rsidRPr="00EE6ED7">
        <w:rPr>
          <w:sz w:val="26"/>
          <w:szCs w:val="26"/>
          <w:rtl/>
        </w:rPr>
        <w:t>?</w:t>
      </w:r>
      <w:r w:rsidR="0014624C" w:rsidRPr="00EE6ED7">
        <w:rPr>
          <w:sz w:val="26"/>
          <w:szCs w:val="26"/>
          <w:rtl/>
        </w:rPr>
        <w:t xml:space="preserve"> </w:t>
      </w:r>
      <w:r w:rsidRPr="00EE6ED7">
        <w:rPr>
          <w:sz w:val="26"/>
          <w:szCs w:val="26"/>
          <w:rtl/>
        </w:rPr>
        <w:t>אלא כביכול לא היתה שמחה לפניו במרום</w:t>
      </w:r>
      <w:r w:rsidR="008F7462">
        <w:rPr>
          <w:rFonts w:hint="cs"/>
          <w:sz w:val="26"/>
          <w:szCs w:val="26"/>
          <w:rtl/>
        </w:rPr>
        <w:t xml:space="preserve"> (מכילתא בשלח, שירה, א</w:t>
      </w:r>
      <w:r w:rsidR="00495FDE">
        <w:rPr>
          <w:rFonts w:hint="cs"/>
          <w:sz w:val="26"/>
          <w:szCs w:val="26"/>
          <w:rtl/>
        </w:rPr>
        <w:t xml:space="preserve">, מהדורת הורוביץ-רבין, עמ' </w:t>
      </w:r>
      <w:r w:rsidR="00E57C3F">
        <w:rPr>
          <w:rFonts w:hint="cs"/>
          <w:sz w:val="26"/>
          <w:szCs w:val="26"/>
          <w:rtl/>
        </w:rPr>
        <w:t>118</w:t>
      </w:r>
      <w:r w:rsidR="008F7462">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u w:val="single"/>
          <w:rtl/>
        </w:rPr>
        <w:t>מה נשתנה</w:t>
      </w:r>
      <w:r w:rsidRPr="00EE6ED7">
        <w:rPr>
          <w:sz w:val="26"/>
          <w:szCs w:val="26"/>
          <w:rtl/>
        </w:rPr>
        <w:t xml:space="preserve"> אבינו מן אפרכוס </w:t>
      </w:r>
      <w:r w:rsidRPr="00EE6ED7">
        <w:rPr>
          <w:sz w:val="26"/>
          <w:szCs w:val="26"/>
          <w:u w:val="single"/>
          <w:rtl/>
        </w:rPr>
        <w:t>ש</w:t>
      </w:r>
      <w:r w:rsidRPr="00EE6ED7">
        <w:rPr>
          <w:sz w:val="26"/>
          <w:szCs w:val="26"/>
          <w:rtl/>
        </w:rPr>
        <w:t xml:space="preserve">נהרג הוא ובניו </w:t>
      </w:r>
      <w:r w:rsidRPr="00EE6ED7">
        <w:rPr>
          <w:sz w:val="26"/>
          <w:szCs w:val="26"/>
          <w:u w:val="single"/>
          <w:rtl/>
        </w:rPr>
        <w:t>ו</w:t>
      </w:r>
      <w:r w:rsidRPr="00EE6ED7">
        <w:rPr>
          <w:sz w:val="26"/>
          <w:szCs w:val="26"/>
          <w:rtl/>
        </w:rPr>
        <w:t>לנו הניח? לפיכך אנו חייבים לקלסו</w:t>
      </w:r>
      <w:r w:rsidR="008F7462">
        <w:rPr>
          <w:rFonts w:hint="cs"/>
          <w:sz w:val="26"/>
          <w:szCs w:val="26"/>
          <w:rtl/>
        </w:rPr>
        <w:t xml:space="preserve"> (קטע גניזה של מדרש תהלים)</w:t>
      </w:r>
      <w:r w:rsidRPr="00EE6ED7">
        <w:rPr>
          <w:sz w:val="26"/>
          <w:szCs w:val="26"/>
          <w:rtl/>
        </w:rPr>
        <w:t>.</w:t>
      </w:r>
      <w:r w:rsidRPr="00EE6ED7">
        <w:rPr>
          <w:sz w:val="26"/>
          <w:szCs w:val="26"/>
          <w:vertAlign w:val="superscript"/>
          <w:rtl/>
        </w:rPr>
        <w:footnoteReference w:id="56"/>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ומה נשתנו</w:t>
      </w:r>
      <w:r w:rsidRPr="00EE6ED7">
        <w:rPr>
          <w:sz w:val="26"/>
          <w:szCs w:val="26"/>
          <w:rtl/>
        </w:rPr>
        <w:t xml:space="preserve"> מדין ממואב </w:t>
      </w:r>
      <w:r w:rsidRPr="00EE6ED7">
        <w:rPr>
          <w:sz w:val="26"/>
          <w:szCs w:val="26"/>
          <w:u w:val="single"/>
          <w:rtl/>
        </w:rPr>
        <w:t>ש</w:t>
      </w:r>
      <w:r w:rsidRPr="00EE6ED7">
        <w:rPr>
          <w:sz w:val="26"/>
          <w:szCs w:val="26"/>
          <w:rtl/>
        </w:rPr>
        <w:t xml:space="preserve">נאמר נקם נקמת בני ישראל מאת המדינים </w:t>
      </w:r>
      <w:r w:rsidR="003B06F9" w:rsidRPr="00EE6ED7">
        <w:rPr>
          <w:sz w:val="26"/>
          <w:szCs w:val="26"/>
          <w:rtl/>
        </w:rPr>
        <w:t>(</w:t>
      </w:r>
      <w:r w:rsidRPr="00EE6ED7">
        <w:rPr>
          <w:sz w:val="26"/>
          <w:szCs w:val="26"/>
          <w:rtl/>
        </w:rPr>
        <w:t>במדבר לא, ב</w:t>
      </w:r>
      <w:r w:rsidR="003B06F9" w:rsidRPr="00EE6ED7">
        <w:rPr>
          <w:sz w:val="26"/>
          <w:szCs w:val="26"/>
          <w:rtl/>
        </w:rPr>
        <w:t xml:space="preserve">) </w:t>
      </w:r>
      <w:r w:rsidRPr="00EE6ED7">
        <w:rPr>
          <w:sz w:val="26"/>
          <w:szCs w:val="26"/>
          <w:u w:val="single"/>
          <w:rtl/>
        </w:rPr>
        <w:t>ו</w:t>
      </w:r>
      <w:r w:rsidRPr="00EE6ED7">
        <w:rPr>
          <w:sz w:val="26"/>
          <w:szCs w:val="26"/>
          <w:rtl/>
        </w:rPr>
        <w:t xml:space="preserve">במואב כתיב אל תצר את מואב </w:t>
      </w:r>
      <w:r w:rsidR="003B06F9" w:rsidRPr="00EE6ED7">
        <w:rPr>
          <w:sz w:val="26"/>
          <w:szCs w:val="26"/>
          <w:rtl/>
        </w:rPr>
        <w:t>(</w:t>
      </w:r>
      <w:r w:rsidRPr="00EE6ED7">
        <w:rPr>
          <w:sz w:val="26"/>
          <w:szCs w:val="26"/>
          <w:rtl/>
        </w:rPr>
        <w:t>דברים ב,</w:t>
      </w:r>
      <w:r w:rsidR="00A255F5">
        <w:rPr>
          <w:rFonts w:hint="cs"/>
          <w:sz w:val="26"/>
          <w:szCs w:val="26"/>
          <w:rtl/>
        </w:rPr>
        <w:t xml:space="preserve"> </w:t>
      </w:r>
      <w:r w:rsidRPr="00EE6ED7">
        <w:rPr>
          <w:sz w:val="26"/>
          <w:szCs w:val="26"/>
          <w:rtl/>
        </w:rPr>
        <w:t>ט</w:t>
      </w:r>
      <w:r w:rsidR="003B06F9" w:rsidRPr="00EE6ED7">
        <w:rPr>
          <w:sz w:val="26"/>
          <w:szCs w:val="26"/>
          <w:rtl/>
        </w:rPr>
        <w:t>)</w:t>
      </w:r>
      <w:r w:rsidRPr="00EE6ED7">
        <w:rPr>
          <w:sz w:val="26"/>
          <w:szCs w:val="26"/>
          <w:rtl/>
        </w:rPr>
        <w:t>?</w:t>
      </w:r>
      <w:r w:rsidR="0014624C" w:rsidRPr="00EE6ED7">
        <w:rPr>
          <w:sz w:val="26"/>
          <w:szCs w:val="26"/>
          <w:rtl/>
        </w:rPr>
        <w:t xml:space="preserve"> </w:t>
      </w:r>
      <w:r w:rsidRPr="00EE6ED7">
        <w:rPr>
          <w:sz w:val="26"/>
          <w:szCs w:val="26"/>
          <w:rtl/>
        </w:rPr>
        <w:t>אלא שהיה דוד עתיד לצאת מהן</w:t>
      </w:r>
      <w:r w:rsidR="008F7462">
        <w:rPr>
          <w:rFonts w:hint="cs"/>
          <w:sz w:val="26"/>
          <w:szCs w:val="26"/>
          <w:rtl/>
        </w:rPr>
        <w:t xml:space="preserve"> (ילקוט שמעוני, במדבר לא, </w:t>
      </w:r>
      <w:r w:rsidR="00E11134">
        <w:rPr>
          <w:rFonts w:hint="cs"/>
          <w:sz w:val="26"/>
          <w:szCs w:val="26"/>
          <w:rtl/>
        </w:rPr>
        <w:t xml:space="preserve">רמז </w:t>
      </w:r>
      <w:r w:rsidR="008F7462">
        <w:rPr>
          <w:rFonts w:hint="cs"/>
          <w:sz w:val="26"/>
          <w:szCs w:val="26"/>
          <w:rtl/>
        </w:rPr>
        <w:t>תשפה)</w:t>
      </w:r>
      <w:r w:rsidRPr="00EE6ED7">
        <w:rPr>
          <w:sz w:val="26"/>
          <w:szCs w:val="26"/>
          <w:rtl/>
        </w:rPr>
        <w:t>.</w:t>
      </w:r>
      <w:r w:rsidRPr="00EE6ED7">
        <w:rPr>
          <w:sz w:val="26"/>
          <w:szCs w:val="26"/>
          <w:vertAlign w:val="superscript"/>
          <w:rtl/>
        </w:rPr>
        <w:footnoteReference w:id="57"/>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Clearly, it is this long version that is the most important for our purposes.</w:t>
      </w:r>
      <w:r w:rsidR="0014624C" w:rsidRPr="00EE6ED7">
        <w:rPr>
          <w:sz w:val="26"/>
          <w:szCs w:val="26"/>
        </w:rPr>
        <w:t xml:space="preserve"> </w:t>
      </w:r>
      <w:r w:rsidRPr="00EE6ED7">
        <w:rPr>
          <w:sz w:val="26"/>
          <w:szCs w:val="26"/>
        </w:rPr>
        <w:t xml:space="preserve">The question asked on Passover has precisely the same form, </w:t>
      </w:r>
      <w:r w:rsidRPr="00EE6ED7">
        <w:rPr>
          <w:sz w:val="26"/>
          <w:szCs w:val="26"/>
          <w:rtl/>
        </w:rPr>
        <w:t>מה נשתנה...</w:t>
      </w:r>
      <w:r w:rsidR="003B1435">
        <w:rPr>
          <w:rFonts w:hint="cs"/>
          <w:sz w:val="26"/>
          <w:szCs w:val="26"/>
          <w:rtl/>
        </w:rPr>
        <w:t xml:space="preserve"> </w:t>
      </w:r>
      <w:r w:rsidRPr="00EE6ED7">
        <w:rPr>
          <w:sz w:val="26"/>
          <w:szCs w:val="26"/>
          <w:rtl/>
        </w:rPr>
        <w:t>ש-...</w:t>
      </w:r>
      <w:r w:rsidR="003B1435">
        <w:rPr>
          <w:rFonts w:hint="cs"/>
          <w:sz w:val="26"/>
          <w:szCs w:val="26"/>
          <w:rtl/>
        </w:rPr>
        <w:t xml:space="preserve"> </w:t>
      </w:r>
      <w:r w:rsidRPr="00EE6ED7">
        <w:rPr>
          <w:sz w:val="26"/>
          <w:szCs w:val="26"/>
          <w:rtl/>
        </w:rPr>
        <w:t>ו-...</w:t>
      </w:r>
      <w:r w:rsidRPr="00EE6ED7">
        <w:rPr>
          <w:sz w:val="26"/>
          <w:szCs w:val="26"/>
        </w:rPr>
        <w:t xml:space="preserve">, but this fact has been disguised by the change of </w:t>
      </w:r>
      <w:r w:rsidRPr="00EE6ED7">
        <w:rPr>
          <w:sz w:val="26"/>
          <w:szCs w:val="26"/>
          <w:rtl/>
        </w:rPr>
        <w:t>והלילה הזה</w:t>
      </w:r>
      <w:r w:rsidRPr="00EE6ED7">
        <w:rPr>
          <w:sz w:val="26"/>
          <w:szCs w:val="26"/>
        </w:rPr>
        <w:t xml:space="preserve"> to </w:t>
      </w:r>
      <w:r w:rsidRPr="00EE6ED7">
        <w:rPr>
          <w:sz w:val="26"/>
          <w:szCs w:val="26"/>
          <w:rtl/>
        </w:rPr>
        <w:t>הלילה הזה</w:t>
      </w:r>
      <w:r w:rsidRPr="00EE6ED7">
        <w:rPr>
          <w:sz w:val="26"/>
          <w:szCs w:val="26"/>
        </w:rPr>
        <w:t xml:space="preserve"> in many manuscripts of the Mishnah, Talmud, and Haggadah.</w:t>
      </w:r>
      <w:r w:rsidR="0014624C" w:rsidRPr="00EE6ED7">
        <w:rPr>
          <w:sz w:val="26"/>
          <w:szCs w:val="26"/>
        </w:rPr>
        <w:t xml:space="preserve"> </w:t>
      </w:r>
      <w:r w:rsidRPr="00EE6ED7">
        <w:rPr>
          <w:sz w:val="26"/>
          <w:szCs w:val="26"/>
        </w:rPr>
        <w:t xml:space="preserve">The original reading, </w:t>
      </w:r>
      <w:r w:rsidRPr="00EE6ED7">
        <w:rPr>
          <w:sz w:val="26"/>
          <w:szCs w:val="26"/>
          <w:rtl/>
        </w:rPr>
        <w:t>והלילה הזה</w:t>
      </w:r>
      <w:r w:rsidRPr="00EE6ED7">
        <w:rPr>
          <w:sz w:val="26"/>
          <w:szCs w:val="26"/>
        </w:rPr>
        <w:t xml:space="preserve">, survives in Mishnah Codex Parma (in two of the three </w:t>
      </w:r>
      <w:r w:rsidRPr="00EE6ED7">
        <w:rPr>
          <w:sz w:val="26"/>
          <w:szCs w:val="26"/>
          <w:rtl/>
        </w:rPr>
        <w:t>ש</w:t>
      </w:r>
      <w:r w:rsidRPr="00EE6ED7">
        <w:rPr>
          <w:sz w:val="26"/>
          <w:szCs w:val="26"/>
        </w:rPr>
        <w:t xml:space="preserve">-clauses), the Yerushalmi, some of the best manuscripts of the Bavli, a geonic </w:t>
      </w:r>
      <w:r w:rsidR="003B06F9" w:rsidRPr="00EE6ED7">
        <w:rPr>
          <w:sz w:val="26"/>
          <w:szCs w:val="26"/>
        </w:rPr>
        <w:t xml:space="preserve">Haggadah </w:t>
      </w:r>
      <w:r w:rsidRPr="00EE6ED7">
        <w:rPr>
          <w:sz w:val="26"/>
          <w:szCs w:val="26"/>
        </w:rPr>
        <w:t xml:space="preserve">attributed to R. Natronai Gaon, </w:t>
      </w:r>
      <w:r w:rsidRPr="00EE6ED7">
        <w:rPr>
          <w:i/>
          <w:sz w:val="26"/>
          <w:szCs w:val="26"/>
        </w:rPr>
        <w:t>Siddur R. Saadia Gaon</w:t>
      </w:r>
      <w:r w:rsidRPr="00EE6ED7">
        <w:rPr>
          <w:sz w:val="26"/>
          <w:szCs w:val="26"/>
        </w:rPr>
        <w:t xml:space="preserve">, Maimonides’ </w:t>
      </w:r>
      <w:r w:rsidRPr="00EE6ED7">
        <w:rPr>
          <w:i/>
          <w:sz w:val="26"/>
          <w:szCs w:val="26"/>
        </w:rPr>
        <w:t>Mishneh Torah</w:t>
      </w:r>
      <w:r w:rsidRPr="00EE6ED7">
        <w:rPr>
          <w:sz w:val="26"/>
          <w:szCs w:val="26"/>
        </w:rPr>
        <w:t xml:space="preserve"> and commentary on the Mishnah,</w:t>
      </w:r>
      <w:r w:rsidRPr="00EE6ED7">
        <w:rPr>
          <w:sz w:val="26"/>
          <w:szCs w:val="26"/>
          <w:vertAlign w:val="superscript"/>
        </w:rPr>
        <w:footnoteReference w:id="58"/>
      </w:r>
      <w:r w:rsidRPr="00EE6ED7">
        <w:rPr>
          <w:sz w:val="26"/>
          <w:szCs w:val="26"/>
        </w:rPr>
        <w:t xml:space="preserve"> </w:t>
      </w:r>
      <w:r w:rsidRPr="00EE6ED7">
        <w:rPr>
          <w:i/>
          <w:sz w:val="26"/>
          <w:szCs w:val="26"/>
        </w:rPr>
        <w:t>Ma</w:t>
      </w:r>
      <w:r w:rsidR="008A2B4A" w:rsidRPr="006D19BE">
        <w:rPr>
          <w:rFonts w:ascii="CalSemitic" w:hAnsi="CalSemitic"/>
          <w:i/>
          <w:spacing w:val="26"/>
          <w:sz w:val="28"/>
          <w:szCs w:val="26"/>
        </w:rPr>
        <w:t>x</w:t>
      </w:r>
      <w:r w:rsidRPr="006D19BE">
        <w:rPr>
          <w:i/>
          <w:spacing w:val="26"/>
          <w:sz w:val="26"/>
          <w:szCs w:val="26"/>
        </w:rPr>
        <w:t>z</w:t>
      </w:r>
      <w:r w:rsidRPr="00EE6ED7">
        <w:rPr>
          <w:i/>
          <w:sz w:val="26"/>
          <w:szCs w:val="26"/>
        </w:rPr>
        <w:t>or Minhag Roma</w:t>
      </w:r>
      <w:r w:rsidRPr="00EE6ED7">
        <w:rPr>
          <w:sz w:val="26"/>
          <w:szCs w:val="26"/>
        </w:rPr>
        <w:t>, and the majority of medieval commentaries on the Haggadah.</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In the parallels cited above, the </w:t>
      </w:r>
      <w:r w:rsidRPr="00EE6ED7">
        <w:rPr>
          <w:sz w:val="26"/>
          <w:szCs w:val="26"/>
          <w:rtl/>
        </w:rPr>
        <w:t>מה</w:t>
      </w:r>
      <w:r w:rsidRPr="00EE6ED7">
        <w:rPr>
          <w:sz w:val="26"/>
          <w:szCs w:val="26"/>
        </w:rPr>
        <w:t xml:space="preserve"> of </w:t>
      </w:r>
      <w:r w:rsidRPr="00EE6ED7">
        <w:rPr>
          <w:sz w:val="26"/>
          <w:szCs w:val="26"/>
          <w:rtl/>
        </w:rPr>
        <w:t>מה נשתנה</w:t>
      </w:r>
      <w:r w:rsidRPr="00EE6ED7">
        <w:rPr>
          <w:sz w:val="26"/>
          <w:szCs w:val="26"/>
        </w:rPr>
        <w:t xml:space="preserve"> is sometimes taken to mean “why” (interpretation B).</w:t>
      </w:r>
      <w:r w:rsidRPr="00EE6ED7">
        <w:rPr>
          <w:sz w:val="26"/>
          <w:szCs w:val="26"/>
          <w:vertAlign w:val="superscript"/>
        </w:rPr>
        <w:footnoteReference w:id="59"/>
      </w:r>
      <w:r w:rsidR="0014624C" w:rsidRPr="00EE6ED7">
        <w:rPr>
          <w:sz w:val="26"/>
          <w:szCs w:val="26"/>
        </w:rPr>
        <w:t xml:space="preserve"> </w:t>
      </w:r>
      <w:r w:rsidRPr="00EE6ED7">
        <w:rPr>
          <w:sz w:val="26"/>
          <w:szCs w:val="26"/>
        </w:rPr>
        <w:t xml:space="preserve">Indeed, we have seen that, in a few cases, we find </w:t>
      </w:r>
      <w:r w:rsidRPr="00EE6ED7">
        <w:rPr>
          <w:sz w:val="26"/>
          <w:szCs w:val="26"/>
          <w:rtl/>
        </w:rPr>
        <w:t>מפני מה</w:t>
      </w:r>
      <w:r w:rsidRPr="00EE6ED7">
        <w:rPr>
          <w:sz w:val="26"/>
          <w:szCs w:val="26"/>
        </w:rPr>
        <w:t xml:space="preserve"> “for what (reason)” substituting for the usual </w:t>
      </w:r>
      <w:r w:rsidRPr="00EE6ED7">
        <w:rPr>
          <w:sz w:val="26"/>
          <w:szCs w:val="26"/>
          <w:rtl/>
        </w:rPr>
        <w:t>מה</w:t>
      </w:r>
      <w:r w:rsidRPr="00EE6ED7">
        <w:rPr>
          <w:sz w:val="26"/>
          <w:szCs w:val="26"/>
        </w:rPr>
        <w:t>.</w:t>
      </w:r>
      <w:r w:rsidR="0014624C" w:rsidRPr="00EE6ED7">
        <w:rPr>
          <w:sz w:val="26"/>
          <w:szCs w:val="26"/>
        </w:rPr>
        <w:t xml:space="preserve"> </w:t>
      </w:r>
      <w:r w:rsidRPr="00EE6ED7">
        <w:rPr>
          <w:sz w:val="26"/>
          <w:szCs w:val="26"/>
        </w:rPr>
        <w:t>However, all of this evidence is late.</w:t>
      </w:r>
      <w:bookmarkStart w:id="8" w:name="_Ref200357918"/>
      <w:r w:rsidRPr="00EE6ED7">
        <w:rPr>
          <w:sz w:val="26"/>
          <w:szCs w:val="26"/>
          <w:vertAlign w:val="superscript"/>
        </w:rPr>
        <w:footnoteReference w:id="60"/>
      </w:r>
      <w:bookmarkEnd w:id="8"/>
      <w:r w:rsidR="0014624C" w:rsidRPr="00EE6ED7">
        <w:rPr>
          <w:sz w:val="26"/>
          <w:szCs w:val="26"/>
        </w:rPr>
        <w:t xml:space="preserve"> </w:t>
      </w:r>
      <w:r w:rsidRPr="00EE6ED7">
        <w:rPr>
          <w:sz w:val="26"/>
          <w:szCs w:val="26"/>
        </w:rPr>
        <w:t>The only early evidence for interpretation B that I know of comes from two passages in the Sifre:</w:t>
      </w:r>
      <w:r w:rsidRPr="00EE6ED7">
        <w:rPr>
          <w:sz w:val="26"/>
          <w:szCs w:val="26"/>
          <w:vertAlign w:val="superscript"/>
        </w:rPr>
        <w:footnoteReference w:id="61"/>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שינה הכתוב</w:t>
      </w:r>
      <w:r w:rsidRPr="00EE6ED7">
        <w:rPr>
          <w:sz w:val="26"/>
          <w:szCs w:val="26"/>
          <w:rtl/>
        </w:rPr>
        <w:t xml:space="preserve"> ביאה זו </w:t>
      </w:r>
      <w:r w:rsidRPr="00EE6ED7">
        <w:rPr>
          <w:sz w:val="26"/>
          <w:szCs w:val="26"/>
          <w:u w:val="single"/>
          <w:rtl/>
        </w:rPr>
        <w:t>מכל</w:t>
      </w:r>
      <w:r w:rsidRPr="00EE6ED7">
        <w:rPr>
          <w:sz w:val="26"/>
          <w:szCs w:val="26"/>
          <w:rtl/>
        </w:rPr>
        <w:t xml:space="preserve"> ביאות שבתורה </w:t>
      </w:r>
      <w:r w:rsidRPr="00EE6ED7">
        <w:rPr>
          <w:sz w:val="26"/>
          <w:szCs w:val="26"/>
          <w:u w:val="single"/>
          <w:rtl/>
        </w:rPr>
        <w:t>שבכל</w:t>
      </w:r>
      <w:r w:rsidRPr="00EE6ED7">
        <w:rPr>
          <w:sz w:val="26"/>
          <w:szCs w:val="26"/>
          <w:rtl/>
        </w:rPr>
        <w:t xml:space="preserve"> ביאות שבתורה הוא אומר והיה כי תבאו אל הארץ והיה כי יביאך ה' א-להיך </w:t>
      </w:r>
      <w:r w:rsidRPr="00EE6ED7">
        <w:rPr>
          <w:sz w:val="26"/>
          <w:szCs w:val="26"/>
          <w:u w:val="single"/>
          <w:rtl/>
        </w:rPr>
        <w:t>וכאן</w:t>
      </w:r>
      <w:r w:rsidRPr="00EE6ED7">
        <w:rPr>
          <w:sz w:val="26"/>
          <w:szCs w:val="26"/>
          <w:rtl/>
        </w:rPr>
        <w:t xml:space="preserve"> הוא אומר בבואכם </w:t>
      </w:r>
      <w:r w:rsidR="004D06E4" w:rsidRPr="00EE6ED7">
        <w:rPr>
          <w:sz w:val="26"/>
          <w:szCs w:val="26"/>
          <w:rtl/>
        </w:rPr>
        <w:t>(</w:t>
      </w:r>
      <w:r w:rsidRPr="00EE6ED7">
        <w:rPr>
          <w:sz w:val="26"/>
          <w:szCs w:val="26"/>
          <w:rtl/>
        </w:rPr>
        <w:t>במדבר טו,</w:t>
      </w:r>
      <w:r w:rsidR="00312EC1">
        <w:rPr>
          <w:rFonts w:hint="cs"/>
          <w:sz w:val="26"/>
          <w:szCs w:val="26"/>
          <w:rtl/>
        </w:rPr>
        <w:t xml:space="preserve"> </w:t>
      </w:r>
      <w:r w:rsidRPr="00EE6ED7">
        <w:rPr>
          <w:sz w:val="26"/>
          <w:szCs w:val="26"/>
          <w:rtl/>
        </w:rPr>
        <w:t>יח</w:t>
      </w:r>
      <w:r w:rsidR="004D06E4" w:rsidRPr="00EE6ED7">
        <w:rPr>
          <w:sz w:val="26"/>
          <w:szCs w:val="26"/>
          <w:rtl/>
        </w:rPr>
        <w:t>)</w:t>
      </w:r>
      <w:r w:rsidR="004D06E4" w:rsidRPr="00EE6ED7" w:rsidDel="004D06E4">
        <w:rPr>
          <w:sz w:val="26"/>
          <w:szCs w:val="26"/>
          <w:rtl/>
        </w:rPr>
        <w:t xml:space="preserve"> </w:t>
      </w:r>
      <w:r w:rsidRPr="00EE6ED7">
        <w:rPr>
          <w:sz w:val="26"/>
          <w:szCs w:val="26"/>
          <w:rtl/>
        </w:rPr>
        <w:t>ללמדך שכיון שנכנסו ישראל לארץ מיד נתחייבו בחלה</w:t>
      </w:r>
      <w:r w:rsidR="00B96777">
        <w:rPr>
          <w:rFonts w:hint="cs"/>
          <w:sz w:val="26"/>
          <w:szCs w:val="26"/>
          <w:rtl/>
        </w:rPr>
        <w:t xml:space="preserve"> (ספרי במדבר, קי</w:t>
      </w:r>
      <w:r w:rsidR="00E57C3F">
        <w:rPr>
          <w:rFonts w:hint="cs"/>
          <w:sz w:val="26"/>
          <w:szCs w:val="26"/>
          <w:rtl/>
        </w:rPr>
        <w:t xml:space="preserve">, מהדורת הורוביץ, עמ' </w:t>
      </w:r>
      <w:r w:rsidR="003626D0">
        <w:rPr>
          <w:rFonts w:hint="cs"/>
          <w:sz w:val="26"/>
          <w:szCs w:val="26"/>
          <w:rtl/>
        </w:rPr>
        <w:t>113</w:t>
      </w:r>
      <w:r w:rsidR="00B96777">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u w:val="single"/>
          <w:rtl/>
        </w:rPr>
        <w:t>שינה הכתוב</w:t>
      </w:r>
      <w:r w:rsidRPr="00EE6ED7">
        <w:rPr>
          <w:sz w:val="26"/>
          <w:szCs w:val="26"/>
          <w:rtl/>
        </w:rPr>
        <w:t xml:space="preserve"> נחלה זו מכל נחלות שבתורה </w:t>
      </w:r>
      <w:r w:rsidRPr="00EE6ED7">
        <w:rPr>
          <w:sz w:val="26"/>
          <w:szCs w:val="26"/>
          <w:u w:val="single"/>
          <w:rtl/>
        </w:rPr>
        <w:t>שבכל</w:t>
      </w:r>
      <w:r w:rsidRPr="00EE6ED7">
        <w:rPr>
          <w:sz w:val="26"/>
          <w:szCs w:val="26"/>
          <w:rtl/>
        </w:rPr>
        <w:t xml:space="preserve"> נחלות שבתורה חיים יורשים את המתים </w:t>
      </w:r>
      <w:r w:rsidRPr="00EE6ED7">
        <w:rPr>
          <w:sz w:val="26"/>
          <w:szCs w:val="26"/>
          <w:u w:val="single"/>
          <w:rtl/>
        </w:rPr>
        <w:t>וכאן</w:t>
      </w:r>
      <w:r w:rsidRPr="00EE6ED7">
        <w:rPr>
          <w:sz w:val="26"/>
          <w:szCs w:val="26"/>
          <w:rtl/>
        </w:rPr>
        <w:t xml:space="preserve"> מתים יורשים את החיים</w:t>
      </w:r>
      <w:r w:rsidR="00B96777">
        <w:rPr>
          <w:rFonts w:hint="cs"/>
          <w:sz w:val="26"/>
          <w:szCs w:val="26"/>
          <w:rtl/>
        </w:rPr>
        <w:t xml:space="preserve"> (ספרי במדבר, קלב</w:t>
      </w:r>
      <w:r w:rsidR="00E57C3F">
        <w:rPr>
          <w:rFonts w:hint="cs"/>
          <w:sz w:val="26"/>
          <w:szCs w:val="26"/>
          <w:rtl/>
        </w:rPr>
        <w:t xml:space="preserve">, שם עמ' </w:t>
      </w:r>
      <w:r w:rsidR="003626D0">
        <w:rPr>
          <w:rFonts w:hint="cs"/>
          <w:sz w:val="26"/>
          <w:szCs w:val="26"/>
          <w:rtl/>
        </w:rPr>
        <w:t>174</w:t>
      </w:r>
      <w:r w:rsidR="00B96777">
        <w:rPr>
          <w:rFonts w:hint="cs"/>
          <w:sz w:val="26"/>
          <w:szCs w:val="26"/>
          <w:rtl/>
        </w:rPr>
        <w:t>)</w:t>
      </w:r>
      <w:r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In these examples, </w:t>
      </w:r>
      <w:r w:rsidRPr="00EE6ED7">
        <w:rPr>
          <w:sz w:val="26"/>
          <w:szCs w:val="26"/>
          <w:rtl/>
        </w:rPr>
        <w:t>ש-</w:t>
      </w:r>
      <w:r w:rsidRPr="00EE6ED7">
        <w:rPr>
          <w:sz w:val="26"/>
          <w:szCs w:val="26"/>
        </w:rPr>
        <w:t xml:space="preserve"> introduces a clause that spells out the referent of </w:t>
      </w:r>
      <w:r w:rsidRPr="00EE6ED7">
        <w:rPr>
          <w:sz w:val="26"/>
          <w:szCs w:val="26"/>
          <w:rtl/>
        </w:rPr>
        <w:t>שינה הכתוב</w:t>
      </w:r>
      <w:r w:rsidRPr="00EE6ED7">
        <w:rPr>
          <w:sz w:val="26"/>
          <w:szCs w:val="26"/>
        </w:rPr>
        <w:t>.</w:t>
      </w:r>
      <w:r w:rsidR="0014624C" w:rsidRPr="00EE6ED7">
        <w:rPr>
          <w:sz w:val="26"/>
          <w:szCs w:val="26"/>
        </w:rPr>
        <w:t xml:space="preserve"> </w:t>
      </w:r>
      <w:r w:rsidRPr="00EE6ED7">
        <w:rPr>
          <w:sz w:val="26"/>
          <w:szCs w:val="26"/>
        </w:rPr>
        <w:t>The main weakness of these parallels, of course, is that they do not involve the precise formula that we are discussing.</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In my opinion, there are a number of reasons for preferring interpretation A:</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(1)</w:t>
      </w:r>
      <w:r w:rsidR="0014624C" w:rsidRPr="00EE6ED7">
        <w:rPr>
          <w:sz w:val="26"/>
          <w:szCs w:val="26"/>
        </w:rPr>
        <w:t xml:space="preserve"> </w:t>
      </w:r>
      <w:r w:rsidRPr="00EE6ED7">
        <w:rPr>
          <w:sz w:val="26"/>
          <w:szCs w:val="26"/>
        </w:rPr>
        <w:t xml:space="preserve">The use of </w:t>
      </w:r>
      <w:r w:rsidRPr="00EE6ED7">
        <w:rPr>
          <w:sz w:val="26"/>
          <w:szCs w:val="26"/>
          <w:rtl/>
        </w:rPr>
        <w:t>וכי מה נשתנה...</w:t>
      </w:r>
      <w:r w:rsidR="003B1435">
        <w:rPr>
          <w:rFonts w:hint="cs"/>
          <w:sz w:val="26"/>
          <w:szCs w:val="26"/>
          <w:rtl/>
        </w:rPr>
        <w:t xml:space="preserve"> </w:t>
      </w:r>
      <w:r w:rsidRPr="00EE6ED7">
        <w:rPr>
          <w:sz w:val="26"/>
          <w:szCs w:val="26"/>
          <w:rtl/>
        </w:rPr>
        <w:t>ל-...</w:t>
      </w:r>
      <w:r w:rsidRPr="00EE6ED7">
        <w:rPr>
          <w:sz w:val="26"/>
          <w:szCs w:val="26"/>
        </w:rPr>
        <w:t xml:space="preserve"> as a variant of </w:t>
      </w:r>
      <w:r w:rsidRPr="00EE6ED7">
        <w:rPr>
          <w:sz w:val="26"/>
          <w:szCs w:val="26"/>
          <w:rtl/>
        </w:rPr>
        <w:t>מה נשתנה...</w:t>
      </w:r>
      <w:r w:rsidR="003B1435">
        <w:rPr>
          <w:rFonts w:hint="cs"/>
          <w:sz w:val="26"/>
          <w:szCs w:val="26"/>
          <w:rtl/>
        </w:rPr>
        <w:t xml:space="preserve"> </w:t>
      </w:r>
      <w:r w:rsidRPr="00EE6ED7">
        <w:rPr>
          <w:sz w:val="26"/>
          <w:szCs w:val="26"/>
          <w:rtl/>
        </w:rPr>
        <w:t>ש</w:t>
      </w:r>
      <w:r w:rsidR="00304017">
        <w:rPr>
          <w:rFonts w:hint="cs"/>
          <w:sz w:val="26"/>
          <w:szCs w:val="26"/>
          <w:rtl/>
        </w:rPr>
        <w:t>-...</w:t>
      </w:r>
      <w:r w:rsidR="000A4652">
        <w:rPr>
          <w:sz w:val="26"/>
          <w:szCs w:val="26"/>
        </w:rPr>
        <w:t xml:space="preserve">. </w:t>
      </w:r>
      <w:r w:rsidRPr="00EE6ED7">
        <w:rPr>
          <w:sz w:val="26"/>
          <w:szCs w:val="26"/>
        </w:rPr>
        <w:t>In this variant, it is clearly impossible to put a period or question mark in the middle (before the infinitive); there is only one sentence.</w:t>
      </w:r>
      <w:r w:rsidR="0014624C" w:rsidRPr="00EE6ED7">
        <w:rPr>
          <w:sz w:val="26"/>
          <w:szCs w:val="26"/>
        </w:rPr>
        <w:t xml:space="preserve"> </w:t>
      </w:r>
      <w:r w:rsidRPr="00EE6ED7">
        <w:rPr>
          <w:sz w:val="26"/>
          <w:szCs w:val="26"/>
        </w:rPr>
        <w:t>However, there is no certainty that this variant reflects authentic tannaitic Hebrew.</w:t>
      </w:r>
      <w:bookmarkStart w:id="9" w:name="_Ref200358136"/>
      <w:r w:rsidRPr="00EE6ED7">
        <w:rPr>
          <w:sz w:val="26"/>
          <w:szCs w:val="26"/>
          <w:vertAlign w:val="superscript"/>
        </w:rPr>
        <w:footnoteReference w:id="62"/>
      </w:r>
      <w:bookmarkEnd w:id="9"/>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(2)</w:t>
      </w:r>
      <w:r w:rsidR="0014624C" w:rsidRPr="00EE6ED7">
        <w:rPr>
          <w:sz w:val="26"/>
          <w:szCs w:val="26"/>
        </w:rPr>
        <w:t xml:space="preserve"> </w:t>
      </w:r>
      <w:r w:rsidRPr="00EE6ED7">
        <w:rPr>
          <w:sz w:val="26"/>
          <w:szCs w:val="26"/>
        </w:rPr>
        <w:t xml:space="preserve">The use of </w:t>
      </w:r>
      <w:r w:rsidRPr="00EE6ED7">
        <w:rPr>
          <w:sz w:val="26"/>
          <w:szCs w:val="26"/>
          <w:rtl/>
        </w:rPr>
        <w:t>מאי שנא</w:t>
      </w:r>
      <w:r w:rsidRPr="00EE6ED7">
        <w:rPr>
          <w:sz w:val="26"/>
          <w:szCs w:val="26"/>
        </w:rPr>
        <w:t xml:space="preserve"> in the Talmud.</w:t>
      </w:r>
      <w:r w:rsidR="0014624C" w:rsidRPr="00EE6ED7">
        <w:rPr>
          <w:sz w:val="26"/>
          <w:szCs w:val="26"/>
        </w:rPr>
        <w:t xml:space="preserve"> </w:t>
      </w:r>
      <w:r w:rsidRPr="00EE6ED7">
        <w:rPr>
          <w:sz w:val="26"/>
          <w:szCs w:val="26"/>
        </w:rPr>
        <w:t xml:space="preserve">It has long been recognized that this expression is a loan-translation of </w:t>
      </w:r>
      <w:r w:rsidRPr="00EE6ED7">
        <w:rPr>
          <w:sz w:val="26"/>
          <w:szCs w:val="26"/>
          <w:rtl/>
        </w:rPr>
        <w:t>מה שנה</w:t>
      </w:r>
      <w:r w:rsidRPr="00EE6ED7">
        <w:rPr>
          <w:sz w:val="26"/>
          <w:szCs w:val="26"/>
        </w:rPr>
        <w:t xml:space="preserve"> in the Mishnah.</w:t>
      </w:r>
      <w:r w:rsidRPr="00EE6ED7">
        <w:rPr>
          <w:sz w:val="26"/>
          <w:szCs w:val="26"/>
          <w:vertAlign w:val="superscript"/>
        </w:rPr>
        <w:footnoteReference w:id="63"/>
      </w:r>
      <w:r w:rsidR="0014624C" w:rsidRPr="00EE6ED7">
        <w:rPr>
          <w:sz w:val="26"/>
          <w:szCs w:val="26"/>
        </w:rPr>
        <w:t xml:space="preserve"> </w:t>
      </w:r>
      <w:r w:rsidRPr="00EE6ED7">
        <w:rPr>
          <w:sz w:val="26"/>
          <w:szCs w:val="26"/>
        </w:rPr>
        <w:t xml:space="preserve">It is therefore significant that </w:t>
      </w:r>
      <w:r w:rsidRPr="00EE6ED7">
        <w:rPr>
          <w:sz w:val="26"/>
          <w:szCs w:val="26"/>
          <w:rtl/>
        </w:rPr>
        <w:t>מאי</w:t>
      </w:r>
      <w:r w:rsidRPr="00EE6ED7">
        <w:rPr>
          <w:sz w:val="26"/>
          <w:szCs w:val="26"/>
        </w:rPr>
        <w:t xml:space="preserve"> in this expression is generally understood to mean “what” rather than “why.”</w:t>
      </w:r>
      <w:r w:rsidR="0014624C" w:rsidRPr="00EE6ED7">
        <w:rPr>
          <w:sz w:val="26"/>
          <w:szCs w:val="26"/>
        </w:rPr>
        <w:t xml:space="preserve"> </w:t>
      </w:r>
      <w:r w:rsidRPr="00EE6ED7">
        <w:rPr>
          <w:sz w:val="26"/>
          <w:szCs w:val="26"/>
        </w:rPr>
        <w:t>The formula</w:t>
      </w:r>
      <w:r w:rsidRPr="00EE6ED7">
        <w:rPr>
          <w:sz w:val="26"/>
          <w:szCs w:val="26"/>
          <w:rtl/>
        </w:rPr>
        <w:t>מאי שנא X ומאי שנא Y</w:t>
      </w:r>
      <w:r w:rsidRPr="00EE6ED7">
        <w:rPr>
          <w:sz w:val="26"/>
          <w:szCs w:val="26"/>
        </w:rPr>
        <w:t xml:space="preserve"> certainly does not mean “why is X different from Y?”</w:t>
      </w:r>
      <w:r w:rsidR="0014624C" w:rsidRPr="00EE6ED7">
        <w:rPr>
          <w:sz w:val="26"/>
          <w:szCs w:val="26"/>
        </w:rPr>
        <w:t xml:space="preserve"> </w:t>
      </w:r>
      <w:r w:rsidRPr="00EE6ED7">
        <w:rPr>
          <w:sz w:val="26"/>
          <w:szCs w:val="26"/>
        </w:rPr>
        <w:t>It means “what is the difference between X and Y?”</w:t>
      </w:r>
    </w:p>
    <w:p w:rsidR="00105DEE" w:rsidRPr="00EE6ED7" w:rsidRDefault="00105DEE" w:rsidP="00DD1E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(3)</w:t>
      </w:r>
      <w:r w:rsidR="0014624C" w:rsidRPr="00EE6ED7">
        <w:rPr>
          <w:sz w:val="26"/>
          <w:szCs w:val="26"/>
        </w:rPr>
        <w:t xml:space="preserve"> </w:t>
      </w:r>
      <w:r w:rsidRPr="00EE6ED7">
        <w:rPr>
          <w:sz w:val="26"/>
          <w:szCs w:val="26"/>
        </w:rPr>
        <w:t xml:space="preserve">The use of </w:t>
      </w:r>
      <w:r w:rsidRPr="00EE6ED7">
        <w:rPr>
          <w:sz w:val="26"/>
          <w:szCs w:val="26"/>
          <w:rtl/>
        </w:rPr>
        <w:t>מה נשתנה</w:t>
      </w:r>
      <w:r w:rsidRPr="00EE6ED7">
        <w:rPr>
          <w:sz w:val="26"/>
          <w:szCs w:val="26"/>
        </w:rPr>
        <w:t xml:space="preserve"> as a rhetorical question (“what difference is there?!”), equivalent to </w:t>
      </w:r>
      <w:r w:rsidRPr="00EE6ED7">
        <w:rPr>
          <w:sz w:val="26"/>
          <w:szCs w:val="26"/>
          <w:rtl/>
        </w:rPr>
        <w:t>לא נשתנה</w:t>
      </w:r>
      <w:r w:rsidRPr="00EE6ED7">
        <w:rPr>
          <w:sz w:val="26"/>
          <w:szCs w:val="26"/>
        </w:rPr>
        <w:t>.</w:t>
      </w:r>
      <w:r w:rsidR="0014624C" w:rsidRPr="00EE6ED7">
        <w:rPr>
          <w:sz w:val="26"/>
          <w:szCs w:val="26"/>
        </w:rPr>
        <w:t xml:space="preserve"> </w:t>
      </w:r>
      <w:r w:rsidRPr="00EE6ED7">
        <w:rPr>
          <w:sz w:val="26"/>
          <w:szCs w:val="26"/>
        </w:rPr>
        <w:t>Some of the examples cited above should probably be understood as rhetorical because they are not followed by any</w:t>
      </w:r>
      <w:r w:rsidR="00DD1E13">
        <w:rPr>
          <w:sz w:val="26"/>
          <w:szCs w:val="26"/>
        </w:rPr>
        <w:t xml:space="preserve"> answer, e.g.,</w:t>
      </w:r>
      <w:r w:rsidRPr="00EE6ED7">
        <w:rPr>
          <w:sz w:val="26"/>
          <w:szCs w:val="26"/>
          <w:rtl/>
        </w:rPr>
        <w:t>לא אחיכם אנחנו, ולא בני אב אחד אנחנו, ולא בני אם אחת אנחנו?</w:t>
      </w:r>
      <w:r w:rsidR="00A82DEE">
        <w:rPr>
          <w:rFonts w:hint="cs"/>
          <w:sz w:val="26"/>
          <w:szCs w:val="26"/>
          <w:rtl/>
        </w:rPr>
        <w:t xml:space="preserve"> </w:t>
      </w:r>
      <w:r w:rsidRPr="00EE6ED7">
        <w:rPr>
          <w:sz w:val="26"/>
          <w:szCs w:val="26"/>
          <w:rtl/>
        </w:rPr>
        <w:t>מה נשתנינו מכל אומה ולשון שאתם גוזרין עלינו גזרות קשות?</w:t>
      </w:r>
      <w:r w:rsidRPr="00EE6ED7">
        <w:rPr>
          <w:sz w:val="26"/>
          <w:szCs w:val="26"/>
          <w:vertAlign w:val="superscript"/>
        </w:rPr>
        <w:footnoteReference w:id="64"/>
      </w:r>
      <w:r w:rsidRPr="00EE6ED7">
        <w:rPr>
          <w:sz w:val="26"/>
          <w:szCs w:val="26"/>
        </w:rPr>
        <w:t xml:space="preserve"> and</w:t>
      </w:r>
      <w:r w:rsidRPr="00EE6ED7">
        <w:rPr>
          <w:sz w:val="26"/>
          <w:szCs w:val="26"/>
          <w:rtl/>
        </w:rPr>
        <w:t>מה נשתנה אבינו מן אפרכוס שנהרג הוא ובניו ולנו הניח? לפיכך אנו חייבים לקלסו</w:t>
      </w:r>
      <w:r w:rsidRPr="00EE6ED7">
        <w:rPr>
          <w:sz w:val="26"/>
          <w:szCs w:val="26"/>
        </w:rPr>
        <w:t>.</w:t>
      </w:r>
      <w:r w:rsidR="0014624C" w:rsidRPr="00EE6ED7">
        <w:rPr>
          <w:sz w:val="26"/>
          <w:szCs w:val="26"/>
        </w:rPr>
        <w:t xml:space="preserve"> </w:t>
      </w:r>
      <w:r w:rsidRPr="00EE6ED7">
        <w:rPr>
          <w:sz w:val="26"/>
          <w:szCs w:val="26"/>
        </w:rPr>
        <w:t xml:space="preserve">In the former example, </w:t>
      </w:r>
      <w:r w:rsidRPr="00EE6ED7">
        <w:rPr>
          <w:sz w:val="26"/>
          <w:szCs w:val="26"/>
          <w:rtl/>
        </w:rPr>
        <w:t>מה נשתנינו</w:t>
      </w:r>
      <w:r w:rsidRPr="00EE6ED7">
        <w:rPr>
          <w:sz w:val="26"/>
          <w:szCs w:val="26"/>
        </w:rPr>
        <w:t xml:space="preserve"> is preceded by another rhetorical question.</w:t>
      </w:r>
      <w:r w:rsidR="0014624C" w:rsidRPr="00EE6ED7">
        <w:rPr>
          <w:sz w:val="26"/>
          <w:szCs w:val="26"/>
        </w:rPr>
        <w:t xml:space="preserve"> </w:t>
      </w:r>
      <w:r w:rsidRPr="00EE6ED7">
        <w:rPr>
          <w:sz w:val="26"/>
          <w:szCs w:val="26"/>
        </w:rPr>
        <w:t xml:space="preserve">In the latter example, the question is followed by a deduction (cf. </w:t>
      </w:r>
      <w:r w:rsidRPr="00EE6ED7">
        <w:rPr>
          <w:sz w:val="26"/>
          <w:szCs w:val="26"/>
          <w:rtl/>
        </w:rPr>
        <w:t>לפיכך</w:t>
      </w:r>
      <w:r w:rsidRPr="00EE6ED7">
        <w:rPr>
          <w:sz w:val="26"/>
          <w:szCs w:val="26"/>
        </w:rPr>
        <w:t xml:space="preserve"> “therefore</w:t>
      </w:r>
      <w:r w:rsidR="00DD1E13">
        <w:rPr>
          <w:sz w:val="26"/>
          <w:szCs w:val="26"/>
        </w:rPr>
        <w:t>”), which makes no sense unless</w:t>
      </w:r>
      <w:r w:rsidRPr="00EE6ED7">
        <w:rPr>
          <w:sz w:val="26"/>
          <w:szCs w:val="26"/>
          <w:rtl/>
        </w:rPr>
        <w:t>מה נשתנה</w:t>
      </w:r>
      <w:r w:rsidRPr="00EE6ED7">
        <w:rPr>
          <w:sz w:val="26"/>
          <w:szCs w:val="26"/>
        </w:rPr>
        <w:t xml:space="preserve"> is equivalent t</w:t>
      </w:r>
      <w:r w:rsidR="0079612B">
        <w:rPr>
          <w:sz w:val="26"/>
          <w:szCs w:val="26"/>
        </w:rPr>
        <w:t xml:space="preserve">o </w:t>
      </w:r>
      <w:r w:rsidRPr="00EE6ED7">
        <w:rPr>
          <w:sz w:val="26"/>
          <w:szCs w:val="26"/>
          <w:rtl/>
        </w:rPr>
        <w:t>לא נשתנה</w:t>
      </w:r>
      <w:r w:rsidRPr="00EE6ED7">
        <w:rPr>
          <w:sz w:val="26"/>
          <w:szCs w:val="26"/>
        </w:rPr>
        <w:t>.</w:t>
      </w:r>
      <w:r w:rsidR="0014624C" w:rsidRPr="00EE6ED7">
        <w:rPr>
          <w:sz w:val="26"/>
          <w:szCs w:val="26"/>
        </w:rPr>
        <w:t xml:space="preserve"> </w:t>
      </w:r>
      <w:r w:rsidRPr="00EE6ED7">
        <w:rPr>
          <w:sz w:val="26"/>
          <w:szCs w:val="26"/>
        </w:rPr>
        <w:t xml:space="preserve">Similarly, the question of R. Johanan b. Nuri in m.Kelim </w:t>
      </w:r>
      <w:smartTag w:uri="urn:schemas-microsoft-com:office:smarttags" w:element="time">
        <w:smartTagPr>
          <w:attr w:name="Hour" w:val="17"/>
          <w:attr w:name="Minute" w:val="14"/>
        </w:smartTagPr>
        <w:r w:rsidRPr="00EE6ED7">
          <w:rPr>
            <w:sz w:val="26"/>
            <w:szCs w:val="26"/>
          </w:rPr>
          <w:t>17:14</w:t>
        </w:r>
      </w:smartTag>
      <w:r w:rsidRPr="00EE6ED7">
        <w:rPr>
          <w:sz w:val="26"/>
          <w:szCs w:val="26"/>
        </w:rPr>
        <w:t xml:space="preserve">, </w:t>
      </w:r>
      <w:r w:rsidRPr="00EE6ED7">
        <w:rPr>
          <w:sz w:val="26"/>
          <w:szCs w:val="26"/>
          <w:rtl/>
        </w:rPr>
        <w:t>מה שנת</w:t>
      </w:r>
      <w:r w:rsidRPr="00EE6ED7">
        <w:rPr>
          <w:sz w:val="26"/>
          <w:szCs w:val="26"/>
          <w:vertAlign w:val="superscript"/>
          <w:rtl/>
        </w:rPr>
        <w:footnoteReference w:id="65"/>
      </w:r>
      <w:r w:rsidRPr="00EE6ED7">
        <w:rPr>
          <w:sz w:val="26"/>
          <w:szCs w:val="26"/>
          <w:rtl/>
        </w:rPr>
        <w:t xml:space="preserve"> כנף העוז מכל כנפים?</w:t>
      </w:r>
      <w:r w:rsidRPr="00EE6ED7">
        <w:rPr>
          <w:sz w:val="26"/>
          <w:szCs w:val="26"/>
        </w:rPr>
        <w:t xml:space="preserve">, clearly means </w:t>
      </w:r>
      <w:r w:rsidRPr="00EE6ED7">
        <w:rPr>
          <w:sz w:val="26"/>
          <w:szCs w:val="26"/>
          <w:rtl/>
        </w:rPr>
        <w:t>לא שנת כנף העוז מכל כנפים</w:t>
      </w:r>
      <w:r w:rsidRPr="00EE6ED7">
        <w:rPr>
          <w:sz w:val="26"/>
          <w:szCs w:val="26"/>
        </w:rPr>
        <w:t>.</w:t>
      </w:r>
      <w:r w:rsidR="0014624C" w:rsidRPr="00EE6ED7">
        <w:rPr>
          <w:sz w:val="26"/>
          <w:szCs w:val="26"/>
        </w:rPr>
        <w:t xml:space="preserve"> </w:t>
      </w:r>
      <w:r w:rsidRPr="00EE6ED7">
        <w:rPr>
          <w:sz w:val="26"/>
          <w:szCs w:val="26"/>
        </w:rPr>
        <w:t xml:space="preserve">The evolution of such a use is easy to understand if the question </w:t>
      </w:r>
      <w:r w:rsidRPr="00EE6ED7">
        <w:rPr>
          <w:sz w:val="26"/>
          <w:szCs w:val="26"/>
          <w:rtl/>
        </w:rPr>
        <w:t>מה נשתנה X</w:t>
      </w:r>
      <w:r w:rsidRPr="00EE6ED7">
        <w:rPr>
          <w:sz w:val="26"/>
          <w:szCs w:val="26"/>
        </w:rPr>
        <w:t xml:space="preserve"> means “what is different about X?”</w:t>
      </w:r>
      <w:r w:rsidR="0079612B">
        <w:rPr>
          <w:sz w:val="26"/>
          <w:szCs w:val="26"/>
        </w:rPr>
        <w:t>,</w:t>
      </w:r>
      <w:r w:rsidRPr="00EE6ED7">
        <w:rPr>
          <w:sz w:val="26"/>
          <w:szCs w:val="26"/>
        </w:rPr>
        <w:t xml:space="preserve"> but not if it means “why is X different?”</w:t>
      </w:r>
      <w:r w:rsidR="0079612B">
        <w:rPr>
          <w:sz w:val="26"/>
          <w:szCs w:val="26"/>
        </w:rPr>
        <w:t>,</w:t>
      </w:r>
      <w:r w:rsidRPr="00EE6ED7">
        <w:rPr>
          <w:sz w:val="26"/>
          <w:szCs w:val="26"/>
          <w:vertAlign w:val="superscript"/>
        </w:rPr>
        <w:footnoteReference w:id="66"/>
      </w:r>
      <w:r w:rsidRPr="00EE6ED7">
        <w:rPr>
          <w:sz w:val="26"/>
          <w:szCs w:val="26"/>
        </w:rPr>
        <w:t xml:space="preserve"> because the latter question normally presupposes that X is indeed different.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(4)</w:t>
      </w:r>
      <w:r w:rsidR="0014624C" w:rsidRPr="00EE6ED7">
        <w:rPr>
          <w:sz w:val="26"/>
          <w:szCs w:val="26"/>
        </w:rPr>
        <w:t xml:space="preserve"> </w:t>
      </w:r>
      <w:r w:rsidRPr="00EE6ED7">
        <w:rPr>
          <w:sz w:val="26"/>
          <w:szCs w:val="26"/>
        </w:rPr>
        <w:t xml:space="preserve">The pre-history of the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w:t>
      </w:r>
      <w:r w:rsidR="0014624C" w:rsidRPr="00EE6ED7">
        <w:rPr>
          <w:sz w:val="26"/>
          <w:szCs w:val="26"/>
        </w:rPr>
        <w:t xml:space="preserve"> </w:t>
      </w:r>
      <w:r w:rsidRPr="00EE6ED7">
        <w:rPr>
          <w:sz w:val="26"/>
          <w:szCs w:val="26"/>
        </w:rPr>
        <w:t xml:space="preserve">That formula derives from—and is a special case of—the biblical </w:t>
      </w:r>
      <w:r w:rsidRPr="00EE6ED7">
        <w:rPr>
          <w:sz w:val="26"/>
          <w:szCs w:val="26"/>
          <w:rtl/>
        </w:rPr>
        <w:t>מה...</w:t>
      </w:r>
      <w:r w:rsidR="003B1435">
        <w:rPr>
          <w:rFonts w:hint="cs"/>
          <w:sz w:val="26"/>
          <w:szCs w:val="26"/>
          <w:rtl/>
        </w:rPr>
        <w:t xml:space="preserve"> </w:t>
      </w:r>
      <w:r w:rsidRPr="00EE6ED7">
        <w:rPr>
          <w:sz w:val="26"/>
          <w:szCs w:val="26"/>
          <w:rtl/>
        </w:rPr>
        <w:t>כי...</w:t>
      </w:r>
      <w:r w:rsidRPr="00EE6ED7">
        <w:rPr>
          <w:sz w:val="26"/>
          <w:szCs w:val="26"/>
        </w:rPr>
        <w:t xml:space="preserve"> formula, in which </w:t>
      </w:r>
      <w:r w:rsidRPr="00EE6ED7">
        <w:rPr>
          <w:sz w:val="26"/>
          <w:szCs w:val="26"/>
          <w:rtl/>
        </w:rPr>
        <w:t>כי</w:t>
      </w:r>
      <w:r w:rsidRPr="00EE6ED7">
        <w:rPr>
          <w:sz w:val="26"/>
          <w:szCs w:val="26"/>
        </w:rPr>
        <w:t xml:space="preserve"> expresses consequence or result</w:t>
      </w:r>
      <w:bookmarkStart w:id="10" w:name="_Ref200357756"/>
      <w:r w:rsidRPr="00EE6ED7">
        <w:rPr>
          <w:sz w:val="26"/>
          <w:szCs w:val="26"/>
          <w:vertAlign w:val="superscript"/>
        </w:rPr>
        <w:footnoteReference w:id="67"/>
      </w:r>
      <w:bookmarkEnd w:id="10"/>
      <w:r w:rsidRPr="00EE6ED7">
        <w:rPr>
          <w:sz w:val="26"/>
          <w:szCs w:val="26"/>
        </w:rPr>
        <w:t xml:space="preserve"> and </w:t>
      </w:r>
      <w:r w:rsidRPr="00EE6ED7">
        <w:rPr>
          <w:sz w:val="26"/>
          <w:szCs w:val="26"/>
          <w:rtl/>
        </w:rPr>
        <w:t>מה</w:t>
      </w:r>
      <w:r w:rsidRPr="00EE6ED7">
        <w:rPr>
          <w:sz w:val="26"/>
          <w:szCs w:val="26"/>
        </w:rPr>
        <w:t xml:space="preserve"> clearly means “what,” not “why.”</w:t>
      </w:r>
      <w:r w:rsidR="0014624C" w:rsidRPr="00EE6ED7">
        <w:rPr>
          <w:sz w:val="26"/>
          <w:szCs w:val="26"/>
        </w:rPr>
        <w:t xml:space="preserve"> </w:t>
      </w:r>
      <w:r w:rsidRPr="00EE6ED7">
        <w:rPr>
          <w:sz w:val="26"/>
          <w:szCs w:val="26"/>
        </w:rPr>
        <w:t>An examination of the various uses of the biblical formula shows how closely it resembles its post-biblical offspring.</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biblical formula is commonly used to ask—indignantly and sometimes rhetorically—what an aggrieved party did to deserve shabby treatment: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righ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CF0EAE">
        <w:rPr>
          <w:sz w:val="26"/>
          <w:szCs w:val="26"/>
          <w:u w:val="single"/>
          <w:rtl/>
        </w:rPr>
        <w:t>ו</w:t>
      </w:r>
      <w:r w:rsidRPr="00EE6ED7">
        <w:rPr>
          <w:sz w:val="26"/>
          <w:szCs w:val="26"/>
          <w:u w:val="single"/>
          <w:rtl/>
        </w:rPr>
        <w:t>מה</w:t>
      </w:r>
      <w:r w:rsidRPr="00EE6ED7">
        <w:rPr>
          <w:sz w:val="26"/>
          <w:szCs w:val="26"/>
          <w:rtl/>
        </w:rPr>
        <w:t xml:space="preserve"> חטאתי לך </w:t>
      </w:r>
      <w:r w:rsidRPr="00EE6ED7">
        <w:rPr>
          <w:sz w:val="26"/>
          <w:szCs w:val="26"/>
          <w:u w:val="single"/>
          <w:rtl/>
        </w:rPr>
        <w:t>כי</w:t>
      </w:r>
      <w:r w:rsidRPr="00EE6ED7">
        <w:rPr>
          <w:sz w:val="26"/>
          <w:szCs w:val="26"/>
          <w:rtl/>
        </w:rPr>
        <w:t xml:space="preserve"> הבאת עלי ועל ממלכתי חטאה גדלה? </w:t>
      </w:r>
      <w:r w:rsidR="0079612B">
        <w:rPr>
          <w:rFonts w:hint="cs"/>
          <w:sz w:val="26"/>
          <w:szCs w:val="26"/>
          <w:rtl/>
        </w:rPr>
        <w:t>(</w:t>
      </w:r>
      <w:r w:rsidR="0079612B" w:rsidRPr="00EE6ED7">
        <w:rPr>
          <w:sz w:val="26"/>
          <w:szCs w:val="26"/>
          <w:rtl/>
        </w:rPr>
        <w:t>בראשית כ</w:t>
      </w:r>
      <w:r w:rsidR="0079612B">
        <w:rPr>
          <w:rFonts w:hint="cs"/>
          <w:sz w:val="26"/>
          <w:szCs w:val="26"/>
          <w:rtl/>
        </w:rPr>
        <w:t xml:space="preserve">, </w:t>
      </w:r>
      <w:r w:rsidR="0079612B" w:rsidRPr="00EE6ED7">
        <w:rPr>
          <w:sz w:val="26"/>
          <w:szCs w:val="26"/>
          <w:rtl/>
        </w:rPr>
        <w:t>ט</w:t>
      </w:r>
      <w:r w:rsidR="0079612B">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ראית </w:t>
      </w:r>
      <w:r w:rsidRPr="00EE6ED7">
        <w:rPr>
          <w:sz w:val="26"/>
          <w:szCs w:val="26"/>
          <w:u w:val="single"/>
          <w:rtl/>
        </w:rPr>
        <w:t>כי</w:t>
      </w:r>
      <w:r w:rsidRPr="00EE6ED7">
        <w:rPr>
          <w:sz w:val="26"/>
          <w:szCs w:val="26"/>
          <w:rtl/>
        </w:rPr>
        <w:t xml:space="preserve"> עשׂית את הדבר הזה?</w:t>
      </w:r>
      <w:r w:rsidR="00CF0EAE">
        <w:rPr>
          <w:rFonts w:hint="cs"/>
          <w:sz w:val="26"/>
          <w:szCs w:val="26"/>
          <w:rtl/>
        </w:rPr>
        <w:t xml:space="preserve"> (</w:t>
      </w:r>
      <w:r w:rsidR="00CF0EAE" w:rsidRPr="00EE6ED7">
        <w:rPr>
          <w:sz w:val="26"/>
          <w:szCs w:val="26"/>
          <w:rtl/>
        </w:rPr>
        <w:t>בראשית כ</w:t>
      </w:r>
      <w:r w:rsidR="00CF0EAE">
        <w:rPr>
          <w:rFonts w:hint="cs"/>
          <w:sz w:val="26"/>
          <w:szCs w:val="26"/>
          <w:rtl/>
        </w:rPr>
        <w:t xml:space="preserve">, </w:t>
      </w:r>
      <w:r w:rsidR="00CF0EAE" w:rsidRPr="00EE6ED7">
        <w:rPr>
          <w:sz w:val="26"/>
          <w:szCs w:val="26"/>
          <w:rtl/>
        </w:rPr>
        <w:t>י</w:t>
      </w:r>
      <w:r w:rsidR="00CF0EAE">
        <w:rPr>
          <w:rFonts w:hint="cs"/>
          <w:sz w:val="26"/>
          <w:szCs w:val="26"/>
          <w:rtl/>
        </w:rPr>
        <w:t>)</w:t>
      </w:r>
    </w:p>
    <w:p w:rsidR="00105DEE" w:rsidRPr="00EE6ED7" w:rsidRDefault="00105DEE" w:rsidP="004563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פשעי </w:t>
      </w:r>
      <w:r w:rsidRPr="00EE6ED7">
        <w:rPr>
          <w:sz w:val="26"/>
          <w:szCs w:val="26"/>
          <w:u w:val="single"/>
          <w:rtl/>
        </w:rPr>
        <w:t>מה</w:t>
      </w:r>
      <w:r w:rsidRPr="00EE6ED7">
        <w:rPr>
          <w:sz w:val="26"/>
          <w:szCs w:val="26"/>
          <w:rtl/>
        </w:rPr>
        <w:t xml:space="preserve"> חַ</w:t>
      </w:r>
      <w:r w:rsidR="0045639F">
        <w:rPr>
          <w:rFonts w:hint="cs"/>
          <w:sz w:val="26"/>
          <w:szCs w:val="26"/>
          <w:rtl/>
        </w:rPr>
        <w:t>ט</w:t>
      </w:r>
      <w:r w:rsidR="0022741D">
        <w:rPr>
          <w:rFonts w:hint="cs"/>
          <w:sz w:val="26"/>
          <w:szCs w:val="26"/>
          <w:rtl/>
        </w:rPr>
        <w:t>ָּ</w:t>
      </w:r>
      <w:r w:rsidRPr="00EE6ED7">
        <w:rPr>
          <w:sz w:val="26"/>
          <w:szCs w:val="26"/>
          <w:rtl/>
        </w:rPr>
        <w:t xml:space="preserve">אתי </w:t>
      </w:r>
      <w:r w:rsidRPr="00EE6ED7">
        <w:rPr>
          <w:sz w:val="26"/>
          <w:szCs w:val="26"/>
          <w:u w:val="single"/>
          <w:rtl/>
        </w:rPr>
        <w:t>כי</w:t>
      </w:r>
      <w:r w:rsidRPr="00EE6ED7">
        <w:rPr>
          <w:sz w:val="26"/>
          <w:szCs w:val="26"/>
          <w:rtl/>
        </w:rPr>
        <w:t xml:space="preserve"> דלקת אחרי?</w:t>
      </w:r>
      <w:r w:rsidR="00CF0EAE">
        <w:rPr>
          <w:rFonts w:hint="cs"/>
          <w:sz w:val="26"/>
          <w:szCs w:val="26"/>
          <w:rtl/>
        </w:rPr>
        <w:t xml:space="preserve"> (</w:t>
      </w:r>
      <w:r w:rsidR="00CF0EAE" w:rsidRPr="00EE6ED7">
        <w:rPr>
          <w:sz w:val="26"/>
          <w:szCs w:val="26"/>
          <w:rtl/>
        </w:rPr>
        <w:t>בראשית לא</w:t>
      </w:r>
      <w:r w:rsidR="00CF0EAE">
        <w:rPr>
          <w:rFonts w:hint="cs"/>
          <w:sz w:val="26"/>
          <w:szCs w:val="26"/>
          <w:rtl/>
        </w:rPr>
        <w:t xml:space="preserve">, </w:t>
      </w:r>
      <w:r w:rsidR="00CF0EAE" w:rsidRPr="00EE6ED7">
        <w:rPr>
          <w:sz w:val="26"/>
          <w:szCs w:val="26"/>
          <w:rtl/>
        </w:rPr>
        <w:t>לו</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עשה לך העם הזה </w:t>
      </w:r>
      <w:r w:rsidRPr="00EE6ED7">
        <w:rPr>
          <w:sz w:val="26"/>
          <w:szCs w:val="26"/>
          <w:u w:val="single"/>
          <w:rtl/>
        </w:rPr>
        <w:t>כי</w:t>
      </w:r>
      <w:r w:rsidRPr="00EE6ED7">
        <w:rPr>
          <w:sz w:val="26"/>
          <w:szCs w:val="26"/>
          <w:rtl/>
        </w:rPr>
        <w:t xml:space="preserve"> הבאת עליו חטאה גדלה? </w:t>
      </w:r>
      <w:r w:rsidR="00CF0EAE">
        <w:rPr>
          <w:rFonts w:hint="cs"/>
          <w:sz w:val="26"/>
          <w:szCs w:val="26"/>
          <w:rtl/>
        </w:rPr>
        <w:t>(</w:t>
      </w:r>
      <w:r w:rsidR="00CF0EAE" w:rsidRPr="00EE6ED7">
        <w:rPr>
          <w:sz w:val="26"/>
          <w:szCs w:val="26"/>
          <w:rtl/>
        </w:rPr>
        <w:t>שמות לב</w:t>
      </w:r>
      <w:r w:rsidR="00CF0EAE">
        <w:rPr>
          <w:rFonts w:hint="cs"/>
          <w:sz w:val="26"/>
          <w:szCs w:val="26"/>
          <w:rtl/>
        </w:rPr>
        <w:t xml:space="preserve">, </w:t>
      </w:r>
      <w:r w:rsidR="00CF0EAE" w:rsidRPr="00EE6ED7">
        <w:rPr>
          <w:sz w:val="26"/>
          <w:szCs w:val="26"/>
          <w:rtl/>
        </w:rPr>
        <w:t>כא</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עשיתי לך </w:t>
      </w:r>
      <w:r w:rsidRPr="00EE6ED7">
        <w:rPr>
          <w:sz w:val="26"/>
          <w:szCs w:val="26"/>
          <w:u w:val="single"/>
          <w:rtl/>
        </w:rPr>
        <w:t>כי</w:t>
      </w:r>
      <w:r w:rsidRPr="00EE6ED7">
        <w:rPr>
          <w:sz w:val="26"/>
          <w:szCs w:val="26"/>
          <w:rtl/>
        </w:rPr>
        <w:t xml:space="preserve"> הכיתני זה שלש רגלים? </w:t>
      </w:r>
      <w:r w:rsidR="00CF0EAE">
        <w:rPr>
          <w:rFonts w:hint="cs"/>
          <w:sz w:val="26"/>
          <w:szCs w:val="26"/>
          <w:rtl/>
        </w:rPr>
        <w:t>(</w:t>
      </w:r>
      <w:r w:rsidR="00CF0EAE" w:rsidRPr="00EE6ED7">
        <w:rPr>
          <w:sz w:val="26"/>
          <w:szCs w:val="26"/>
          <w:rtl/>
        </w:rPr>
        <w:t>במדבר כב</w:t>
      </w:r>
      <w:r w:rsidR="00CF0EAE">
        <w:rPr>
          <w:rFonts w:hint="cs"/>
          <w:sz w:val="26"/>
          <w:szCs w:val="26"/>
          <w:rtl/>
        </w:rPr>
        <w:t xml:space="preserve">, </w:t>
      </w:r>
      <w:r w:rsidR="00CF0EAE" w:rsidRPr="00EE6ED7">
        <w:rPr>
          <w:sz w:val="26"/>
          <w:szCs w:val="26"/>
          <w:rtl/>
        </w:rPr>
        <w:t>כח</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w:t>
      </w:r>
      <w:r w:rsidRPr="00EE6ED7">
        <w:rPr>
          <w:sz w:val="26"/>
          <w:szCs w:val="26"/>
          <w:rtl/>
        </w:rPr>
        <w:t xml:space="preserve"> לי ולך </w:t>
      </w:r>
      <w:r w:rsidRPr="00EE6ED7">
        <w:rPr>
          <w:sz w:val="26"/>
          <w:szCs w:val="26"/>
          <w:u w:val="single"/>
          <w:rtl/>
        </w:rPr>
        <w:t>כי</w:t>
      </w:r>
      <w:r w:rsidRPr="00EE6ED7">
        <w:rPr>
          <w:sz w:val="26"/>
          <w:szCs w:val="26"/>
          <w:rtl/>
        </w:rPr>
        <w:t xml:space="preserve"> באת אלי להלחם בארצי?</w:t>
      </w:r>
      <w:r w:rsidR="00CF0EAE">
        <w:rPr>
          <w:rFonts w:hint="cs"/>
          <w:sz w:val="26"/>
          <w:szCs w:val="26"/>
          <w:rtl/>
        </w:rPr>
        <w:t xml:space="preserve"> (</w:t>
      </w:r>
      <w:r w:rsidR="00CF0EAE" w:rsidRPr="00EE6ED7">
        <w:rPr>
          <w:sz w:val="26"/>
          <w:szCs w:val="26"/>
          <w:rtl/>
        </w:rPr>
        <w:t>שופטים יא</w:t>
      </w:r>
      <w:r w:rsidR="00CF0EAE">
        <w:rPr>
          <w:rFonts w:hint="cs"/>
          <w:sz w:val="26"/>
          <w:szCs w:val="26"/>
          <w:rtl/>
        </w:rPr>
        <w:t xml:space="preserve">, </w:t>
      </w:r>
      <w:r w:rsidR="00CF0EAE" w:rsidRPr="00EE6ED7">
        <w:rPr>
          <w:sz w:val="26"/>
          <w:szCs w:val="26"/>
          <w:rtl/>
        </w:rPr>
        <w:t>יב</w:t>
      </w:r>
      <w:r w:rsidR="00CF0EAE">
        <w:rPr>
          <w:rFonts w:hint="cs"/>
          <w:sz w:val="26"/>
          <w:szCs w:val="26"/>
          <w:rtl/>
        </w:rPr>
        <w:t>)</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עשיתי </w:t>
      </w:r>
      <w:r w:rsidRPr="00EE6ED7">
        <w:rPr>
          <w:sz w:val="26"/>
          <w:szCs w:val="26"/>
          <w:u w:val="single"/>
          <w:rtl/>
        </w:rPr>
        <w:t>מה</w:t>
      </w:r>
      <w:r w:rsidRPr="00EE6ED7">
        <w:rPr>
          <w:sz w:val="26"/>
          <w:szCs w:val="26"/>
          <w:rtl/>
        </w:rPr>
        <w:t xml:space="preserve"> עוני </w:t>
      </w:r>
      <w:r w:rsidRPr="00EE6ED7">
        <w:rPr>
          <w:sz w:val="26"/>
          <w:szCs w:val="26"/>
          <w:u w:val="single"/>
          <w:rtl/>
        </w:rPr>
        <w:t>ומה</w:t>
      </w:r>
      <w:r w:rsidR="0022741D">
        <w:rPr>
          <w:sz w:val="26"/>
          <w:szCs w:val="26"/>
          <w:rtl/>
        </w:rPr>
        <w:t xml:space="preserve"> חַ</w:t>
      </w:r>
      <w:r w:rsidR="0022741D">
        <w:rPr>
          <w:rFonts w:hint="cs"/>
          <w:sz w:val="26"/>
          <w:szCs w:val="26"/>
          <w:rtl/>
        </w:rPr>
        <w:t>טָּ</w:t>
      </w:r>
      <w:r w:rsidRPr="00EE6ED7">
        <w:rPr>
          <w:sz w:val="26"/>
          <w:szCs w:val="26"/>
          <w:rtl/>
        </w:rPr>
        <w:t xml:space="preserve">אתי לפני אביך </w:t>
      </w:r>
      <w:r w:rsidRPr="00EE6ED7">
        <w:rPr>
          <w:sz w:val="26"/>
          <w:szCs w:val="26"/>
          <w:u w:val="single"/>
          <w:rtl/>
        </w:rPr>
        <w:t>כי</w:t>
      </w:r>
      <w:r w:rsidRPr="00EE6ED7">
        <w:rPr>
          <w:sz w:val="26"/>
          <w:szCs w:val="26"/>
          <w:rtl/>
        </w:rPr>
        <w:t xml:space="preserve"> מבקש את נפשי?</w:t>
      </w:r>
      <w:r w:rsidR="00CF0EAE">
        <w:rPr>
          <w:rFonts w:hint="cs"/>
          <w:sz w:val="26"/>
          <w:szCs w:val="26"/>
          <w:rtl/>
        </w:rPr>
        <w:t xml:space="preserve"> (</w:t>
      </w:r>
      <w:r w:rsidR="00CF0EAE" w:rsidRPr="00EE6ED7">
        <w:rPr>
          <w:sz w:val="26"/>
          <w:szCs w:val="26"/>
          <w:rtl/>
        </w:rPr>
        <w:t>שמו</w:t>
      </w:r>
      <w:r w:rsidR="00CF0EAE">
        <w:rPr>
          <w:rFonts w:hint="cs"/>
          <w:sz w:val="26"/>
          <w:szCs w:val="26"/>
          <w:rtl/>
        </w:rPr>
        <w:t>"</w:t>
      </w:r>
      <w:r w:rsidR="00CF0EAE" w:rsidRPr="00EE6ED7">
        <w:rPr>
          <w:sz w:val="26"/>
          <w:szCs w:val="26"/>
          <w:rtl/>
        </w:rPr>
        <w:t>א</w:t>
      </w:r>
      <w:r w:rsidR="00CF0EAE">
        <w:rPr>
          <w:rFonts w:hint="cs"/>
          <w:sz w:val="26"/>
          <w:szCs w:val="26"/>
          <w:rtl/>
        </w:rPr>
        <w:t xml:space="preserve"> </w:t>
      </w:r>
      <w:r w:rsidR="00CF0EAE" w:rsidRPr="00EE6ED7">
        <w:rPr>
          <w:sz w:val="26"/>
          <w:szCs w:val="26"/>
          <w:rtl/>
        </w:rPr>
        <w:t>כ</w:t>
      </w:r>
      <w:r w:rsidR="00CF0EAE">
        <w:rPr>
          <w:rFonts w:hint="cs"/>
          <w:sz w:val="26"/>
          <w:szCs w:val="26"/>
          <w:rtl/>
        </w:rPr>
        <w:t>,</w:t>
      </w:r>
      <w:r w:rsidR="00CF0EAE" w:rsidRPr="00EE6ED7">
        <w:rPr>
          <w:sz w:val="26"/>
          <w:szCs w:val="26"/>
          <w:rtl/>
        </w:rPr>
        <w:t xml:space="preserve"> א</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w:t>
      </w:r>
      <w:r w:rsidRPr="00EE6ED7">
        <w:rPr>
          <w:sz w:val="26"/>
          <w:szCs w:val="26"/>
          <w:rtl/>
        </w:rPr>
        <w:t xml:space="preserve"> עשיתי </w:t>
      </w:r>
      <w:r w:rsidRPr="00EE6ED7">
        <w:rPr>
          <w:sz w:val="26"/>
          <w:szCs w:val="26"/>
          <w:u w:val="single"/>
          <w:rtl/>
        </w:rPr>
        <w:t>ומה</w:t>
      </w:r>
      <w:r w:rsidRPr="00EE6ED7">
        <w:rPr>
          <w:sz w:val="26"/>
          <w:szCs w:val="26"/>
          <w:rtl/>
        </w:rPr>
        <w:t xml:space="preserve"> מצאת בעבדך מיום אשר הייתי לפניך עד היום הזה </w:t>
      </w:r>
      <w:r w:rsidRPr="00EE6ED7">
        <w:rPr>
          <w:sz w:val="26"/>
          <w:szCs w:val="26"/>
          <w:u w:val="single"/>
          <w:rtl/>
        </w:rPr>
        <w:t>כי</w:t>
      </w:r>
      <w:r w:rsidRPr="00EE6ED7">
        <w:rPr>
          <w:sz w:val="26"/>
          <w:szCs w:val="26"/>
          <w:rtl/>
        </w:rPr>
        <w:t xml:space="preserve"> לא אבוא ונלחמתי באיבי אדני המלך?</w:t>
      </w:r>
      <w:r w:rsidR="00CF0EAE">
        <w:rPr>
          <w:rFonts w:hint="cs"/>
          <w:sz w:val="26"/>
          <w:szCs w:val="26"/>
          <w:rtl/>
        </w:rPr>
        <w:t xml:space="preserve"> (</w:t>
      </w:r>
      <w:r w:rsidR="00CF0EAE" w:rsidRPr="00EE6ED7">
        <w:rPr>
          <w:sz w:val="26"/>
          <w:szCs w:val="26"/>
          <w:rtl/>
        </w:rPr>
        <w:t>שמו</w:t>
      </w:r>
      <w:r w:rsidR="00CF0EAE">
        <w:rPr>
          <w:rFonts w:hint="cs"/>
          <w:sz w:val="26"/>
          <w:szCs w:val="26"/>
          <w:rtl/>
        </w:rPr>
        <w:t xml:space="preserve">"א </w:t>
      </w:r>
      <w:r w:rsidR="00CF0EAE" w:rsidRPr="00EE6ED7">
        <w:rPr>
          <w:sz w:val="26"/>
          <w:szCs w:val="26"/>
          <w:rtl/>
        </w:rPr>
        <w:t>כט</w:t>
      </w:r>
      <w:r w:rsidR="00CF0EAE">
        <w:rPr>
          <w:rFonts w:hint="cs"/>
          <w:sz w:val="26"/>
          <w:szCs w:val="26"/>
          <w:rtl/>
        </w:rPr>
        <w:t xml:space="preserve">, </w:t>
      </w:r>
      <w:r w:rsidR="00CF0EAE" w:rsidRPr="00EE6ED7">
        <w:rPr>
          <w:sz w:val="26"/>
          <w:szCs w:val="26"/>
          <w:rtl/>
        </w:rPr>
        <w:t>ח</w:t>
      </w:r>
      <w:r w:rsidR="00CF0EAE">
        <w:rPr>
          <w:rFonts w:hint="cs"/>
          <w:sz w:val="26"/>
          <w:szCs w:val="26"/>
          <w:rtl/>
        </w:rPr>
        <w:t>)</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לי ולכם בני צרויה </w:t>
      </w:r>
      <w:r w:rsidRPr="00EE6ED7">
        <w:rPr>
          <w:sz w:val="26"/>
          <w:szCs w:val="26"/>
          <w:u w:val="single"/>
          <w:rtl/>
        </w:rPr>
        <w:t>כי</w:t>
      </w:r>
      <w:r w:rsidRPr="00EE6ED7">
        <w:rPr>
          <w:sz w:val="26"/>
          <w:szCs w:val="26"/>
          <w:rtl/>
        </w:rPr>
        <w:t xml:space="preserve"> תהיו לי היום לשטן?</w:t>
      </w:r>
      <w:r w:rsidR="00CF0EAE">
        <w:rPr>
          <w:rFonts w:hint="cs"/>
          <w:sz w:val="26"/>
          <w:szCs w:val="26"/>
          <w:rtl/>
        </w:rPr>
        <w:t xml:space="preserve"> (שמו"ב יט, כג)</w:t>
      </w:r>
    </w:p>
    <w:p w:rsidR="00105DEE" w:rsidRPr="00EE6ED7" w:rsidRDefault="00105DEE" w:rsidP="00CF0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חָטָאתי </w:t>
      </w:r>
      <w:r w:rsidRPr="00EE6ED7">
        <w:rPr>
          <w:sz w:val="26"/>
          <w:szCs w:val="26"/>
          <w:u w:val="single"/>
          <w:rtl/>
        </w:rPr>
        <w:t>כי</w:t>
      </w:r>
      <w:r w:rsidRPr="00EE6ED7">
        <w:rPr>
          <w:sz w:val="26"/>
          <w:szCs w:val="26"/>
          <w:rtl/>
        </w:rPr>
        <w:t xml:space="preserve"> אתה נתן את עבדך ביד אחאב להמיתני?</w:t>
      </w:r>
      <w:r w:rsidR="00CF0EAE">
        <w:rPr>
          <w:rFonts w:hint="cs"/>
          <w:sz w:val="26"/>
          <w:szCs w:val="26"/>
          <w:rtl/>
        </w:rPr>
        <w:t xml:space="preserve"> (</w:t>
      </w:r>
      <w:r w:rsidR="00CF0EAE" w:rsidRPr="00EE6ED7">
        <w:rPr>
          <w:sz w:val="26"/>
          <w:szCs w:val="26"/>
          <w:rtl/>
        </w:rPr>
        <w:t>מל</w:t>
      </w:r>
      <w:r w:rsidR="00CF0EAE">
        <w:rPr>
          <w:rFonts w:hint="cs"/>
          <w:sz w:val="26"/>
          <w:szCs w:val="26"/>
          <w:rtl/>
        </w:rPr>
        <w:t>"א</w:t>
      </w:r>
      <w:r w:rsidR="00CF0EAE" w:rsidRPr="00EE6ED7">
        <w:rPr>
          <w:sz w:val="26"/>
          <w:szCs w:val="26"/>
          <w:rtl/>
        </w:rPr>
        <w:t xml:space="preserve"> יח</w:t>
      </w:r>
      <w:r w:rsidR="00CF0EAE">
        <w:rPr>
          <w:rFonts w:hint="cs"/>
          <w:sz w:val="26"/>
          <w:szCs w:val="26"/>
          <w:rtl/>
        </w:rPr>
        <w:t xml:space="preserve">, </w:t>
      </w:r>
      <w:r w:rsidR="00CF0EAE" w:rsidRPr="00EE6ED7">
        <w:rPr>
          <w:sz w:val="26"/>
          <w:szCs w:val="26"/>
          <w:rtl/>
        </w:rPr>
        <w:t>ט</w:t>
      </w:r>
      <w:r w:rsidR="00CF0EAE">
        <w:rPr>
          <w:rFonts w:hint="cs"/>
          <w:sz w:val="26"/>
          <w:szCs w:val="26"/>
          <w:rtl/>
        </w:rPr>
        <w:t>)</w:t>
      </w:r>
    </w:p>
    <w:p w:rsidR="00105DEE" w:rsidRPr="00EE6ED7" w:rsidRDefault="00105DEE" w:rsidP="00CF0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מצאו אבותיכם בי עול </w:t>
      </w:r>
      <w:r w:rsidRPr="00EE6ED7">
        <w:rPr>
          <w:sz w:val="26"/>
          <w:szCs w:val="26"/>
          <w:u w:val="single"/>
          <w:rtl/>
        </w:rPr>
        <w:t>כי</w:t>
      </w:r>
      <w:r w:rsidRPr="00EE6ED7">
        <w:rPr>
          <w:sz w:val="26"/>
          <w:szCs w:val="26"/>
          <w:rtl/>
        </w:rPr>
        <w:t xml:space="preserve"> רחקו מעלי וילכו אחרי ההבל ויהבלו? </w:t>
      </w:r>
      <w:r w:rsidR="00CF0EAE">
        <w:rPr>
          <w:rFonts w:hint="cs"/>
          <w:sz w:val="26"/>
          <w:szCs w:val="26"/>
          <w:rtl/>
        </w:rPr>
        <w:t>(</w:t>
      </w:r>
      <w:r w:rsidR="00CF0EAE" w:rsidRPr="00EE6ED7">
        <w:rPr>
          <w:sz w:val="26"/>
          <w:szCs w:val="26"/>
          <w:rtl/>
        </w:rPr>
        <w:t xml:space="preserve">ירמיהו </w:t>
      </w:r>
      <w:r w:rsidR="00CF0EAE">
        <w:rPr>
          <w:rFonts w:hint="cs"/>
          <w:sz w:val="26"/>
          <w:szCs w:val="26"/>
          <w:rtl/>
        </w:rPr>
        <w:t>ב, ה)</w:t>
      </w:r>
    </w:p>
    <w:p w:rsidR="00105DEE" w:rsidRPr="00EE6ED7" w:rsidRDefault="00105DEE" w:rsidP="00971E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w:t>
      </w:r>
      <w:r w:rsidR="00971E65" w:rsidRPr="00EE6ED7">
        <w:rPr>
          <w:sz w:val="26"/>
          <w:szCs w:val="26"/>
          <w:rtl/>
        </w:rPr>
        <w:t xml:space="preserve">חָטָאתי </w:t>
      </w:r>
      <w:r w:rsidRPr="00EE6ED7">
        <w:rPr>
          <w:sz w:val="26"/>
          <w:szCs w:val="26"/>
          <w:rtl/>
        </w:rPr>
        <w:t xml:space="preserve">לך ולעבדיך ולעם הזה </w:t>
      </w:r>
      <w:r w:rsidRPr="00EE6ED7">
        <w:rPr>
          <w:sz w:val="26"/>
          <w:szCs w:val="26"/>
          <w:u w:val="single"/>
          <w:rtl/>
        </w:rPr>
        <w:t>כי</w:t>
      </w:r>
      <w:r w:rsidRPr="00EE6ED7">
        <w:rPr>
          <w:sz w:val="26"/>
          <w:szCs w:val="26"/>
          <w:rtl/>
        </w:rPr>
        <w:t xml:space="preserve"> נתתם אותי אל בית הכלא? </w:t>
      </w:r>
      <w:r w:rsidR="00CF0EAE">
        <w:rPr>
          <w:rFonts w:hint="cs"/>
          <w:sz w:val="26"/>
          <w:szCs w:val="26"/>
          <w:rtl/>
        </w:rPr>
        <w:t>(ירמיהו לז, יח)</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412B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The relationship between these biblical questions and the rabbinic questions cited above is clear.</w:t>
      </w:r>
      <w:r w:rsidR="0014624C" w:rsidRPr="00EE6ED7">
        <w:rPr>
          <w:sz w:val="26"/>
          <w:szCs w:val="26"/>
        </w:rPr>
        <w:t xml:space="preserve"> </w:t>
      </w:r>
      <w:r w:rsidRPr="00EE6ED7">
        <w:rPr>
          <w:sz w:val="26"/>
          <w:szCs w:val="26"/>
        </w:rPr>
        <w:t>A question like</w:t>
      </w:r>
      <w:r w:rsidRPr="00EE6ED7">
        <w:rPr>
          <w:sz w:val="26"/>
          <w:szCs w:val="26"/>
          <w:rtl/>
        </w:rPr>
        <w:t>מה עשיתי לך כי הכיתני זה שלש רגלים?</w:t>
      </w:r>
      <w:r w:rsidRPr="00EE6ED7">
        <w:rPr>
          <w:sz w:val="26"/>
          <w:szCs w:val="26"/>
        </w:rPr>
        <w:t xml:space="preserve"> is very similar to</w:t>
      </w:r>
      <w:r w:rsidRPr="00EE6ED7">
        <w:rPr>
          <w:sz w:val="26"/>
          <w:szCs w:val="26"/>
          <w:rtl/>
        </w:rPr>
        <w:t>מה נשתנינו מכל אומה ולשון שאתם גוזרין עלינו גז</w:t>
      </w:r>
      <w:r w:rsidR="00971E65">
        <w:rPr>
          <w:rFonts w:hint="cs"/>
          <w:sz w:val="26"/>
          <w:szCs w:val="26"/>
          <w:rtl/>
        </w:rPr>
        <w:t>י</w:t>
      </w:r>
      <w:r w:rsidRPr="00EE6ED7">
        <w:rPr>
          <w:sz w:val="26"/>
          <w:szCs w:val="26"/>
          <w:rtl/>
        </w:rPr>
        <w:t>רות קשות/רעות?</w:t>
      </w:r>
      <w:r w:rsidRPr="00EE6ED7">
        <w:rPr>
          <w:sz w:val="26"/>
          <w:szCs w:val="26"/>
        </w:rPr>
        <w:t>.</w:t>
      </w:r>
      <w:r w:rsidR="0014624C" w:rsidRPr="00EE6ED7">
        <w:rPr>
          <w:sz w:val="26"/>
          <w:szCs w:val="26"/>
        </w:rPr>
        <w:t xml:space="preserve"> </w:t>
      </w:r>
      <w:r w:rsidRPr="00EE6ED7">
        <w:rPr>
          <w:sz w:val="26"/>
          <w:szCs w:val="26"/>
        </w:rPr>
        <w:t xml:space="preserve">Just as the rhetorical </w:t>
      </w:r>
      <w:r w:rsidRPr="00EE6ED7">
        <w:rPr>
          <w:sz w:val="26"/>
          <w:szCs w:val="26"/>
          <w:rtl/>
        </w:rPr>
        <w:t>מה נשתנה...</w:t>
      </w:r>
      <w:r w:rsidR="003B1435">
        <w:rPr>
          <w:rFonts w:hint="cs"/>
          <w:sz w:val="26"/>
          <w:szCs w:val="26"/>
          <w:rtl/>
        </w:rPr>
        <w:t xml:space="preserve"> </w:t>
      </w:r>
      <w:r w:rsidRPr="00EE6ED7">
        <w:rPr>
          <w:sz w:val="26"/>
          <w:szCs w:val="26"/>
          <w:rtl/>
        </w:rPr>
        <w:t>ש</w:t>
      </w:r>
      <w:r w:rsidR="0022741D">
        <w:rPr>
          <w:rFonts w:hint="cs"/>
          <w:sz w:val="26"/>
          <w:szCs w:val="26"/>
          <w:rtl/>
        </w:rPr>
        <w:t>-...</w:t>
      </w:r>
      <w:r w:rsidRPr="00EE6ED7">
        <w:rPr>
          <w:sz w:val="26"/>
          <w:szCs w:val="26"/>
        </w:rPr>
        <w:t xml:space="preserve"> in the latter is equivalent to </w:t>
      </w:r>
      <w:r w:rsidRPr="00EE6ED7">
        <w:rPr>
          <w:sz w:val="26"/>
          <w:szCs w:val="26"/>
          <w:rtl/>
        </w:rPr>
        <w:t>לא נשתנה...</w:t>
      </w:r>
      <w:r w:rsidR="003B1435">
        <w:rPr>
          <w:rFonts w:hint="cs"/>
          <w:sz w:val="26"/>
          <w:szCs w:val="26"/>
          <w:rtl/>
        </w:rPr>
        <w:t xml:space="preserve"> </w:t>
      </w:r>
      <w:r w:rsidRPr="00EE6ED7">
        <w:rPr>
          <w:sz w:val="26"/>
          <w:szCs w:val="26"/>
          <w:rtl/>
        </w:rPr>
        <w:t>ש</w:t>
      </w:r>
      <w:r w:rsidR="0022741D">
        <w:rPr>
          <w:rFonts w:hint="cs"/>
          <w:sz w:val="26"/>
          <w:szCs w:val="26"/>
          <w:rtl/>
        </w:rPr>
        <w:t>-...</w:t>
      </w:r>
      <w:r w:rsidRPr="00EE6ED7">
        <w:rPr>
          <w:sz w:val="26"/>
          <w:szCs w:val="26"/>
        </w:rPr>
        <w:t xml:space="preserve">, the rhetorical </w:t>
      </w:r>
      <w:r w:rsidRPr="00EE6ED7">
        <w:rPr>
          <w:sz w:val="26"/>
          <w:szCs w:val="26"/>
          <w:rtl/>
        </w:rPr>
        <w:t>מה עשיתי...</w:t>
      </w:r>
      <w:r w:rsidR="003B1435">
        <w:rPr>
          <w:rFonts w:hint="cs"/>
          <w:sz w:val="26"/>
          <w:szCs w:val="26"/>
          <w:rtl/>
        </w:rPr>
        <w:t xml:space="preserve"> </w:t>
      </w:r>
      <w:r w:rsidRPr="00EE6ED7">
        <w:rPr>
          <w:sz w:val="26"/>
          <w:szCs w:val="26"/>
          <w:rtl/>
        </w:rPr>
        <w:t>כי...</w:t>
      </w:r>
      <w:r w:rsidRPr="00EE6ED7">
        <w:rPr>
          <w:sz w:val="26"/>
          <w:szCs w:val="26"/>
        </w:rPr>
        <w:t xml:space="preserve"> in the former is equivalent to </w:t>
      </w:r>
      <w:r w:rsidRPr="00EE6ED7">
        <w:rPr>
          <w:sz w:val="26"/>
          <w:szCs w:val="26"/>
          <w:rtl/>
        </w:rPr>
        <w:t>לא עשיתי...</w:t>
      </w:r>
      <w:r w:rsidR="003B1435">
        <w:rPr>
          <w:rFonts w:hint="cs"/>
          <w:sz w:val="26"/>
          <w:szCs w:val="26"/>
          <w:rtl/>
        </w:rPr>
        <w:t xml:space="preserve"> </w:t>
      </w:r>
      <w:r w:rsidRPr="00EE6ED7">
        <w:rPr>
          <w:sz w:val="26"/>
          <w:szCs w:val="26"/>
          <w:rtl/>
        </w:rPr>
        <w:t>כ</w:t>
      </w:r>
      <w:r w:rsidR="0022741D">
        <w:rPr>
          <w:rFonts w:hint="cs"/>
          <w:sz w:val="26"/>
          <w:szCs w:val="26"/>
          <w:rtl/>
        </w:rPr>
        <w:t>י...</w:t>
      </w:r>
      <w:r w:rsidR="003B1435">
        <w:rPr>
          <w:sz w:val="26"/>
          <w:szCs w:val="26"/>
        </w:rPr>
        <w:t xml:space="preserve"> in a declarative sentence like</w:t>
      </w:r>
      <w:r w:rsidRPr="00EE6ED7">
        <w:rPr>
          <w:sz w:val="26"/>
          <w:szCs w:val="26"/>
          <w:rtl/>
        </w:rPr>
        <w:t>לא עשיתי מאומה כי שמו אתי בבור</w:t>
      </w:r>
      <w:r w:rsidRPr="00EE6ED7">
        <w:rPr>
          <w:sz w:val="26"/>
          <w:szCs w:val="26"/>
        </w:rPr>
        <w:t xml:space="preserve"> (Gen 40:15).</w:t>
      </w:r>
      <w:r w:rsidRPr="00EE6ED7">
        <w:rPr>
          <w:sz w:val="26"/>
          <w:szCs w:val="26"/>
          <w:vertAlign w:val="superscript"/>
        </w:rPr>
        <w:footnoteReference w:id="68"/>
      </w:r>
      <w:r w:rsidR="0014624C"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biblical formula is frequently used (alongside </w:t>
      </w:r>
      <w:r w:rsidRPr="00EE6ED7">
        <w:rPr>
          <w:sz w:val="26"/>
          <w:szCs w:val="26"/>
          <w:rtl/>
        </w:rPr>
        <w:t>מי...</w:t>
      </w:r>
      <w:r w:rsidR="003B1435">
        <w:rPr>
          <w:rFonts w:hint="cs"/>
          <w:sz w:val="26"/>
          <w:szCs w:val="26"/>
          <w:rtl/>
        </w:rPr>
        <w:t xml:space="preserve"> </w:t>
      </w:r>
      <w:r w:rsidRPr="00EE6ED7">
        <w:rPr>
          <w:sz w:val="26"/>
          <w:szCs w:val="26"/>
          <w:rtl/>
        </w:rPr>
        <w:t>כי...</w:t>
      </w:r>
      <w:r w:rsidRPr="00EE6ED7">
        <w:rPr>
          <w:sz w:val="26"/>
          <w:szCs w:val="26"/>
        </w:rPr>
        <w:t>) in deprecatory questions: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rtl/>
        </w:rPr>
        <w:t xml:space="preserve">ונחנו </w:t>
      </w:r>
      <w:r w:rsidRPr="00EE6ED7">
        <w:rPr>
          <w:sz w:val="26"/>
          <w:szCs w:val="26"/>
          <w:u w:val="single"/>
          <w:rtl/>
        </w:rPr>
        <w:t>מה</w:t>
      </w:r>
      <w:r w:rsidRPr="00EE6ED7">
        <w:rPr>
          <w:sz w:val="26"/>
          <w:szCs w:val="26"/>
          <w:rtl/>
        </w:rPr>
        <w:t xml:space="preserve"> </w:t>
      </w:r>
      <w:r w:rsidRPr="00EE6ED7">
        <w:rPr>
          <w:sz w:val="26"/>
          <w:szCs w:val="26"/>
          <w:u w:val="single"/>
          <w:rtl/>
        </w:rPr>
        <w:t>כי</w:t>
      </w:r>
      <w:r w:rsidRPr="00EE6ED7">
        <w:rPr>
          <w:sz w:val="26"/>
          <w:szCs w:val="26"/>
          <w:rtl/>
        </w:rPr>
        <w:t xml:space="preserve"> תלינו עלינו?</w:t>
      </w:r>
      <w:r w:rsidR="00CF0EAE">
        <w:rPr>
          <w:rFonts w:hint="cs"/>
          <w:sz w:val="26"/>
          <w:szCs w:val="26"/>
          <w:rtl/>
        </w:rPr>
        <w:t xml:space="preserve"> (</w:t>
      </w:r>
      <w:r w:rsidR="00CF0EAE" w:rsidRPr="00EE6ED7">
        <w:rPr>
          <w:sz w:val="26"/>
          <w:szCs w:val="26"/>
          <w:rtl/>
        </w:rPr>
        <w:t>שמות טז</w:t>
      </w:r>
      <w:r w:rsidR="00CF0EAE">
        <w:rPr>
          <w:rFonts w:hint="cs"/>
          <w:sz w:val="26"/>
          <w:szCs w:val="26"/>
          <w:rtl/>
        </w:rPr>
        <w:t xml:space="preserve">, </w:t>
      </w:r>
      <w:r w:rsidR="00CF0EAE" w:rsidRPr="00EE6ED7">
        <w:rPr>
          <w:sz w:val="26"/>
          <w:szCs w:val="26"/>
          <w:rtl/>
        </w:rPr>
        <w:t>ז</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rtl/>
        </w:rPr>
        <w:t xml:space="preserve">ואהרן </w:t>
      </w:r>
      <w:r w:rsidRPr="00EE6ED7">
        <w:rPr>
          <w:sz w:val="26"/>
          <w:szCs w:val="26"/>
          <w:u w:val="single"/>
          <w:rtl/>
        </w:rPr>
        <w:t>מה</w:t>
      </w:r>
      <w:r w:rsidRPr="00EE6ED7">
        <w:rPr>
          <w:sz w:val="26"/>
          <w:szCs w:val="26"/>
          <w:rtl/>
        </w:rPr>
        <w:t xml:space="preserve"> הוא </w:t>
      </w:r>
      <w:r w:rsidRPr="00EE6ED7">
        <w:rPr>
          <w:sz w:val="26"/>
          <w:szCs w:val="26"/>
          <w:u w:val="single"/>
          <w:rtl/>
        </w:rPr>
        <w:t>כי</w:t>
      </w:r>
      <w:r w:rsidRPr="00EE6ED7">
        <w:rPr>
          <w:sz w:val="26"/>
          <w:szCs w:val="26"/>
          <w:rtl/>
        </w:rPr>
        <w:t xml:space="preserve"> תלינו עליו? </w:t>
      </w:r>
      <w:r w:rsidR="00CF0EAE">
        <w:rPr>
          <w:rFonts w:hint="cs"/>
          <w:sz w:val="26"/>
          <w:szCs w:val="26"/>
          <w:rtl/>
        </w:rPr>
        <w:t>(</w:t>
      </w:r>
      <w:r w:rsidR="00CF0EAE" w:rsidRPr="00EE6ED7">
        <w:rPr>
          <w:sz w:val="26"/>
          <w:szCs w:val="26"/>
          <w:rtl/>
        </w:rPr>
        <w:t>במדבר טז</w:t>
      </w:r>
      <w:r w:rsidR="00CF0EAE">
        <w:rPr>
          <w:rFonts w:hint="cs"/>
          <w:sz w:val="26"/>
          <w:szCs w:val="26"/>
          <w:rtl/>
        </w:rPr>
        <w:t xml:space="preserve">, </w:t>
      </w:r>
      <w:r w:rsidR="00CF0EAE" w:rsidRPr="00EE6ED7">
        <w:rPr>
          <w:sz w:val="26"/>
          <w:szCs w:val="26"/>
          <w:rtl/>
        </w:rPr>
        <w:t>יא</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עבדך </w:t>
      </w:r>
      <w:r w:rsidRPr="00EE6ED7">
        <w:rPr>
          <w:sz w:val="26"/>
          <w:szCs w:val="26"/>
          <w:u w:val="single"/>
          <w:rtl/>
        </w:rPr>
        <w:t>כי</w:t>
      </w:r>
      <w:r w:rsidRPr="00EE6ED7">
        <w:rPr>
          <w:sz w:val="26"/>
          <w:szCs w:val="26"/>
          <w:rtl/>
        </w:rPr>
        <w:t xml:space="preserve"> פנית אל הכלב המת אשר כמוני? </w:t>
      </w:r>
      <w:r w:rsidR="00CF0EAE">
        <w:rPr>
          <w:rFonts w:hint="cs"/>
          <w:sz w:val="26"/>
          <w:szCs w:val="26"/>
          <w:rtl/>
        </w:rPr>
        <w:t>(</w:t>
      </w:r>
      <w:r w:rsidR="00CF0EAE" w:rsidRPr="00EE6ED7">
        <w:rPr>
          <w:sz w:val="26"/>
          <w:szCs w:val="26"/>
          <w:rtl/>
        </w:rPr>
        <w:t>שמו</w:t>
      </w:r>
      <w:r w:rsidR="00CF0EAE">
        <w:rPr>
          <w:rFonts w:hint="cs"/>
          <w:sz w:val="26"/>
          <w:szCs w:val="26"/>
          <w:rtl/>
        </w:rPr>
        <w:t>"</w:t>
      </w:r>
      <w:r w:rsidR="00CF0EAE" w:rsidRPr="00EE6ED7">
        <w:rPr>
          <w:sz w:val="26"/>
          <w:szCs w:val="26"/>
          <w:rtl/>
        </w:rPr>
        <w:t>ב ט</w:t>
      </w:r>
      <w:r w:rsidR="00CF0EAE">
        <w:rPr>
          <w:rFonts w:hint="cs"/>
          <w:sz w:val="26"/>
          <w:szCs w:val="26"/>
          <w:rtl/>
        </w:rPr>
        <w:t xml:space="preserve">, </w:t>
      </w:r>
      <w:r w:rsidR="00CF0EAE" w:rsidRPr="00EE6ED7">
        <w:rPr>
          <w:sz w:val="26"/>
          <w:szCs w:val="26"/>
          <w:rtl/>
        </w:rPr>
        <w:t>ח</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u w:val="single"/>
          <w:rtl/>
        </w:rPr>
        <w:t>מה</w:t>
      </w:r>
      <w:r w:rsidRPr="00EE6ED7">
        <w:rPr>
          <w:sz w:val="26"/>
          <w:szCs w:val="26"/>
          <w:rtl/>
        </w:rPr>
        <w:t xml:space="preserve"> עבדך הכלב </w:t>
      </w:r>
      <w:r w:rsidRPr="00EE6ED7">
        <w:rPr>
          <w:sz w:val="26"/>
          <w:szCs w:val="26"/>
          <w:u w:val="single"/>
          <w:rtl/>
        </w:rPr>
        <w:t>כי</w:t>
      </w:r>
      <w:r w:rsidRPr="00EE6ED7">
        <w:rPr>
          <w:sz w:val="26"/>
          <w:szCs w:val="26"/>
          <w:rtl/>
        </w:rPr>
        <w:t xml:space="preserve"> יעשה הדבר הגדול הזה?</w:t>
      </w:r>
      <w:r w:rsidRPr="00EE6ED7">
        <w:rPr>
          <w:sz w:val="26"/>
          <w:szCs w:val="26"/>
          <w:vertAlign w:val="superscript"/>
        </w:rPr>
        <w:footnoteReference w:id="69"/>
      </w:r>
      <w:r w:rsidR="00CF0EAE">
        <w:rPr>
          <w:rFonts w:hint="cs"/>
          <w:sz w:val="26"/>
          <w:szCs w:val="26"/>
          <w:rtl/>
        </w:rPr>
        <w:t xml:space="preserve"> (מל"ב </w:t>
      </w:r>
      <w:r w:rsidR="00CF0EAE" w:rsidRPr="00EE6ED7">
        <w:rPr>
          <w:sz w:val="26"/>
          <w:szCs w:val="26"/>
          <w:rtl/>
        </w:rPr>
        <w:t>ח</w:t>
      </w:r>
      <w:r w:rsidR="00CF0EAE">
        <w:rPr>
          <w:rFonts w:hint="cs"/>
          <w:sz w:val="26"/>
          <w:szCs w:val="26"/>
          <w:rtl/>
        </w:rPr>
        <w:t xml:space="preserve">, </w:t>
      </w:r>
      <w:r w:rsidR="00CF0EAE" w:rsidRPr="00EE6ED7">
        <w:rPr>
          <w:sz w:val="26"/>
          <w:szCs w:val="26"/>
          <w:rtl/>
        </w:rPr>
        <w:t>יג</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אנוש </w:t>
      </w:r>
      <w:r w:rsidRPr="00EE6ED7">
        <w:rPr>
          <w:sz w:val="26"/>
          <w:szCs w:val="26"/>
          <w:u w:val="single"/>
          <w:rtl/>
        </w:rPr>
        <w:t>כי</w:t>
      </w:r>
      <w:r w:rsidRPr="00EE6ED7">
        <w:rPr>
          <w:sz w:val="26"/>
          <w:szCs w:val="26"/>
          <w:rtl/>
        </w:rPr>
        <w:t xml:space="preserve"> תזכרנו ובן אדם </w:t>
      </w:r>
      <w:r w:rsidRPr="00EE6ED7">
        <w:rPr>
          <w:sz w:val="26"/>
          <w:szCs w:val="26"/>
          <w:u w:val="single"/>
          <w:rtl/>
        </w:rPr>
        <w:t>כי</w:t>
      </w:r>
      <w:r w:rsidRPr="00EE6ED7">
        <w:rPr>
          <w:sz w:val="26"/>
          <w:szCs w:val="26"/>
          <w:rtl/>
        </w:rPr>
        <w:t xml:space="preserve"> תפקדנו? </w:t>
      </w:r>
      <w:r w:rsidR="00CF0EAE">
        <w:rPr>
          <w:rFonts w:hint="cs"/>
          <w:sz w:val="26"/>
          <w:szCs w:val="26"/>
          <w:rtl/>
        </w:rPr>
        <w:t>(</w:t>
      </w:r>
      <w:r w:rsidR="00CF0EAE" w:rsidRPr="00EE6ED7">
        <w:rPr>
          <w:sz w:val="26"/>
          <w:szCs w:val="26"/>
          <w:rtl/>
        </w:rPr>
        <w:t>תהלים ח</w:t>
      </w:r>
      <w:r w:rsidR="00CF0EAE">
        <w:rPr>
          <w:rFonts w:hint="cs"/>
          <w:sz w:val="26"/>
          <w:szCs w:val="26"/>
          <w:rtl/>
        </w:rPr>
        <w:t>,</w:t>
      </w:r>
      <w:r w:rsidR="00CF0EAE" w:rsidRPr="00EE6ED7">
        <w:rPr>
          <w:sz w:val="26"/>
          <w:szCs w:val="26"/>
          <w:rtl/>
        </w:rPr>
        <w:t xml:space="preserve"> ה</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כחי </w:t>
      </w:r>
      <w:r w:rsidRPr="00EE6ED7">
        <w:rPr>
          <w:sz w:val="26"/>
          <w:szCs w:val="26"/>
          <w:u w:val="single"/>
          <w:rtl/>
        </w:rPr>
        <w:t>כי</w:t>
      </w:r>
      <w:r w:rsidRPr="00EE6ED7">
        <w:rPr>
          <w:sz w:val="26"/>
          <w:szCs w:val="26"/>
          <w:rtl/>
        </w:rPr>
        <w:t xml:space="preserve"> איחל </w:t>
      </w:r>
      <w:r w:rsidRPr="00EE6ED7">
        <w:rPr>
          <w:sz w:val="26"/>
          <w:szCs w:val="26"/>
          <w:u w:val="single"/>
          <w:rtl/>
        </w:rPr>
        <w:t>ומה</w:t>
      </w:r>
      <w:r w:rsidRPr="00EE6ED7">
        <w:rPr>
          <w:sz w:val="26"/>
          <w:szCs w:val="26"/>
          <w:rtl/>
        </w:rPr>
        <w:t xml:space="preserve"> קצי </w:t>
      </w:r>
      <w:r w:rsidRPr="00EE6ED7">
        <w:rPr>
          <w:sz w:val="26"/>
          <w:szCs w:val="26"/>
          <w:u w:val="single"/>
          <w:rtl/>
        </w:rPr>
        <w:t>כי</w:t>
      </w:r>
      <w:r w:rsidRPr="00EE6ED7">
        <w:rPr>
          <w:sz w:val="26"/>
          <w:szCs w:val="26"/>
          <w:rtl/>
        </w:rPr>
        <w:t xml:space="preserve"> אאריך נפשי? </w:t>
      </w:r>
      <w:r w:rsidR="00CF0EAE">
        <w:rPr>
          <w:rFonts w:hint="cs"/>
          <w:sz w:val="26"/>
          <w:szCs w:val="26"/>
          <w:rtl/>
        </w:rPr>
        <w:t>(</w:t>
      </w:r>
      <w:r w:rsidR="00CF0EAE" w:rsidRPr="00EE6ED7">
        <w:rPr>
          <w:sz w:val="26"/>
          <w:szCs w:val="26"/>
          <w:rtl/>
        </w:rPr>
        <w:t>איוב ו</w:t>
      </w:r>
      <w:r w:rsidR="00CF0EAE">
        <w:rPr>
          <w:rFonts w:hint="cs"/>
          <w:sz w:val="26"/>
          <w:szCs w:val="26"/>
          <w:rtl/>
        </w:rPr>
        <w:t xml:space="preserve">, </w:t>
      </w:r>
      <w:r w:rsidR="00CF0EAE" w:rsidRPr="00EE6ED7">
        <w:rPr>
          <w:sz w:val="26"/>
          <w:szCs w:val="26"/>
          <w:rtl/>
        </w:rPr>
        <w:t>יא</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אנוש </w:t>
      </w:r>
      <w:r w:rsidRPr="00EE6ED7">
        <w:rPr>
          <w:sz w:val="26"/>
          <w:szCs w:val="26"/>
          <w:u w:val="single"/>
          <w:rtl/>
        </w:rPr>
        <w:t>כי</w:t>
      </w:r>
      <w:r w:rsidRPr="00EE6ED7">
        <w:rPr>
          <w:sz w:val="26"/>
          <w:szCs w:val="26"/>
          <w:rtl/>
        </w:rPr>
        <w:t xml:space="preserve"> תגדלנו </w:t>
      </w:r>
      <w:r w:rsidRPr="00EE6ED7">
        <w:rPr>
          <w:sz w:val="26"/>
          <w:szCs w:val="26"/>
          <w:u w:val="single"/>
          <w:rtl/>
        </w:rPr>
        <w:t>וכי</w:t>
      </w:r>
      <w:r w:rsidRPr="00EE6ED7">
        <w:rPr>
          <w:sz w:val="26"/>
          <w:szCs w:val="26"/>
          <w:rtl/>
        </w:rPr>
        <w:t xml:space="preserve"> תשית אליו לבך? </w:t>
      </w:r>
      <w:r w:rsidR="00CF0EAE">
        <w:rPr>
          <w:rFonts w:hint="cs"/>
          <w:sz w:val="26"/>
          <w:szCs w:val="26"/>
          <w:rtl/>
        </w:rPr>
        <w:t>(</w:t>
      </w:r>
      <w:r w:rsidR="00CF0EAE" w:rsidRPr="00EE6ED7">
        <w:rPr>
          <w:sz w:val="26"/>
          <w:szCs w:val="26"/>
          <w:rtl/>
        </w:rPr>
        <w:t>איוב ז</w:t>
      </w:r>
      <w:r w:rsidR="00CF0EAE">
        <w:rPr>
          <w:rFonts w:hint="cs"/>
          <w:sz w:val="26"/>
          <w:szCs w:val="26"/>
          <w:rtl/>
        </w:rPr>
        <w:t>,</w:t>
      </w:r>
      <w:r w:rsidR="00CF0EAE" w:rsidRPr="00EE6ED7">
        <w:rPr>
          <w:sz w:val="26"/>
          <w:szCs w:val="26"/>
          <w:rtl/>
        </w:rPr>
        <w:t xml:space="preserve"> יז</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אנוש </w:t>
      </w:r>
      <w:r w:rsidRPr="00EE6ED7">
        <w:rPr>
          <w:sz w:val="26"/>
          <w:szCs w:val="26"/>
          <w:u w:val="single"/>
          <w:rtl/>
        </w:rPr>
        <w:t>כי</w:t>
      </w:r>
      <w:r w:rsidRPr="00EE6ED7">
        <w:rPr>
          <w:sz w:val="26"/>
          <w:szCs w:val="26"/>
          <w:rtl/>
        </w:rPr>
        <w:t xml:space="preserve"> יזכה </w:t>
      </w:r>
      <w:r w:rsidRPr="00EE6ED7">
        <w:rPr>
          <w:sz w:val="26"/>
          <w:szCs w:val="26"/>
          <w:u w:val="single"/>
          <w:rtl/>
        </w:rPr>
        <w:t>וכי</w:t>
      </w:r>
      <w:r w:rsidRPr="00EE6ED7">
        <w:rPr>
          <w:sz w:val="26"/>
          <w:szCs w:val="26"/>
          <w:rtl/>
        </w:rPr>
        <w:t xml:space="preserve"> יצדק ילוד אשה? </w:t>
      </w:r>
      <w:r w:rsidR="00CF0EAE">
        <w:rPr>
          <w:rFonts w:hint="cs"/>
          <w:sz w:val="26"/>
          <w:szCs w:val="26"/>
          <w:rtl/>
        </w:rPr>
        <w:t>(</w:t>
      </w:r>
      <w:r w:rsidR="00CF0EAE" w:rsidRPr="00EE6ED7">
        <w:rPr>
          <w:sz w:val="26"/>
          <w:szCs w:val="26"/>
          <w:rtl/>
        </w:rPr>
        <w:t>איוב טו</w:t>
      </w:r>
      <w:r w:rsidR="00CF0EAE">
        <w:rPr>
          <w:rFonts w:hint="cs"/>
          <w:sz w:val="26"/>
          <w:szCs w:val="26"/>
          <w:rtl/>
        </w:rPr>
        <w:t>,</w:t>
      </w:r>
      <w:r w:rsidR="00CF0EAE" w:rsidRPr="00EE6ED7">
        <w:rPr>
          <w:sz w:val="26"/>
          <w:szCs w:val="26"/>
          <w:rtl/>
        </w:rPr>
        <w:t xml:space="preserve"> יד</w:t>
      </w:r>
      <w:r w:rsidR="00CF0EA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u w:val="single"/>
          <w:rtl/>
        </w:rPr>
        <w:t>מה</w:t>
      </w:r>
      <w:r w:rsidRPr="00EE6ED7">
        <w:rPr>
          <w:sz w:val="26"/>
          <w:szCs w:val="26"/>
          <w:rtl/>
        </w:rPr>
        <w:t xml:space="preserve"> שדי </w:t>
      </w:r>
      <w:r w:rsidRPr="00EE6ED7">
        <w:rPr>
          <w:sz w:val="26"/>
          <w:szCs w:val="26"/>
          <w:u w:val="single"/>
          <w:rtl/>
        </w:rPr>
        <w:t>כי</w:t>
      </w:r>
      <w:r w:rsidRPr="00EE6ED7">
        <w:rPr>
          <w:sz w:val="26"/>
          <w:szCs w:val="26"/>
          <w:rtl/>
        </w:rPr>
        <w:t xml:space="preserve"> נעבדנו?</w:t>
      </w:r>
      <w:r w:rsidR="00CF0EAE">
        <w:rPr>
          <w:rFonts w:hint="cs"/>
          <w:sz w:val="26"/>
          <w:szCs w:val="26"/>
          <w:rtl/>
        </w:rPr>
        <w:t xml:space="preserve"> (</w:t>
      </w:r>
      <w:r w:rsidR="00CF0EAE" w:rsidRPr="00EE6ED7">
        <w:rPr>
          <w:sz w:val="26"/>
          <w:szCs w:val="26"/>
          <w:rtl/>
        </w:rPr>
        <w:t>איוב כא</w:t>
      </w:r>
      <w:r w:rsidR="00CF0EAE">
        <w:rPr>
          <w:rFonts w:hint="cs"/>
          <w:sz w:val="26"/>
          <w:szCs w:val="26"/>
          <w:rtl/>
        </w:rPr>
        <w:t xml:space="preserve">, </w:t>
      </w:r>
      <w:r w:rsidR="00CF0EAE" w:rsidRPr="00EE6ED7">
        <w:rPr>
          <w:sz w:val="26"/>
          <w:szCs w:val="26"/>
          <w:rtl/>
        </w:rPr>
        <w:t>טו</w:t>
      </w:r>
      <w:r w:rsidR="00CF0EAE">
        <w:rPr>
          <w:rFonts w:hint="cs"/>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CF0EA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According to Ibn Jana</w:t>
      </w:r>
      <w:r w:rsidR="008A2B4A" w:rsidRPr="00CF0EAE">
        <w:rPr>
          <w:rFonts w:ascii="CalSemitic" w:hAnsi="CalSemitic"/>
          <w:sz w:val="28"/>
          <w:szCs w:val="26"/>
        </w:rPr>
        <w:t>x</w:t>
      </w:r>
      <w:r w:rsidRPr="00EE6ED7">
        <w:rPr>
          <w:sz w:val="26"/>
          <w:szCs w:val="26"/>
        </w:rPr>
        <w:t xml:space="preserve">, </w:t>
      </w:r>
      <w:r w:rsidRPr="00EE6ED7">
        <w:rPr>
          <w:sz w:val="26"/>
          <w:szCs w:val="26"/>
          <w:rtl/>
        </w:rPr>
        <w:t>כי</w:t>
      </w:r>
      <w:r w:rsidRPr="00EE6ED7">
        <w:rPr>
          <w:sz w:val="26"/>
          <w:szCs w:val="26"/>
        </w:rPr>
        <w:t xml:space="preserve"> in such examples has the meaning of Arabic </w:t>
      </w:r>
      <w:r w:rsidR="008A2B4A" w:rsidRPr="00347FDA">
        <w:rPr>
          <w:rFonts w:ascii="CalSemitic" w:hAnsi="CalSemitic"/>
          <w:i/>
          <w:spacing w:val="20"/>
          <w:sz w:val="28"/>
          <w:szCs w:val="26"/>
        </w:rPr>
        <w:t>x</w:t>
      </w:r>
      <w:r w:rsidRPr="00347FDA">
        <w:rPr>
          <w:i/>
          <w:spacing w:val="20"/>
          <w:sz w:val="26"/>
          <w:szCs w:val="26"/>
        </w:rPr>
        <w:t>a</w:t>
      </w:r>
      <w:r w:rsidRPr="00EE6ED7">
        <w:rPr>
          <w:i/>
          <w:sz w:val="26"/>
          <w:szCs w:val="26"/>
        </w:rPr>
        <w:t>ttā</w:t>
      </w:r>
      <w:r w:rsidRPr="00EE6ED7">
        <w:rPr>
          <w:sz w:val="26"/>
          <w:szCs w:val="26"/>
        </w:rPr>
        <w:t xml:space="preserve"> “so that,” used “for disparaging a thing” (</w:t>
      </w:r>
      <w:r w:rsidRPr="00EE6ED7">
        <w:rPr>
          <w:sz w:val="26"/>
          <w:szCs w:val="26"/>
          <w:rtl/>
        </w:rPr>
        <w:t>במעני חתי</w:t>
      </w:r>
      <w:r w:rsidR="000A4652">
        <w:rPr>
          <w:sz w:val="26"/>
          <w:szCs w:val="26"/>
          <w:rtl/>
        </w:rPr>
        <w:t xml:space="preserve">... </w:t>
      </w:r>
      <w:r w:rsidRPr="00EE6ED7">
        <w:rPr>
          <w:sz w:val="26"/>
          <w:szCs w:val="26"/>
          <w:rtl/>
        </w:rPr>
        <w:t>עלי</w:t>
      </w:r>
      <w:r w:rsidR="00CF0EAE">
        <w:rPr>
          <w:sz w:val="26"/>
          <w:szCs w:val="26"/>
        </w:rPr>
        <w:br/>
      </w:r>
      <w:r w:rsidRPr="00EE6ED7">
        <w:rPr>
          <w:sz w:val="26"/>
          <w:szCs w:val="26"/>
          <w:rtl/>
        </w:rPr>
        <w:t>סביל אלתחקיר ללשי</w:t>
      </w:r>
      <w:r w:rsidRPr="00EE6ED7">
        <w:rPr>
          <w:sz w:val="26"/>
          <w:szCs w:val="26"/>
        </w:rPr>
        <w:t xml:space="preserve">, Ibn Tibbon: </w:t>
      </w:r>
      <w:r w:rsidRPr="00EE6ED7">
        <w:rPr>
          <w:sz w:val="26"/>
          <w:szCs w:val="26"/>
          <w:rtl/>
        </w:rPr>
        <w:t>ענינו עד</w:t>
      </w:r>
      <w:r w:rsidR="000A4652">
        <w:rPr>
          <w:sz w:val="26"/>
          <w:szCs w:val="26"/>
          <w:rtl/>
        </w:rPr>
        <w:t xml:space="preserve">... </w:t>
      </w:r>
      <w:r w:rsidRPr="00EE6ED7">
        <w:rPr>
          <w:sz w:val="26"/>
          <w:szCs w:val="26"/>
          <w:rtl/>
        </w:rPr>
        <w:t>על דרך הבזות הדבר</w:t>
      </w:r>
      <w:r w:rsidRPr="00EE6ED7">
        <w:rPr>
          <w:sz w:val="26"/>
          <w:szCs w:val="26"/>
        </w:rPr>
        <w:t>).</w:t>
      </w:r>
      <w:r w:rsidRPr="00EE6ED7">
        <w:rPr>
          <w:sz w:val="26"/>
          <w:szCs w:val="26"/>
          <w:vertAlign w:val="superscript"/>
        </w:rPr>
        <w:footnoteReference w:id="70"/>
      </w:r>
      <w:r w:rsidR="0014624C" w:rsidRPr="00EE6ED7">
        <w:rPr>
          <w:sz w:val="26"/>
          <w:szCs w:val="26"/>
        </w:rPr>
        <w:t xml:space="preserve"> </w:t>
      </w:r>
      <w:r w:rsidRPr="00EE6ED7">
        <w:rPr>
          <w:sz w:val="26"/>
          <w:szCs w:val="26"/>
        </w:rPr>
        <w:t xml:space="preserve">Note the multiple </w:t>
      </w:r>
      <w:r w:rsidRPr="00EE6ED7">
        <w:rPr>
          <w:sz w:val="26"/>
          <w:szCs w:val="26"/>
          <w:rtl/>
        </w:rPr>
        <w:t>כי</w:t>
      </w:r>
      <w:r w:rsidRPr="00EE6ED7">
        <w:rPr>
          <w:sz w:val="26"/>
          <w:szCs w:val="26"/>
        </w:rPr>
        <w:t xml:space="preserve">-clauses in Job </w:t>
      </w:r>
      <w:smartTag w:uri="urn:schemas-microsoft-com:office:smarttags" w:element="time">
        <w:smartTagPr>
          <w:attr w:name="Minute" w:val="17"/>
          <w:attr w:name="Hour" w:val="7"/>
        </w:smartTagPr>
        <w:r w:rsidRPr="00EE6ED7">
          <w:rPr>
            <w:sz w:val="26"/>
            <w:szCs w:val="26"/>
          </w:rPr>
          <w:t>7:17</w:t>
        </w:r>
      </w:smartTag>
      <w:r w:rsidRPr="00EE6ED7">
        <w:rPr>
          <w:sz w:val="26"/>
          <w:szCs w:val="26"/>
        </w:rPr>
        <w:t xml:space="preserve"> (cf. Exod </w:t>
      </w:r>
      <w:smartTag w:uri="urn:schemas-microsoft-com:office:smarttags" w:element="time">
        <w:smartTagPr>
          <w:attr w:name="Minute" w:val="11"/>
          <w:attr w:name="Hour" w:val="3"/>
        </w:smartTagPr>
        <w:r w:rsidRPr="00EE6ED7">
          <w:rPr>
            <w:sz w:val="26"/>
            <w:szCs w:val="26"/>
          </w:rPr>
          <w:t>3:11</w:t>
        </w:r>
      </w:smartTag>
      <w:r w:rsidRPr="00EE6ED7">
        <w:rPr>
          <w:sz w:val="26"/>
          <w:szCs w:val="26"/>
        </w:rPr>
        <w:t xml:space="preserve">), paralleling the multiple </w:t>
      </w:r>
      <w:r w:rsidRPr="00EE6ED7">
        <w:rPr>
          <w:sz w:val="26"/>
          <w:szCs w:val="26"/>
          <w:rtl/>
        </w:rPr>
        <w:t>ש</w:t>
      </w:r>
      <w:r w:rsidRPr="00EE6ED7">
        <w:rPr>
          <w:sz w:val="26"/>
          <w:szCs w:val="26"/>
        </w:rPr>
        <w:t xml:space="preserve">-clauses in </w:t>
      </w:r>
      <w:r w:rsidRPr="00EE6ED7">
        <w:rPr>
          <w:sz w:val="26"/>
          <w:szCs w:val="26"/>
          <w:rtl/>
        </w:rPr>
        <w:t>מה נשתנה</w:t>
      </w:r>
      <w:r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Finally, the biblical </w:t>
      </w:r>
      <w:r w:rsidRPr="00EE6ED7">
        <w:rPr>
          <w:sz w:val="26"/>
          <w:szCs w:val="26"/>
          <w:rtl/>
        </w:rPr>
        <w:t>מה...</w:t>
      </w:r>
      <w:r w:rsidR="003B1435">
        <w:rPr>
          <w:rFonts w:hint="cs"/>
          <w:sz w:val="26"/>
          <w:szCs w:val="26"/>
          <w:rtl/>
        </w:rPr>
        <w:t xml:space="preserve"> </w:t>
      </w:r>
      <w:r w:rsidRPr="00EE6ED7">
        <w:rPr>
          <w:sz w:val="26"/>
          <w:szCs w:val="26"/>
          <w:rtl/>
        </w:rPr>
        <w:t>כי...</w:t>
      </w:r>
      <w:r w:rsidRPr="00EE6ED7">
        <w:rPr>
          <w:sz w:val="26"/>
          <w:szCs w:val="26"/>
        </w:rPr>
        <w:t xml:space="preserve"> formula can be used in asking for an explanation of aberrant behavior (“what is the matter with X that...”):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לך </w:t>
      </w:r>
      <w:r w:rsidRPr="00EE6ED7">
        <w:rPr>
          <w:sz w:val="26"/>
          <w:szCs w:val="26"/>
          <w:u w:val="single"/>
          <w:rtl/>
        </w:rPr>
        <w:t>כי</w:t>
      </w:r>
      <w:r w:rsidRPr="00EE6ED7">
        <w:rPr>
          <w:sz w:val="26"/>
          <w:szCs w:val="26"/>
          <w:rtl/>
        </w:rPr>
        <w:t xml:space="preserve"> נזעקת? </w:t>
      </w:r>
      <w:r w:rsidR="00F24DDE">
        <w:rPr>
          <w:rFonts w:hint="cs"/>
          <w:sz w:val="26"/>
          <w:szCs w:val="26"/>
          <w:rtl/>
        </w:rPr>
        <w:t>(</w:t>
      </w:r>
      <w:r w:rsidR="00F24DDE" w:rsidRPr="00EE6ED7">
        <w:rPr>
          <w:sz w:val="26"/>
          <w:szCs w:val="26"/>
          <w:rtl/>
        </w:rPr>
        <w:t>שופטים יח</w:t>
      </w:r>
      <w:r w:rsidR="00F24DDE">
        <w:rPr>
          <w:rFonts w:hint="cs"/>
          <w:sz w:val="26"/>
          <w:szCs w:val="26"/>
          <w:rtl/>
        </w:rPr>
        <w:t xml:space="preserve">, </w:t>
      </w:r>
      <w:r w:rsidR="00F24DDE" w:rsidRPr="00EE6ED7">
        <w:rPr>
          <w:sz w:val="26"/>
          <w:szCs w:val="26"/>
          <w:rtl/>
        </w:rPr>
        <w:t>כג</w:t>
      </w:r>
      <w:r w:rsidR="00F24DD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לעם </w:t>
      </w:r>
      <w:r w:rsidRPr="00EE6ED7">
        <w:rPr>
          <w:sz w:val="26"/>
          <w:szCs w:val="26"/>
          <w:u w:val="single"/>
          <w:rtl/>
        </w:rPr>
        <w:t>כי</w:t>
      </w:r>
      <w:r w:rsidRPr="00EE6ED7">
        <w:rPr>
          <w:sz w:val="26"/>
          <w:szCs w:val="26"/>
          <w:rtl/>
        </w:rPr>
        <w:t xml:space="preserve"> יבכו? </w:t>
      </w:r>
      <w:r w:rsidR="00F24DDE">
        <w:rPr>
          <w:rFonts w:hint="cs"/>
          <w:sz w:val="26"/>
          <w:szCs w:val="26"/>
          <w:rtl/>
        </w:rPr>
        <w:t>(</w:t>
      </w:r>
      <w:r w:rsidR="00F24DDE" w:rsidRPr="00EE6ED7">
        <w:rPr>
          <w:sz w:val="26"/>
          <w:szCs w:val="26"/>
          <w:rtl/>
        </w:rPr>
        <w:t>שמו</w:t>
      </w:r>
      <w:r w:rsidR="00F24DDE">
        <w:rPr>
          <w:rFonts w:hint="cs"/>
          <w:sz w:val="26"/>
          <w:szCs w:val="26"/>
          <w:rtl/>
        </w:rPr>
        <w:t>"א</w:t>
      </w:r>
      <w:r w:rsidR="00F24DDE" w:rsidRPr="00EE6ED7">
        <w:rPr>
          <w:sz w:val="26"/>
          <w:szCs w:val="26"/>
          <w:rtl/>
        </w:rPr>
        <w:t xml:space="preserve"> יא</w:t>
      </w:r>
      <w:r w:rsidR="00F24DDE">
        <w:rPr>
          <w:rFonts w:hint="cs"/>
          <w:sz w:val="26"/>
          <w:szCs w:val="26"/>
          <w:rtl/>
        </w:rPr>
        <w:t xml:space="preserve">, </w:t>
      </w:r>
      <w:r w:rsidR="00F24DDE" w:rsidRPr="00EE6ED7">
        <w:rPr>
          <w:sz w:val="26"/>
          <w:szCs w:val="26"/>
          <w:rtl/>
        </w:rPr>
        <w:t>ה</w:t>
      </w:r>
      <w:r w:rsidR="00F24DD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לך אפוא </w:t>
      </w:r>
      <w:r w:rsidRPr="00EE6ED7">
        <w:rPr>
          <w:sz w:val="26"/>
          <w:szCs w:val="26"/>
          <w:u w:val="single"/>
          <w:rtl/>
        </w:rPr>
        <w:t>כי</w:t>
      </w:r>
      <w:r w:rsidRPr="00EE6ED7">
        <w:rPr>
          <w:sz w:val="26"/>
          <w:szCs w:val="26"/>
          <w:rtl/>
        </w:rPr>
        <w:t xml:space="preserve"> עלית כלך לגגות? </w:t>
      </w:r>
      <w:r w:rsidR="00F24DDE">
        <w:rPr>
          <w:rFonts w:hint="cs"/>
          <w:sz w:val="26"/>
          <w:szCs w:val="26"/>
          <w:rtl/>
        </w:rPr>
        <w:t>(</w:t>
      </w:r>
      <w:r w:rsidR="00F24DDE" w:rsidRPr="00EE6ED7">
        <w:rPr>
          <w:sz w:val="26"/>
          <w:szCs w:val="26"/>
          <w:rtl/>
        </w:rPr>
        <w:t>ישעיהו כב</w:t>
      </w:r>
      <w:r w:rsidR="00F24DDE">
        <w:rPr>
          <w:rFonts w:hint="cs"/>
          <w:sz w:val="26"/>
          <w:szCs w:val="26"/>
          <w:rtl/>
        </w:rPr>
        <w:t xml:space="preserve">, </w:t>
      </w:r>
      <w:r w:rsidR="00F24DDE" w:rsidRPr="00EE6ED7">
        <w:rPr>
          <w:sz w:val="26"/>
          <w:szCs w:val="26"/>
          <w:rtl/>
        </w:rPr>
        <w:t>א</w:t>
      </w:r>
      <w:r w:rsidR="00F24DD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w:t>
      </w:r>
      <w:r w:rsidRPr="00EE6ED7">
        <w:rPr>
          <w:sz w:val="26"/>
          <w:szCs w:val="26"/>
          <w:rtl/>
        </w:rPr>
        <w:t xml:space="preserve"> לך הים </w:t>
      </w:r>
      <w:r w:rsidRPr="00EE6ED7">
        <w:rPr>
          <w:sz w:val="26"/>
          <w:szCs w:val="26"/>
          <w:u w:val="single"/>
          <w:rtl/>
        </w:rPr>
        <w:t>כי</w:t>
      </w:r>
      <w:r w:rsidRPr="00EE6ED7">
        <w:rPr>
          <w:sz w:val="26"/>
          <w:szCs w:val="26"/>
          <w:rtl/>
        </w:rPr>
        <w:t xml:space="preserve"> תנוס? </w:t>
      </w:r>
      <w:r w:rsidR="00F24DDE">
        <w:rPr>
          <w:rFonts w:hint="cs"/>
          <w:sz w:val="26"/>
          <w:szCs w:val="26"/>
          <w:rtl/>
        </w:rPr>
        <w:t>(</w:t>
      </w:r>
      <w:r w:rsidR="00F24DDE" w:rsidRPr="00EE6ED7">
        <w:rPr>
          <w:sz w:val="26"/>
          <w:szCs w:val="26"/>
          <w:rtl/>
        </w:rPr>
        <w:t>תהלים קיד</w:t>
      </w:r>
      <w:r w:rsidR="00F24DDE">
        <w:rPr>
          <w:rFonts w:hint="cs"/>
          <w:sz w:val="26"/>
          <w:szCs w:val="26"/>
          <w:rtl/>
        </w:rPr>
        <w:t xml:space="preserve">, </w:t>
      </w:r>
      <w:r w:rsidR="00F24DDE" w:rsidRPr="00EE6ED7">
        <w:rPr>
          <w:sz w:val="26"/>
          <w:szCs w:val="26"/>
          <w:rtl/>
        </w:rPr>
        <w:t>ה</w:t>
      </w:r>
      <w:r w:rsidR="00F24DDE">
        <w:rPr>
          <w:rFonts w:hint="cs"/>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It hardly needs to be added that </w:t>
      </w:r>
      <w:r w:rsidRPr="00EE6ED7">
        <w:rPr>
          <w:sz w:val="26"/>
          <w:szCs w:val="26"/>
          <w:rtl/>
        </w:rPr>
        <w:t>מה נשתנה</w:t>
      </w:r>
      <w:r w:rsidRPr="00EE6ED7">
        <w:rPr>
          <w:sz w:val="26"/>
          <w:szCs w:val="26"/>
        </w:rPr>
        <w:t xml:space="preserve"> is also a request for an explanation of aberrant behavior.</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It is well known that </w:t>
      </w:r>
      <w:r w:rsidRPr="00EE6ED7">
        <w:rPr>
          <w:sz w:val="26"/>
          <w:szCs w:val="26"/>
          <w:rtl/>
        </w:rPr>
        <w:t>ש-</w:t>
      </w:r>
      <w:r w:rsidRPr="00EE6ED7">
        <w:rPr>
          <w:sz w:val="26"/>
          <w:szCs w:val="26"/>
        </w:rPr>
        <w:t xml:space="preserve"> appears occasionally in the Bible as a dialectal variant of </w:t>
      </w:r>
      <w:r w:rsidRPr="00EE6ED7">
        <w:rPr>
          <w:sz w:val="26"/>
          <w:szCs w:val="26"/>
          <w:rtl/>
        </w:rPr>
        <w:t>כי</w:t>
      </w:r>
      <w:r w:rsidRPr="00EE6ED7">
        <w:rPr>
          <w:sz w:val="26"/>
          <w:szCs w:val="26"/>
        </w:rPr>
        <w:t>.</w:t>
      </w:r>
      <w:r w:rsidR="0014624C" w:rsidRPr="00EE6ED7">
        <w:rPr>
          <w:sz w:val="26"/>
          <w:szCs w:val="26"/>
        </w:rPr>
        <w:t xml:space="preserve"> </w:t>
      </w:r>
      <w:r w:rsidRPr="00EE6ED7">
        <w:rPr>
          <w:sz w:val="26"/>
          <w:szCs w:val="26"/>
        </w:rPr>
        <w:t xml:space="preserve">It is therefore not surprising that </w:t>
      </w:r>
      <w:r w:rsidRPr="00EE6ED7">
        <w:rPr>
          <w:sz w:val="26"/>
          <w:szCs w:val="26"/>
          <w:rtl/>
        </w:rPr>
        <w:t>מה...</w:t>
      </w:r>
      <w:r w:rsidR="003B1435">
        <w:rPr>
          <w:rFonts w:hint="cs"/>
          <w:sz w:val="26"/>
          <w:szCs w:val="26"/>
          <w:rtl/>
        </w:rPr>
        <w:t xml:space="preserve"> </w:t>
      </w:r>
      <w:r w:rsidRPr="00EE6ED7">
        <w:rPr>
          <w:sz w:val="26"/>
          <w:szCs w:val="26"/>
          <w:rtl/>
        </w:rPr>
        <w:t>ש-...</w:t>
      </w:r>
      <w:r w:rsidRPr="00EE6ED7">
        <w:rPr>
          <w:sz w:val="26"/>
          <w:szCs w:val="26"/>
        </w:rPr>
        <w:t xml:space="preserve"> occurs there as a variant of the </w:t>
      </w:r>
      <w:r w:rsidRPr="00EE6ED7">
        <w:rPr>
          <w:sz w:val="26"/>
          <w:szCs w:val="26"/>
          <w:rtl/>
        </w:rPr>
        <w:t>מה...</w:t>
      </w:r>
      <w:r w:rsidR="003B1435">
        <w:rPr>
          <w:rFonts w:hint="cs"/>
          <w:sz w:val="26"/>
          <w:szCs w:val="26"/>
          <w:rtl/>
        </w:rPr>
        <w:t xml:space="preserve"> </w:t>
      </w:r>
      <w:r w:rsidRPr="00EE6ED7">
        <w:rPr>
          <w:sz w:val="26"/>
          <w:szCs w:val="26"/>
          <w:rtl/>
        </w:rPr>
        <w:t>כי...</w:t>
      </w:r>
      <w:r w:rsidRPr="00EE6ED7">
        <w:rPr>
          <w:sz w:val="26"/>
          <w:szCs w:val="26"/>
        </w:rPr>
        <w:t xml:space="preserve"> formula.</w:t>
      </w:r>
      <w:r w:rsidR="0014624C" w:rsidRPr="00EE6ED7">
        <w:rPr>
          <w:sz w:val="26"/>
          <w:szCs w:val="26"/>
        </w:rPr>
        <w:t xml:space="preserve"> </w:t>
      </w:r>
      <w:r w:rsidRPr="00EE6ED7">
        <w:rPr>
          <w:sz w:val="26"/>
          <w:szCs w:val="26"/>
        </w:rPr>
        <w:t>The attested example is particularly close to the post-biblical formula; indeed, it may be its direct ancestor:</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u w:val="single"/>
          <w:rtl/>
        </w:rPr>
        <w:t>מה</w:t>
      </w:r>
      <w:r w:rsidRPr="00EE6ED7">
        <w:rPr>
          <w:sz w:val="26"/>
          <w:szCs w:val="26"/>
          <w:rtl/>
        </w:rPr>
        <w:t xml:space="preserve"> דודך </w:t>
      </w:r>
      <w:r w:rsidRPr="00EE6ED7">
        <w:rPr>
          <w:sz w:val="26"/>
          <w:szCs w:val="26"/>
          <w:u w:val="single"/>
          <w:rtl/>
        </w:rPr>
        <w:t>מ</w:t>
      </w:r>
      <w:r w:rsidRPr="00EE6ED7">
        <w:rPr>
          <w:sz w:val="26"/>
          <w:szCs w:val="26"/>
          <w:rtl/>
        </w:rPr>
        <w:t xml:space="preserve">דוד </w:t>
      </w:r>
      <w:r w:rsidRPr="00EE6ED7">
        <w:rPr>
          <w:sz w:val="26"/>
          <w:szCs w:val="26"/>
          <w:u w:val="single"/>
          <w:rtl/>
        </w:rPr>
        <w:t>ש</w:t>
      </w:r>
      <w:r w:rsidRPr="00EE6ED7">
        <w:rPr>
          <w:sz w:val="26"/>
          <w:szCs w:val="26"/>
          <w:rtl/>
        </w:rPr>
        <w:t>ככה השבעתנו?</w:t>
      </w:r>
      <w:r w:rsidR="00F24DDE">
        <w:rPr>
          <w:rFonts w:hint="cs"/>
          <w:sz w:val="26"/>
          <w:szCs w:val="26"/>
          <w:rtl/>
        </w:rPr>
        <w:t xml:space="preserve"> (שיר השירים ה, ט)</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BC52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Although </w:t>
      </w:r>
      <w:r w:rsidRPr="00EE6ED7">
        <w:rPr>
          <w:sz w:val="26"/>
          <w:szCs w:val="26"/>
          <w:rtl/>
        </w:rPr>
        <w:t>מה דודך מדוד</w:t>
      </w:r>
      <w:r w:rsidRPr="00EE6ED7">
        <w:rPr>
          <w:sz w:val="26"/>
          <w:szCs w:val="26"/>
        </w:rPr>
        <w:t xml:space="preserve"> is usually understood to mean </w:t>
      </w:r>
      <w:r w:rsidRPr="00EE6ED7">
        <w:rPr>
          <w:sz w:val="26"/>
          <w:szCs w:val="26"/>
          <w:rtl/>
        </w:rPr>
        <w:t>*מה טוב דודך מדוד</w:t>
      </w:r>
      <w:r w:rsidRPr="00EE6ED7">
        <w:rPr>
          <w:sz w:val="26"/>
          <w:szCs w:val="26"/>
        </w:rPr>
        <w:t xml:space="preserve"> (with </w:t>
      </w:r>
      <w:r w:rsidRPr="00EE6ED7">
        <w:rPr>
          <w:sz w:val="26"/>
          <w:szCs w:val="26"/>
          <w:rtl/>
        </w:rPr>
        <w:t>מ-</w:t>
      </w:r>
      <w:r w:rsidRPr="00EE6ED7">
        <w:rPr>
          <w:sz w:val="26"/>
          <w:szCs w:val="26"/>
        </w:rPr>
        <w:t xml:space="preserve"> meaning “more than”), there is evidence for a slightly different interpretation:</w:t>
      </w:r>
      <w:r w:rsidR="0014624C" w:rsidRPr="00EE6ED7">
        <w:rPr>
          <w:sz w:val="26"/>
          <w:szCs w:val="26"/>
        </w:rPr>
        <w:t xml:space="preserve"> </w:t>
      </w:r>
      <w:r w:rsidRPr="00EE6ED7">
        <w:rPr>
          <w:sz w:val="26"/>
          <w:szCs w:val="26"/>
          <w:rtl/>
        </w:rPr>
        <w:t>*מה שנה דודך מדוד</w:t>
      </w:r>
      <w:r w:rsidRPr="00EE6ED7">
        <w:rPr>
          <w:sz w:val="26"/>
          <w:szCs w:val="26"/>
        </w:rPr>
        <w:t>.</w:t>
      </w:r>
      <w:r w:rsidR="0014624C" w:rsidRPr="00EE6ED7">
        <w:rPr>
          <w:sz w:val="26"/>
          <w:szCs w:val="26"/>
        </w:rPr>
        <w:t xml:space="preserve"> </w:t>
      </w:r>
      <w:r w:rsidRPr="00EE6ED7">
        <w:rPr>
          <w:sz w:val="26"/>
          <w:szCs w:val="26"/>
        </w:rPr>
        <w:t xml:space="preserve">Thus, in </w:t>
      </w:r>
      <w:r w:rsidRPr="00EE6ED7">
        <w:rPr>
          <w:i/>
          <w:sz w:val="26"/>
          <w:szCs w:val="26"/>
        </w:rPr>
        <w:t>Gen. Rab</w:t>
      </w:r>
      <w:r w:rsidRPr="00EE6ED7">
        <w:rPr>
          <w:sz w:val="26"/>
          <w:szCs w:val="26"/>
        </w:rPr>
        <w:t>. 11</w:t>
      </w:r>
      <w:r w:rsidR="00BC5253">
        <w:rPr>
          <w:sz w:val="26"/>
          <w:szCs w:val="26"/>
        </w:rPr>
        <w:t>.</w:t>
      </w:r>
      <w:r w:rsidRPr="00EE6ED7">
        <w:rPr>
          <w:sz w:val="26"/>
          <w:szCs w:val="26"/>
        </w:rPr>
        <w:t>5, Tineius Rufus tries to stump R. Aqiba with a riddle:</w:t>
      </w:r>
      <w:r w:rsidR="0014624C" w:rsidRPr="00EE6ED7">
        <w:rPr>
          <w:sz w:val="26"/>
          <w:szCs w:val="26"/>
        </w:rPr>
        <w:t xml:space="preserve"> </w:t>
      </w:r>
      <w:r w:rsidRPr="00EE6ED7">
        <w:rPr>
          <w:sz w:val="26"/>
          <w:szCs w:val="26"/>
          <w:rtl/>
        </w:rPr>
        <w:t>מה יום מימים</w:t>
      </w:r>
      <w:r w:rsidRPr="00EE6ED7">
        <w:rPr>
          <w:sz w:val="26"/>
          <w:szCs w:val="26"/>
        </w:rPr>
        <w:t>; however, R. Aqiba immediately understands that this means</w:t>
      </w:r>
      <w:r w:rsidRPr="00EE6ED7">
        <w:rPr>
          <w:sz w:val="26"/>
          <w:szCs w:val="26"/>
          <w:rtl/>
        </w:rPr>
        <w:t>מה שנה שבת מכל הימים</w:t>
      </w:r>
      <w:r w:rsidRPr="00EE6ED7">
        <w:rPr>
          <w:sz w:val="26"/>
          <w:szCs w:val="26"/>
        </w:rPr>
        <w:t>.</w:t>
      </w:r>
      <w:r w:rsidRPr="00EE6ED7">
        <w:rPr>
          <w:sz w:val="26"/>
          <w:szCs w:val="26"/>
          <w:vertAlign w:val="superscript"/>
        </w:rPr>
        <w:footnoteReference w:id="71"/>
      </w:r>
      <w:r w:rsidR="0014624C" w:rsidRPr="00EE6ED7">
        <w:rPr>
          <w:sz w:val="26"/>
          <w:szCs w:val="26"/>
        </w:rPr>
        <w:t xml:space="preserve"> </w:t>
      </w:r>
      <w:r w:rsidRPr="00EE6ED7">
        <w:rPr>
          <w:sz w:val="26"/>
          <w:szCs w:val="26"/>
        </w:rPr>
        <w:t>The question of Tineius Rufus is very similar to—and may well be modeled on—</w:t>
      </w:r>
      <w:r w:rsidRPr="00EE6ED7">
        <w:rPr>
          <w:sz w:val="26"/>
          <w:szCs w:val="26"/>
          <w:rtl/>
        </w:rPr>
        <w:t>מה דודך מדוד</w:t>
      </w:r>
      <w:r w:rsidRPr="00EE6ED7">
        <w:rPr>
          <w:sz w:val="26"/>
          <w:szCs w:val="26"/>
        </w:rPr>
        <w:t xml:space="preserve">, which the Rabbis interpret as a question addressed to </w:t>
      </w:r>
      <w:smartTag w:uri="urn:schemas-microsoft-com:office:smarttags" w:element="place">
        <w:smartTag w:uri="urn:schemas-microsoft-com:office:smarttags" w:element="country-region">
          <w:r w:rsidRPr="00EE6ED7">
            <w:rPr>
              <w:sz w:val="26"/>
              <w:szCs w:val="26"/>
            </w:rPr>
            <w:t>Israel</w:t>
          </w:r>
        </w:smartTag>
      </w:smartTag>
      <w:r w:rsidRPr="00EE6ED7">
        <w:rPr>
          <w:sz w:val="26"/>
          <w:szCs w:val="26"/>
        </w:rPr>
        <w:t xml:space="preserve"> by the gentiles.</w:t>
      </w:r>
      <w:r w:rsidR="0014624C" w:rsidRPr="00EE6ED7">
        <w:rPr>
          <w:sz w:val="26"/>
          <w:szCs w:val="26"/>
        </w:rPr>
        <w:t xml:space="preserve"> </w:t>
      </w:r>
      <w:r w:rsidRPr="00EE6ED7">
        <w:rPr>
          <w:sz w:val="26"/>
          <w:szCs w:val="26"/>
        </w:rPr>
        <w:t xml:space="preserve">If we apply R. Aqiba’s paraphrase of </w:t>
      </w:r>
      <w:r w:rsidRPr="00EE6ED7">
        <w:rPr>
          <w:sz w:val="26"/>
          <w:szCs w:val="26"/>
          <w:rtl/>
        </w:rPr>
        <w:t>מה יום מימים</w:t>
      </w:r>
      <w:r w:rsidRPr="00EE6ED7">
        <w:rPr>
          <w:sz w:val="26"/>
          <w:szCs w:val="26"/>
        </w:rPr>
        <w:t xml:space="preserve"> to </w:t>
      </w:r>
      <w:r w:rsidRPr="00EE6ED7">
        <w:rPr>
          <w:sz w:val="26"/>
          <w:szCs w:val="26"/>
          <w:rtl/>
        </w:rPr>
        <w:t>מה דודך מדוד וגו'</w:t>
      </w:r>
      <w:r w:rsidRPr="00EE6ED7">
        <w:rPr>
          <w:sz w:val="26"/>
          <w:szCs w:val="26"/>
        </w:rPr>
        <w:t xml:space="preserve">, we get a MH paraphrase of the biblical question: </w:t>
      </w:r>
      <w:r w:rsidRPr="00EE6ED7">
        <w:rPr>
          <w:sz w:val="26"/>
          <w:szCs w:val="26"/>
          <w:rtl/>
        </w:rPr>
        <w:t>*</w:t>
      </w:r>
      <w:r w:rsidRPr="00EE6ED7">
        <w:rPr>
          <w:sz w:val="26"/>
          <w:szCs w:val="26"/>
          <w:u w:val="single"/>
          <w:rtl/>
        </w:rPr>
        <w:t>מה שנה</w:t>
      </w:r>
      <w:r w:rsidRPr="00EE6ED7">
        <w:rPr>
          <w:sz w:val="26"/>
          <w:szCs w:val="26"/>
          <w:rtl/>
        </w:rPr>
        <w:t xml:space="preserve"> דודך </w:t>
      </w:r>
      <w:r w:rsidRPr="00EE6ED7">
        <w:rPr>
          <w:sz w:val="26"/>
          <w:szCs w:val="26"/>
          <w:u w:val="single"/>
          <w:rtl/>
        </w:rPr>
        <w:t>מ</w:t>
      </w:r>
      <w:r w:rsidRPr="00EE6ED7">
        <w:rPr>
          <w:sz w:val="26"/>
          <w:szCs w:val="26"/>
          <w:rtl/>
        </w:rPr>
        <w:t xml:space="preserve">כל הדודים </w:t>
      </w:r>
      <w:r w:rsidRPr="00EE6ED7">
        <w:rPr>
          <w:sz w:val="26"/>
          <w:szCs w:val="26"/>
          <w:u w:val="single"/>
          <w:rtl/>
        </w:rPr>
        <w:t>ש</w:t>
      </w:r>
      <w:r w:rsidRPr="00EE6ED7">
        <w:rPr>
          <w:sz w:val="26"/>
          <w:szCs w:val="26"/>
          <w:rtl/>
        </w:rPr>
        <w:t>כך השבעתנו</w:t>
      </w:r>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suggestion that the Rabbinic </w:t>
      </w:r>
      <w:r w:rsidRPr="00EE6ED7">
        <w:rPr>
          <w:sz w:val="26"/>
          <w:szCs w:val="26"/>
          <w:rtl/>
        </w:rPr>
        <w:t>מה נשתנה...</w:t>
      </w:r>
      <w:r w:rsidR="003B1435">
        <w:rPr>
          <w:rFonts w:hint="cs"/>
          <w:sz w:val="26"/>
          <w:szCs w:val="26"/>
          <w:rtl/>
        </w:rPr>
        <w:t xml:space="preserve"> </w:t>
      </w:r>
      <w:r w:rsidRPr="00EE6ED7">
        <w:rPr>
          <w:sz w:val="26"/>
          <w:szCs w:val="26"/>
          <w:rtl/>
        </w:rPr>
        <w:t>ש-...</w:t>
      </w:r>
      <w:r w:rsidRPr="00EE6ED7">
        <w:rPr>
          <w:sz w:val="26"/>
          <w:szCs w:val="26"/>
        </w:rPr>
        <w:t xml:space="preserve"> formula evolved (through the insertion of a verb) from the biblical </w:t>
      </w:r>
      <w:r w:rsidRPr="00EE6ED7">
        <w:rPr>
          <w:sz w:val="26"/>
          <w:szCs w:val="26"/>
          <w:rtl/>
        </w:rPr>
        <w:t>מה...</w:t>
      </w:r>
      <w:r w:rsidR="003B1435">
        <w:rPr>
          <w:rFonts w:hint="cs"/>
          <w:sz w:val="26"/>
          <w:szCs w:val="26"/>
          <w:rtl/>
        </w:rPr>
        <w:t xml:space="preserve"> </w:t>
      </w:r>
      <w:r w:rsidRPr="00EE6ED7">
        <w:rPr>
          <w:sz w:val="26"/>
          <w:szCs w:val="26"/>
          <w:rtl/>
        </w:rPr>
        <w:t>כי...</w:t>
      </w:r>
      <w:r w:rsidRPr="00EE6ED7">
        <w:rPr>
          <w:sz w:val="26"/>
          <w:szCs w:val="26"/>
        </w:rPr>
        <w:t xml:space="preserve"> formula is made plausible by a second set of examples</w:t>
      </w:r>
      <w:r w:rsidR="00413343">
        <w:rPr>
          <w:sz w:val="26"/>
          <w:szCs w:val="26"/>
        </w:rPr>
        <w:t xml:space="preserve">, arranged </w:t>
      </w:r>
      <w:r w:rsidR="00971E65">
        <w:rPr>
          <w:sz w:val="26"/>
          <w:szCs w:val="26"/>
        </w:rPr>
        <w:t xml:space="preserve">here </w:t>
      </w:r>
      <w:r w:rsidR="00413343">
        <w:rPr>
          <w:sz w:val="26"/>
          <w:szCs w:val="26"/>
        </w:rPr>
        <w:t>in the order of the development</w:t>
      </w:r>
      <w:r w:rsidR="00971E65">
        <w:rPr>
          <w:sz w:val="26"/>
          <w:szCs w:val="26"/>
        </w:rPr>
        <w:t xml:space="preserve">s </w:t>
      </w:r>
      <w:r w:rsidR="00413343">
        <w:rPr>
          <w:sz w:val="26"/>
          <w:szCs w:val="26"/>
        </w:rPr>
        <w:t>described below</w:t>
      </w:r>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ראית</w:t>
      </w:r>
      <w:r w:rsidRPr="00EE6ED7">
        <w:rPr>
          <w:sz w:val="26"/>
          <w:szCs w:val="26"/>
          <w:rtl/>
        </w:rPr>
        <w:t xml:space="preserve"> </w:t>
      </w:r>
      <w:r w:rsidRPr="00EE6ED7">
        <w:rPr>
          <w:sz w:val="26"/>
          <w:szCs w:val="26"/>
          <w:u w:val="single"/>
          <w:rtl/>
        </w:rPr>
        <w:t>כי</w:t>
      </w:r>
      <w:r w:rsidRPr="00EE6ED7">
        <w:rPr>
          <w:sz w:val="26"/>
          <w:szCs w:val="26"/>
          <w:rtl/>
        </w:rPr>
        <w:t xml:space="preserve"> </w:t>
      </w:r>
      <w:r w:rsidR="001345BD">
        <w:rPr>
          <w:rFonts w:hint="cs"/>
          <w:sz w:val="26"/>
          <w:szCs w:val="26"/>
          <w:rtl/>
        </w:rPr>
        <w:t xml:space="preserve">עשית </w:t>
      </w:r>
      <w:r w:rsidRPr="00EE6ED7">
        <w:rPr>
          <w:sz w:val="26"/>
          <w:szCs w:val="26"/>
          <w:rtl/>
        </w:rPr>
        <w:t>את הדבר הזה?</w:t>
      </w:r>
      <w:r w:rsidR="000A4652">
        <w:rPr>
          <w:sz w:val="26"/>
          <w:szCs w:val="26"/>
          <w:rtl/>
        </w:rPr>
        <w:t xml:space="preserve">... </w:t>
      </w:r>
      <w:r w:rsidRPr="00EE6ED7">
        <w:rPr>
          <w:sz w:val="26"/>
          <w:szCs w:val="26"/>
          <w:rtl/>
        </w:rPr>
        <w:t>כי אמרתי</w:t>
      </w:r>
      <w:r w:rsidR="000A4652">
        <w:rPr>
          <w:sz w:val="26"/>
          <w:szCs w:val="26"/>
          <w:rtl/>
        </w:rPr>
        <w:t xml:space="preserve">... </w:t>
      </w:r>
      <w:r w:rsidR="00F24DDE">
        <w:rPr>
          <w:rFonts w:hint="cs"/>
          <w:sz w:val="26"/>
          <w:szCs w:val="26"/>
          <w:rtl/>
        </w:rPr>
        <w:t>(</w:t>
      </w:r>
      <w:r w:rsidR="00F24DDE" w:rsidRPr="00EE6ED7">
        <w:rPr>
          <w:sz w:val="26"/>
          <w:szCs w:val="26"/>
          <w:rtl/>
        </w:rPr>
        <w:t>בראשית כ</w:t>
      </w:r>
      <w:r w:rsidR="00F24DDE">
        <w:rPr>
          <w:rFonts w:hint="cs"/>
          <w:sz w:val="26"/>
          <w:szCs w:val="26"/>
          <w:rtl/>
        </w:rPr>
        <w:t xml:space="preserve">, </w:t>
      </w:r>
      <w:r w:rsidR="00F24DDE" w:rsidRPr="00EE6ED7">
        <w:rPr>
          <w:sz w:val="26"/>
          <w:szCs w:val="26"/>
          <w:rtl/>
        </w:rPr>
        <w:t>ט</w:t>
      </w:r>
      <w:r w:rsidR="00F24DDE">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ראית</w:t>
      </w:r>
      <w:r w:rsidRPr="00EE6ED7">
        <w:rPr>
          <w:sz w:val="26"/>
          <w:szCs w:val="26"/>
          <w:rtl/>
        </w:rPr>
        <w:t xml:space="preserve"> </w:t>
      </w:r>
      <w:r w:rsidRPr="00EE6ED7">
        <w:rPr>
          <w:sz w:val="26"/>
          <w:szCs w:val="26"/>
          <w:u w:val="single"/>
          <w:rtl/>
        </w:rPr>
        <w:t>ש</w:t>
      </w:r>
      <w:r w:rsidRPr="00EE6ED7">
        <w:rPr>
          <w:sz w:val="26"/>
          <w:szCs w:val="26"/>
          <w:rtl/>
        </w:rPr>
        <w:t>תידורי?</w:t>
      </w:r>
      <w:r w:rsidR="00F24DDE">
        <w:rPr>
          <w:rFonts w:hint="cs"/>
          <w:sz w:val="26"/>
          <w:szCs w:val="26"/>
          <w:rtl/>
        </w:rPr>
        <w:t xml:space="preserve"> (</w:t>
      </w:r>
      <w:r w:rsidR="00F24DDE" w:rsidRPr="00EE6ED7">
        <w:rPr>
          <w:sz w:val="26"/>
          <w:szCs w:val="26"/>
          <w:rtl/>
        </w:rPr>
        <w:t>תוספתא נדרים ו,</w:t>
      </w:r>
      <w:r w:rsidR="00F24DDE">
        <w:rPr>
          <w:rFonts w:hint="cs"/>
          <w:sz w:val="26"/>
          <w:szCs w:val="26"/>
          <w:rtl/>
        </w:rPr>
        <w:t xml:space="preserve"> </w:t>
      </w:r>
      <w:r w:rsidR="00F24DDE" w:rsidRPr="00EE6ED7">
        <w:rPr>
          <w:sz w:val="26"/>
          <w:szCs w:val="26"/>
          <w:rtl/>
        </w:rPr>
        <w:t>א</w:t>
      </w:r>
      <w:r w:rsidR="00F24DDE">
        <w:rPr>
          <w:rFonts w:hint="cs"/>
          <w:sz w:val="26"/>
          <w:szCs w:val="26"/>
          <w:rtl/>
        </w:rPr>
        <w:t>)</w:t>
      </w:r>
    </w:p>
    <w:p w:rsidR="00105DEE" w:rsidRPr="00EE6ED7" w:rsidRDefault="00105DEE" w:rsidP="00252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ראית</w:t>
      </w:r>
      <w:r w:rsidRPr="00EE6ED7">
        <w:rPr>
          <w:sz w:val="26"/>
          <w:szCs w:val="26"/>
          <w:rtl/>
        </w:rPr>
        <w:t xml:space="preserve"> </w:t>
      </w:r>
      <w:r w:rsidRPr="00EE6ED7">
        <w:rPr>
          <w:sz w:val="26"/>
          <w:szCs w:val="26"/>
          <w:u w:val="single"/>
          <w:rtl/>
        </w:rPr>
        <w:t>ל</w:t>
      </w:r>
      <w:r w:rsidRPr="00EE6ED7">
        <w:rPr>
          <w:sz w:val="26"/>
          <w:szCs w:val="26"/>
          <w:rtl/>
        </w:rPr>
        <w:t>ידור?</w:t>
      </w:r>
      <w:r w:rsidR="003E0616">
        <w:rPr>
          <w:rFonts w:hint="cs"/>
          <w:sz w:val="26"/>
          <w:szCs w:val="26"/>
          <w:rtl/>
        </w:rPr>
        <w:t xml:space="preserve"> (תוספתא נדרים א, ו)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ראיתה</w:t>
      </w:r>
      <w:r w:rsidRPr="00EE6ED7">
        <w:rPr>
          <w:sz w:val="26"/>
          <w:szCs w:val="26"/>
          <w:rtl/>
        </w:rPr>
        <w:t xml:space="preserve"> </w:t>
      </w:r>
      <w:r w:rsidRPr="00EE6ED7">
        <w:rPr>
          <w:sz w:val="26"/>
          <w:szCs w:val="26"/>
          <w:u w:val="single"/>
          <w:rtl/>
        </w:rPr>
        <w:t>ל</w:t>
      </w:r>
      <w:r w:rsidRPr="00EE6ED7">
        <w:rPr>
          <w:sz w:val="26"/>
          <w:szCs w:val="26"/>
          <w:rtl/>
        </w:rPr>
        <w:t>טמא כזיית בשר הפורש מאבר מן החי</w:t>
      </w:r>
      <w:r w:rsidR="000A4652">
        <w:rPr>
          <w:sz w:val="26"/>
          <w:szCs w:val="26"/>
          <w:rtl/>
        </w:rPr>
        <w:t xml:space="preserve">... </w:t>
      </w:r>
      <w:r w:rsidRPr="00EE6ED7">
        <w:rPr>
          <w:sz w:val="26"/>
          <w:szCs w:val="26"/>
          <w:u w:val="single"/>
          <w:rtl/>
        </w:rPr>
        <w:t>מה ראיתה</w:t>
      </w:r>
      <w:r w:rsidRPr="00EE6ED7">
        <w:rPr>
          <w:sz w:val="26"/>
          <w:szCs w:val="26"/>
          <w:rtl/>
        </w:rPr>
        <w:t xml:space="preserve"> </w:t>
      </w:r>
      <w:r w:rsidRPr="00EE6ED7">
        <w:rPr>
          <w:sz w:val="26"/>
          <w:szCs w:val="26"/>
          <w:u w:val="single"/>
          <w:rtl/>
        </w:rPr>
        <w:t>ל</w:t>
      </w:r>
      <w:r w:rsidRPr="00EE6ED7">
        <w:rPr>
          <w:sz w:val="26"/>
          <w:szCs w:val="26"/>
          <w:rtl/>
        </w:rPr>
        <w:t>טמא עצם כשעורה הפורש מאבר מן החי</w:t>
      </w:r>
      <w:r w:rsidR="000A4652">
        <w:rPr>
          <w:sz w:val="26"/>
          <w:szCs w:val="26"/>
          <w:rtl/>
        </w:rPr>
        <w:t xml:space="preserve">... </w:t>
      </w:r>
      <w:r w:rsidRPr="00EE6ED7">
        <w:rPr>
          <w:sz w:val="26"/>
          <w:szCs w:val="26"/>
          <w:u w:val="single"/>
          <w:rtl/>
        </w:rPr>
        <w:t>מה ראיתה</w:t>
      </w:r>
      <w:r w:rsidRPr="00EE6ED7">
        <w:rPr>
          <w:sz w:val="26"/>
          <w:szCs w:val="26"/>
          <w:rtl/>
        </w:rPr>
        <w:t xml:space="preserve"> </w:t>
      </w:r>
      <w:r w:rsidRPr="00EE6ED7">
        <w:rPr>
          <w:sz w:val="26"/>
          <w:szCs w:val="26"/>
          <w:u w:val="single"/>
          <w:rtl/>
        </w:rPr>
        <w:t>ל</w:t>
      </w:r>
      <w:r w:rsidRPr="00EE6ED7">
        <w:rPr>
          <w:sz w:val="26"/>
          <w:szCs w:val="26"/>
          <w:rtl/>
        </w:rPr>
        <w:t>חלוק מ</w:t>
      </w:r>
      <w:r w:rsidR="002F78EF">
        <w:rPr>
          <w:rFonts w:hint="cs"/>
          <w:sz w:val="26"/>
          <w:szCs w:val="26"/>
          <w:rtl/>
        </w:rPr>
        <w:t>י</w:t>
      </w:r>
      <w:r w:rsidRPr="00EE6ED7">
        <w:rPr>
          <w:sz w:val="26"/>
          <w:szCs w:val="26"/>
          <w:rtl/>
        </w:rPr>
        <w:t>דתך</w:t>
      </w:r>
      <w:r w:rsidR="000A4652">
        <w:rPr>
          <w:sz w:val="26"/>
          <w:szCs w:val="26"/>
          <w:rtl/>
        </w:rPr>
        <w:t xml:space="preserve">... </w:t>
      </w:r>
      <w:r w:rsidRPr="00EE6ED7">
        <w:rPr>
          <w:sz w:val="26"/>
          <w:szCs w:val="26"/>
          <w:u w:val="single"/>
          <w:rtl/>
        </w:rPr>
        <w:t>מה ראית</w:t>
      </w:r>
      <w:r w:rsidRPr="00EE6ED7">
        <w:rPr>
          <w:sz w:val="26"/>
          <w:szCs w:val="26"/>
          <w:rtl/>
        </w:rPr>
        <w:t xml:space="preserve"> </w:t>
      </w:r>
      <w:r w:rsidRPr="00EE6ED7">
        <w:rPr>
          <w:sz w:val="26"/>
          <w:szCs w:val="26"/>
          <w:u w:val="single"/>
          <w:rtl/>
        </w:rPr>
        <w:t>ל</w:t>
      </w:r>
      <w:r w:rsidRPr="00EE6ED7">
        <w:rPr>
          <w:sz w:val="26"/>
          <w:szCs w:val="26"/>
          <w:rtl/>
        </w:rPr>
        <w:t>טהר בשניהן?</w:t>
      </w:r>
      <w:r w:rsidR="002524D9">
        <w:rPr>
          <w:rFonts w:hint="cs"/>
          <w:sz w:val="26"/>
          <w:szCs w:val="26"/>
          <w:rtl/>
        </w:rPr>
        <w:t xml:space="preserve"> (</w:t>
      </w:r>
      <w:r w:rsidR="002524D9" w:rsidRPr="00EE6ED7">
        <w:rPr>
          <w:sz w:val="26"/>
          <w:szCs w:val="26"/>
          <w:rtl/>
        </w:rPr>
        <w:t>משנה עדויות ו,</w:t>
      </w:r>
      <w:r w:rsidR="002524D9">
        <w:rPr>
          <w:rFonts w:hint="cs"/>
          <w:sz w:val="26"/>
          <w:szCs w:val="26"/>
          <w:rtl/>
        </w:rPr>
        <w:t xml:space="preserve"> </w:t>
      </w:r>
      <w:r w:rsidR="002524D9" w:rsidRPr="00EE6ED7">
        <w:rPr>
          <w:sz w:val="26"/>
          <w:szCs w:val="26"/>
          <w:rtl/>
        </w:rPr>
        <w:t>ג</w:t>
      </w:r>
      <w:r w:rsidR="002524D9">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ראית</w:t>
      </w:r>
      <w:r w:rsidRPr="00EE6ED7">
        <w:rPr>
          <w:sz w:val="26"/>
          <w:szCs w:val="26"/>
          <w:rtl/>
        </w:rPr>
        <w:t xml:space="preserve"> </w:t>
      </w:r>
      <w:r w:rsidRPr="00EE6ED7">
        <w:rPr>
          <w:sz w:val="26"/>
          <w:szCs w:val="26"/>
          <w:u w:val="single"/>
          <w:rtl/>
        </w:rPr>
        <w:t>ל</w:t>
      </w:r>
      <w:r w:rsidRPr="00EE6ED7">
        <w:rPr>
          <w:sz w:val="26"/>
          <w:szCs w:val="26"/>
          <w:rtl/>
        </w:rPr>
        <w:t xml:space="preserve">שמוח במצוה זו </w:t>
      </w:r>
      <w:r w:rsidRPr="00EE6ED7">
        <w:rPr>
          <w:sz w:val="26"/>
          <w:szCs w:val="26"/>
          <w:u w:val="single"/>
          <w:rtl/>
        </w:rPr>
        <w:t>מכל</w:t>
      </w:r>
      <w:r w:rsidRPr="00EE6ED7">
        <w:rPr>
          <w:sz w:val="26"/>
          <w:szCs w:val="26"/>
          <w:rtl/>
        </w:rPr>
        <w:t xml:space="preserve"> מצות האמורות בתורה?</w:t>
      </w:r>
      <w:r w:rsidR="002524D9">
        <w:rPr>
          <w:rFonts w:hint="cs"/>
          <w:sz w:val="26"/>
          <w:szCs w:val="26"/>
          <w:rtl/>
        </w:rPr>
        <w:t xml:space="preserve"> (תוספתא פאה ג, ח)</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ראה</w:t>
      </w:r>
      <w:r w:rsidRPr="00EE6ED7">
        <w:rPr>
          <w:sz w:val="26"/>
          <w:szCs w:val="26"/>
          <w:rtl/>
        </w:rPr>
        <w:t xml:space="preserve"> הכתו' </w:t>
      </w:r>
      <w:r w:rsidRPr="00EE6ED7">
        <w:rPr>
          <w:sz w:val="26"/>
          <w:szCs w:val="26"/>
          <w:u w:val="single"/>
          <w:rtl/>
        </w:rPr>
        <w:t>ל</w:t>
      </w:r>
      <w:r w:rsidRPr="00EE6ED7">
        <w:rPr>
          <w:sz w:val="26"/>
          <w:szCs w:val="26"/>
          <w:rtl/>
        </w:rPr>
        <w:t xml:space="preserve">פסול את הברזל יותר </w:t>
      </w:r>
      <w:r w:rsidRPr="00EE6ED7">
        <w:rPr>
          <w:sz w:val="26"/>
          <w:szCs w:val="26"/>
          <w:u w:val="single"/>
          <w:rtl/>
        </w:rPr>
        <w:t>מכל</w:t>
      </w:r>
      <w:r w:rsidRPr="00EE6ED7">
        <w:rPr>
          <w:sz w:val="26"/>
          <w:szCs w:val="26"/>
          <w:rtl/>
        </w:rPr>
        <w:t xml:space="preserve"> מיני מתכות? מפני שהחרב נעשית ממנו</w:t>
      </w:r>
      <w:r w:rsidR="000A4652">
        <w:rPr>
          <w:sz w:val="26"/>
          <w:szCs w:val="26"/>
          <w:rtl/>
        </w:rPr>
        <w:t xml:space="preserve">... </w:t>
      </w:r>
      <w:r w:rsidR="002524D9">
        <w:rPr>
          <w:rFonts w:hint="cs"/>
          <w:sz w:val="26"/>
          <w:szCs w:val="26"/>
          <w:rtl/>
        </w:rPr>
        <w:t>(תוספתא ב"ק ז, ו)</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ראה</w:t>
      </w:r>
      <w:r w:rsidRPr="00EE6ED7">
        <w:rPr>
          <w:sz w:val="26"/>
          <w:szCs w:val="26"/>
          <w:rtl/>
        </w:rPr>
        <w:t xml:space="preserve"> ברזל </w:t>
      </w:r>
      <w:r w:rsidRPr="00EE6ED7">
        <w:rPr>
          <w:sz w:val="26"/>
          <w:szCs w:val="26"/>
          <w:u w:val="single"/>
          <w:rtl/>
        </w:rPr>
        <w:t>ל</w:t>
      </w:r>
      <w:r w:rsidRPr="00EE6ED7">
        <w:rPr>
          <w:sz w:val="26"/>
          <w:szCs w:val="26"/>
          <w:rtl/>
        </w:rPr>
        <w:t xml:space="preserve">יפסל </w:t>
      </w:r>
      <w:r w:rsidR="005E010D" w:rsidRPr="00EE6ED7">
        <w:rPr>
          <w:sz w:val="26"/>
          <w:szCs w:val="26"/>
          <w:rtl/>
        </w:rPr>
        <w:t>[</w:t>
      </w:r>
      <w:r w:rsidRPr="00EE6ED7">
        <w:rPr>
          <w:sz w:val="26"/>
          <w:szCs w:val="26"/>
          <w:rtl/>
        </w:rPr>
        <w:t>מכל מ</w:t>
      </w:r>
      <w:r w:rsidR="005E010D" w:rsidRPr="00EE6ED7">
        <w:rPr>
          <w:sz w:val="26"/>
          <w:szCs w:val="26"/>
          <w:rtl/>
        </w:rPr>
        <w:t>]</w:t>
      </w:r>
      <w:r w:rsidRPr="00EE6ED7">
        <w:rPr>
          <w:sz w:val="26"/>
          <w:szCs w:val="26"/>
          <w:rtl/>
        </w:rPr>
        <w:t>יני מתכות</w:t>
      </w:r>
      <w:r w:rsidR="002F78EF">
        <w:rPr>
          <w:rFonts w:hint="cs"/>
          <w:sz w:val="26"/>
          <w:szCs w:val="26"/>
          <w:rtl/>
        </w:rPr>
        <w:t xml:space="preserve"> [כולן]</w:t>
      </w:r>
      <w:r w:rsidRPr="00EE6ED7">
        <w:rPr>
          <w:sz w:val="26"/>
          <w:szCs w:val="26"/>
          <w:rtl/>
        </w:rPr>
        <w:t>? מפני שהחרב נעשת ממנו</w:t>
      </w:r>
      <w:r w:rsidR="000A4652">
        <w:rPr>
          <w:sz w:val="26"/>
          <w:szCs w:val="26"/>
          <w:rtl/>
        </w:rPr>
        <w:t xml:space="preserve">... </w:t>
      </w:r>
      <w:r w:rsidR="002524D9">
        <w:rPr>
          <w:rFonts w:hint="cs"/>
          <w:sz w:val="26"/>
          <w:szCs w:val="26"/>
          <w:rtl/>
        </w:rPr>
        <w:t>(מכילתא דרשב"י לשמות כ, כב, מהדורת אפשטיין-מלמד, עמ' 157)</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ראת</w:t>
      </w:r>
      <w:r w:rsidRPr="00EE6ED7">
        <w:rPr>
          <w:sz w:val="26"/>
          <w:szCs w:val="26"/>
          <w:rtl/>
        </w:rPr>
        <w:t xml:space="preserve"> אזן </w:t>
      </w:r>
      <w:r w:rsidRPr="00EE6ED7">
        <w:rPr>
          <w:sz w:val="26"/>
          <w:szCs w:val="26"/>
          <w:u w:val="single"/>
          <w:rtl/>
        </w:rPr>
        <w:t>ש</w:t>
      </w:r>
      <w:r w:rsidRPr="00EE6ED7">
        <w:rPr>
          <w:sz w:val="26"/>
          <w:szCs w:val="26"/>
          <w:rtl/>
        </w:rPr>
        <w:t>תרצע מכל איברים?</w:t>
      </w:r>
      <w:r w:rsidR="002524D9" w:rsidRPr="002524D9">
        <w:rPr>
          <w:rFonts w:hint="cs"/>
          <w:sz w:val="26"/>
          <w:szCs w:val="26"/>
          <w:rtl/>
        </w:rPr>
        <w:t xml:space="preserve"> </w:t>
      </w:r>
      <w:r w:rsidR="002524D9">
        <w:rPr>
          <w:rFonts w:hint="cs"/>
          <w:sz w:val="26"/>
          <w:szCs w:val="26"/>
          <w:rtl/>
        </w:rPr>
        <w:t>(מכילתא משפטים, נזיקין, ב, עמ' 253)</w:t>
      </w:r>
    </w:p>
    <w:p w:rsidR="00105DEE" w:rsidRPr="00EE6ED7" w:rsidRDefault="00105DEE" w:rsidP="00252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ראת</w:t>
      </w:r>
      <w:r w:rsidRPr="00EE6ED7">
        <w:rPr>
          <w:sz w:val="26"/>
          <w:szCs w:val="26"/>
          <w:rtl/>
        </w:rPr>
        <w:t xml:space="preserve"> אימן שלאילו </w:t>
      </w:r>
      <w:r w:rsidRPr="00EE6ED7">
        <w:rPr>
          <w:sz w:val="26"/>
          <w:szCs w:val="26"/>
          <w:u w:val="single"/>
          <w:rtl/>
        </w:rPr>
        <w:t>ל</w:t>
      </w:r>
      <w:r w:rsidRPr="00EE6ED7">
        <w:rPr>
          <w:sz w:val="26"/>
          <w:szCs w:val="26"/>
          <w:rtl/>
        </w:rPr>
        <w:t>היתגרש?</w:t>
      </w:r>
      <w:r w:rsidR="002524D9">
        <w:rPr>
          <w:rFonts w:hint="cs"/>
          <w:sz w:val="26"/>
          <w:szCs w:val="26"/>
          <w:rtl/>
        </w:rPr>
        <w:t xml:space="preserve"> (</w:t>
      </w:r>
      <w:r w:rsidR="002524D9" w:rsidRPr="00EE6ED7">
        <w:rPr>
          <w:sz w:val="26"/>
          <w:szCs w:val="26"/>
          <w:rtl/>
        </w:rPr>
        <w:t>משנה נדרים ט,</w:t>
      </w:r>
      <w:r w:rsidR="002524D9">
        <w:rPr>
          <w:rFonts w:hint="cs"/>
          <w:sz w:val="26"/>
          <w:szCs w:val="26"/>
          <w:rtl/>
        </w:rPr>
        <w:t xml:space="preserve"> </w:t>
      </w:r>
      <w:r w:rsidR="002524D9" w:rsidRPr="00EE6ED7">
        <w:rPr>
          <w:sz w:val="26"/>
          <w:szCs w:val="26"/>
          <w:rtl/>
        </w:rPr>
        <w:t>ט</w:t>
      </w:r>
      <w:r w:rsidR="002524D9">
        <w:rPr>
          <w:rFonts w:hint="cs"/>
          <w:sz w:val="26"/>
          <w:szCs w:val="26"/>
          <w:rtl/>
        </w:rPr>
        <w:t>)</w:t>
      </w:r>
    </w:p>
    <w:p w:rsidR="00105DEE" w:rsidRPr="00EE6ED7" w:rsidRDefault="00105DEE" w:rsidP="00252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u w:val="single"/>
          <w:rtl/>
        </w:rPr>
        <w:t>מה ראו</w:t>
      </w:r>
      <w:r w:rsidRPr="00EE6ED7">
        <w:rPr>
          <w:sz w:val="26"/>
          <w:szCs w:val="26"/>
          <w:rtl/>
        </w:rPr>
        <w:t xml:space="preserve"> אנשי דור המבול </w:t>
      </w:r>
      <w:r w:rsidRPr="00EE6ED7">
        <w:rPr>
          <w:sz w:val="26"/>
          <w:szCs w:val="26"/>
          <w:u w:val="single"/>
          <w:rtl/>
        </w:rPr>
        <w:t>ל</w:t>
      </w:r>
      <w:r w:rsidRPr="00EE6ED7">
        <w:rPr>
          <w:sz w:val="26"/>
          <w:szCs w:val="26"/>
          <w:rtl/>
        </w:rPr>
        <w:t xml:space="preserve">השטף במים </w:t>
      </w:r>
      <w:r w:rsidRPr="003626D0">
        <w:rPr>
          <w:sz w:val="26"/>
          <w:szCs w:val="26"/>
          <w:u w:val="single"/>
          <w:rtl/>
        </w:rPr>
        <w:t>ו</w:t>
      </w:r>
      <w:r w:rsidRPr="00EE6ED7">
        <w:rPr>
          <w:sz w:val="26"/>
          <w:szCs w:val="26"/>
          <w:u w:val="single"/>
          <w:rtl/>
        </w:rPr>
        <w:t>מה ראו</w:t>
      </w:r>
      <w:r w:rsidRPr="00EE6ED7">
        <w:rPr>
          <w:sz w:val="26"/>
          <w:szCs w:val="26"/>
          <w:rtl/>
        </w:rPr>
        <w:t xml:space="preserve"> אנשי מגדל </w:t>
      </w:r>
      <w:r w:rsidRPr="00EE6ED7">
        <w:rPr>
          <w:sz w:val="26"/>
          <w:szCs w:val="26"/>
          <w:u w:val="single"/>
          <w:rtl/>
        </w:rPr>
        <w:t>ש</w:t>
      </w:r>
      <w:r w:rsidRPr="00EE6ED7">
        <w:rPr>
          <w:sz w:val="26"/>
          <w:szCs w:val="26"/>
          <w:rtl/>
        </w:rPr>
        <w:t xml:space="preserve">נתפזרו מסוף העולם ועד סופו </w:t>
      </w:r>
      <w:r w:rsidRPr="003626D0">
        <w:rPr>
          <w:sz w:val="26"/>
          <w:szCs w:val="26"/>
          <w:u w:val="single"/>
          <w:rtl/>
        </w:rPr>
        <w:t>ו</w:t>
      </w:r>
      <w:r w:rsidRPr="00EE6ED7">
        <w:rPr>
          <w:sz w:val="26"/>
          <w:szCs w:val="26"/>
          <w:u w:val="single"/>
          <w:rtl/>
        </w:rPr>
        <w:t>מה ראו</w:t>
      </w:r>
      <w:r w:rsidRPr="00EE6ED7">
        <w:rPr>
          <w:sz w:val="26"/>
          <w:szCs w:val="26"/>
          <w:rtl/>
        </w:rPr>
        <w:t xml:space="preserve"> אנשי סדום </w:t>
      </w:r>
      <w:r w:rsidRPr="00EE6ED7">
        <w:rPr>
          <w:sz w:val="26"/>
          <w:szCs w:val="26"/>
          <w:u w:val="single"/>
          <w:rtl/>
        </w:rPr>
        <w:t>ל</w:t>
      </w:r>
      <w:r w:rsidRPr="00EE6ED7">
        <w:rPr>
          <w:sz w:val="26"/>
          <w:szCs w:val="26"/>
          <w:rtl/>
        </w:rPr>
        <w:t xml:space="preserve">השטף באש וגפרית </w:t>
      </w:r>
      <w:r w:rsidRPr="003626D0">
        <w:rPr>
          <w:sz w:val="26"/>
          <w:szCs w:val="26"/>
          <w:u w:val="single"/>
          <w:rtl/>
        </w:rPr>
        <w:t>ו</w:t>
      </w:r>
      <w:r w:rsidRPr="00EE6ED7">
        <w:rPr>
          <w:sz w:val="26"/>
          <w:szCs w:val="26"/>
          <w:u w:val="single"/>
          <w:rtl/>
        </w:rPr>
        <w:t>מה ראה</w:t>
      </w:r>
      <w:r w:rsidRPr="00EE6ED7">
        <w:rPr>
          <w:sz w:val="26"/>
          <w:szCs w:val="26"/>
          <w:rtl/>
        </w:rPr>
        <w:t xml:space="preserve"> אהרן </w:t>
      </w:r>
      <w:r w:rsidRPr="00EE6ED7">
        <w:rPr>
          <w:sz w:val="26"/>
          <w:szCs w:val="26"/>
          <w:u w:val="single"/>
          <w:rtl/>
        </w:rPr>
        <w:t>ל</w:t>
      </w:r>
      <w:r w:rsidRPr="00EE6ED7">
        <w:rPr>
          <w:sz w:val="26"/>
          <w:szCs w:val="26"/>
          <w:rtl/>
        </w:rPr>
        <w:t xml:space="preserve">יטול את הכהונה </w:t>
      </w:r>
      <w:r w:rsidRPr="003626D0">
        <w:rPr>
          <w:sz w:val="26"/>
          <w:szCs w:val="26"/>
          <w:u w:val="single"/>
          <w:rtl/>
        </w:rPr>
        <w:t>ו</w:t>
      </w:r>
      <w:r w:rsidRPr="00EE6ED7">
        <w:rPr>
          <w:sz w:val="26"/>
          <w:szCs w:val="26"/>
          <w:u w:val="single"/>
          <w:rtl/>
        </w:rPr>
        <w:t>מה ראה</w:t>
      </w:r>
      <w:r w:rsidRPr="00EE6ED7">
        <w:rPr>
          <w:sz w:val="26"/>
          <w:szCs w:val="26"/>
          <w:rtl/>
        </w:rPr>
        <w:t xml:space="preserve"> דוד </w:t>
      </w:r>
      <w:r w:rsidRPr="00EE6ED7">
        <w:rPr>
          <w:sz w:val="26"/>
          <w:szCs w:val="26"/>
          <w:u w:val="single"/>
          <w:rtl/>
        </w:rPr>
        <w:t>ל</w:t>
      </w:r>
      <w:r w:rsidRPr="00EE6ED7">
        <w:rPr>
          <w:sz w:val="26"/>
          <w:szCs w:val="26"/>
          <w:rtl/>
        </w:rPr>
        <w:t xml:space="preserve">יטול את המלכות, </w:t>
      </w:r>
      <w:r w:rsidRPr="003626D0">
        <w:rPr>
          <w:sz w:val="26"/>
          <w:szCs w:val="26"/>
          <w:u w:val="single"/>
          <w:rtl/>
        </w:rPr>
        <w:t>ו</w:t>
      </w:r>
      <w:r w:rsidRPr="00EE6ED7">
        <w:rPr>
          <w:sz w:val="26"/>
          <w:szCs w:val="26"/>
          <w:u w:val="single"/>
          <w:rtl/>
        </w:rPr>
        <w:t>מה ראו</w:t>
      </w:r>
      <w:r w:rsidRPr="00EE6ED7">
        <w:rPr>
          <w:sz w:val="26"/>
          <w:szCs w:val="26"/>
          <w:rtl/>
        </w:rPr>
        <w:t xml:space="preserve"> קרח ועדתו </w:t>
      </w:r>
      <w:r w:rsidRPr="00EE6ED7">
        <w:rPr>
          <w:sz w:val="26"/>
          <w:szCs w:val="26"/>
          <w:u w:val="single"/>
          <w:rtl/>
        </w:rPr>
        <w:t>ש</w:t>
      </w:r>
      <w:r w:rsidRPr="00EE6ED7">
        <w:rPr>
          <w:sz w:val="26"/>
          <w:szCs w:val="26"/>
          <w:rtl/>
        </w:rPr>
        <w:t>תבלעם הארץ?</w:t>
      </w:r>
      <w:r w:rsidR="002524D9">
        <w:rPr>
          <w:rFonts w:hint="cs"/>
          <w:sz w:val="26"/>
          <w:szCs w:val="26"/>
          <w:rtl/>
        </w:rPr>
        <w:t xml:space="preserve"> (</w:t>
      </w:r>
      <w:r w:rsidR="002524D9" w:rsidRPr="00EE6ED7">
        <w:rPr>
          <w:sz w:val="26"/>
          <w:szCs w:val="26"/>
          <w:rtl/>
        </w:rPr>
        <w:t>ספרי דברים</w:t>
      </w:r>
      <w:r w:rsidR="002524D9">
        <w:rPr>
          <w:rFonts w:hint="cs"/>
          <w:sz w:val="26"/>
          <w:szCs w:val="26"/>
          <w:rtl/>
        </w:rPr>
        <w:t xml:space="preserve">, </w:t>
      </w:r>
      <w:r w:rsidR="002524D9" w:rsidRPr="00EE6ED7">
        <w:rPr>
          <w:sz w:val="26"/>
          <w:szCs w:val="26"/>
          <w:rtl/>
        </w:rPr>
        <w:t>שז</w:t>
      </w:r>
      <w:r w:rsidR="003626D0">
        <w:rPr>
          <w:rFonts w:hint="cs"/>
          <w:sz w:val="26"/>
          <w:szCs w:val="26"/>
          <w:rtl/>
        </w:rPr>
        <w:t>, מהדורת פינקלשטיין, עמ' 344</w:t>
      </w:r>
      <w:r w:rsidR="002524D9">
        <w:rPr>
          <w:rFonts w:hint="cs"/>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412B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Here we see that the biblical </w:t>
      </w:r>
      <w:r w:rsidRPr="00EE6ED7">
        <w:rPr>
          <w:sz w:val="26"/>
          <w:szCs w:val="26"/>
          <w:rtl/>
        </w:rPr>
        <w:t>מה...</w:t>
      </w:r>
      <w:r w:rsidR="003B1435">
        <w:rPr>
          <w:rFonts w:hint="cs"/>
          <w:sz w:val="26"/>
          <w:szCs w:val="26"/>
          <w:rtl/>
        </w:rPr>
        <w:t xml:space="preserve"> </w:t>
      </w:r>
      <w:r w:rsidRPr="00EE6ED7">
        <w:rPr>
          <w:sz w:val="26"/>
          <w:szCs w:val="26"/>
          <w:rtl/>
        </w:rPr>
        <w:t>כי...</w:t>
      </w:r>
      <w:r w:rsidRPr="00EE6ED7">
        <w:rPr>
          <w:sz w:val="26"/>
          <w:szCs w:val="26"/>
        </w:rPr>
        <w:t xml:space="preserve"> formula has given rise to a </w:t>
      </w:r>
      <w:r w:rsidRPr="00EE6ED7">
        <w:rPr>
          <w:i/>
          <w:sz w:val="26"/>
          <w:szCs w:val="26"/>
        </w:rPr>
        <w:t>second</w:t>
      </w:r>
      <w:r w:rsidRPr="00EE6ED7">
        <w:rPr>
          <w:sz w:val="26"/>
          <w:szCs w:val="26"/>
        </w:rPr>
        <w:t xml:space="preserve"> MH formula with a verb inserted, viz., </w:t>
      </w:r>
      <w:r w:rsidRPr="00EE6ED7">
        <w:rPr>
          <w:sz w:val="26"/>
          <w:szCs w:val="26"/>
          <w:rtl/>
        </w:rPr>
        <w:t>מה ראה...</w:t>
      </w:r>
      <w:r w:rsidR="003B1435">
        <w:rPr>
          <w:rFonts w:hint="cs"/>
          <w:sz w:val="26"/>
          <w:szCs w:val="26"/>
          <w:rtl/>
        </w:rPr>
        <w:t xml:space="preserve"> </w:t>
      </w:r>
      <w:r w:rsidRPr="00EE6ED7">
        <w:rPr>
          <w:sz w:val="26"/>
          <w:szCs w:val="26"/>
          <w:rtl/>
        </w:rPr>
        <w:t>ש</w:t>
      </w:r>
      <w:r w:rsidR="00A5166D">
        <w:rPr>
          <w:rFonts w:hint="cs"/>
          <w:sz w:val="26"/>
          <w:szCs w:val="26"/>
          <w:rtl/>
        </w:rPr>
        <w:t>-...</w:t>
      </w:r>
      <w:r w:rsidR="000A4652">
        <w:rPr>
          <w:sz w:val="26"/>
          <w:szCs w:val="26"/>
        </w:rPr>
        <w:t>.</w:t>
      </w:r>
      <w:r w:rsidRPr="00EE6ED7">
        <w:rPr>
          <w:sz w:val="26"/>
          <w:szCs w:val="26"/>
          <w:vertAlign w:val="superscript"/>
        </w:rPr>
        <w:footnoteReference w:id="72"/>
      </w:r>
      <w:r w:rsidR="0014624C" w:rsidRPr="00EE6ED7">
        <w:rPr>
          <w:sz w:val="26"/>
          <w:szCs w:val="26"/>
        </w:rPr>
        <w:t xml:space="preserve"> </w:t>
      </w:r>
      <w:r w:rsidRPr="00EE6ED7">
        <w:rPr>
          <w:sz w:val="26"/>
          <w:szCs w:val="26"/>
        </w:rPr>
        <w:t xml:space="preserve">The latter, in turn, has given rise to the variant </w:t>
      </w:r>
      <w:r w:rsidRPr="00EE6ED7">
        <w:rPr>
          <w:sz w:val="26"/>
          <w:szCs w:val="26"/>
          <w:rtl/>
        </w:rPr>
        <w:t>מה ראה...</w:t>
      </w:r>
      <w:r w:rsidR="003B1435">
        <w:rPr>
          <w:rFonts w:hint="cs"/>
          <w:sz w:val="26"/>
          <w:szCs w:val="26"/>
          <w:rtl/>
        </w:rPr>
        <w:t xml:space="preserve"> </w:t>
      </w:r>
      <w:r w:rsidRPr="00EE6ED7">
        <w:rPr>
          <w:sz w:val="26"/>
          <w:szCs w:val="26"/>
          <w:rtl/>
        </w:rPr>
        <w:t>ל-...</w:t>
      </w:r>
      <w:r w:rsidRPr="00EE6ED7">
        <w:rPr>
          <w:sz w:val="26"/>
          <w:szCs w:val="26"/>
        </w:rPr>
        <w:t xml:space="preserve">, with the consequence expressed by the preposition </w:t>
      </w:r>
      <w:r w:rsidRPr="00EE6ED7">
        <w:rPr>
          <w:sz w:val="26"/>
          <w:szCs w:val="26"/>
          <w:rtl/>
        </w:rPr>
        <w:t>ל-</w:t>
      </w:r>
      <w:r w:rsidRPr="00EE6ED7">
        <w:rPr>
          <w:sz w:val="26"/>
          <w:szCs w:val="26"/>
        </w:rPr>
        <w:t xml:space="preserve"> (cf. 1 Sam 15:29</w:t>
      </w:r>
      <w:r w:rsidRPr="00EE6ED7">
        <w:rPr>
          <w:sz w:val="26"/>
          <w:szCs w:val="26"/>
          <w:rtl/>
        </w:rPr>
        <w:t>לא אדם הוא להנחם</w:t>
      </w:r>
      <w:r w:rsidRPr="00EE6ED7">
        <w:rPr>
          <w:sz w:val="26"/>
          <w:szCs w:val="26"/>
        </w:rPr>
        <w:t>).</w:t>
      </w:r>
      <w:r w:rsidRPr="00EE6ED7">
        <w:rPr>
          <w:sz w:val="26"/>
          <w:szCs w:val="26"/>
          <w:vertAlign w:val="superscript"/>
        </w:rPr>
        <w:footnoteReference w:id="73"/>
      </w:r>
      <w:r w:rsidR="0014624C" w:rsidRPr="00EE6ED7">
        <w:rPr>
          <w:sz w:val="26"/>
          <w:szCs w:val="26"/>
        </w:rPr>
        <w:t xml:space="preserve"> </w:t>
      </w:r>
      <w:r w:rsidRPr="00EE6ED7">
        <w:rPr>
          <w:sz w:val="26"/>
          <w:szCs w:val="26"/>
        </w:rPr>
        <w:t>In the course of this evolution, there was a semantic change as well.</w:t>
      </w:r>
      <w:r w:rsidR="0014624C" w:rsidRPr="00EE6ED7">
        <w:rPr>
          <w:sz w:val="26"/>
          <w:szCs w:val="26"/>
        </w:rPr>
        <w:t xml:space="preserve"> </w:t>
      </w:r>
      <w:r w:rsidRPr="00EE6ED7">
        <w:rPr>
          <w:sz w:val="26"/>
          <w:szCs w:val="26"/>
        </w:rPr>
        <w:t xml:space="preserve">The fact that the subject position of </w:t>
      </w:r>
      <w:r w:rsidRPr="00EE6ED7">
        <w:rPr>
          <w:sz w:val="26"/>
          <w:szCs w:val="26"/>
          <w:rtl/>
        </w:rPr>
        <w:t>מה ראה...</w:t>
      </w:r>
      <w:r w:rsidR="003B1435">
        <w:rPr>
          <w:rFonts w:hint="cs"/>
          <w:sz w:val="26"/>
          <w:szCs w:val="26"/>
          <w:rtl/>
        </w:rPr>
        <w:t xml:space="preserve"> </w:t>
      </w:r>
      <w:r w:rsidRPr="00EE6ED7">
        <w:rPr>
          <w:sz w:val="26"/>
          <w:szCs w:val="26"/>
          <w:rtl/>
        </w:rPr>
        <w:t>ש-/ל-...</w:t>
      </w:r>
      <w:r w:rsidRPr="00EE6ED7">
        <w:rPr>
          <w:sz w:val="26"/>
          <w:szCs w:val="26"/>
        </w:rPr>
        <w:t xml:space="preserve"> is frequently filled by inanimate nouns shows that the formula has become semantically bleached to the point where it is nothing more than an idiomatic expression for “why.”</w:t>
      </w:r>
      <w:r w:rsidRPr="00EE6ED7">
        <w:rPr>
          <w:sz w:val="26"/>
          <w:szCs w:val="26"/>
          <w:vertAlign w:val="superscript"/>
        </w:rPr>
        <w:footnoteReference w:id="74"/>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All of this evidence points to interpretation A as the original meaning of the Passover question.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5A34D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V. INTERPRETATION C</w:t>
      </w:r>
    </w:p>
    <w:p w:rsidR="00105DEE" w:rsidRPr="00EE6ED7" w:rsidRDefault="00105DEE" w:rsidP="005A34D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5A34DB">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“How different this night is!</w:t>
      </w:r>
      <w:r w:rsidR="0014624C" w:rsidRPr="00EE6ED7">
        <w:rPr>
          <w:sz w:val="26"/>
          <w:szCs w:val="26"/>
        </w:rPr>
        <w:t xml:space="preserve"> </w:t>
      </w:r>
      <w:r w:rsidRPr="00EE6ED7">
        <w:rPr>
          <w:sz w:val="26"/>
          <w:szCs w:val="26"/>
        </w:rPr>
        <w:t>For we are eating matzah instead of bread...!”</w:t>
      </w:r>
      <w:r w:rsidR="0014624C" w:rsidRPr="00EE6ED7">
        <w:rPr>
          <w:sz w:val="26"/>
          <w:szCs w:val="26"/>
        </w:rPr>
        <w:t xml:space="preserve"> </w:t>
      </w:r>
      <w:r w:rsidRPr="00EE6ED7">
        <w:rPr>
          <w:sz w:val="26"/>
          <w:szCs w:val="26"/>
        </w:rPr>
        <w:t>Here we have no question(s)—not even an implicit question.</w:t>
      </w:r>
      <w:r w:rsidRPr="00EE6ED7">
        <w:rPr>
          <w:sz w:val="26"/>
          <w:szCs w:val="26"/>
          <w:vertAlign w:val="superscript"/>
        </w:rPr>
        <w:footnoteReference w:id="75"/>
      </w:r>
      <w:r w:rsidR="0014624C" w:rsidRPr="00EE6ED7">
        <w:rPr>
          <w:sz w:val="26"/>
          <w:szCs w:val="26"/>
        </w:rPr>
        <w:t xml:space="preserve"> </w:t>
      </w:r>
      <w:r w:rsidRPr="00EE6ED7">
        <w:rPr>
          <w:sz w:val="26"/>
          <w:szCs w:val="26"/>
        </w:rPr>
        <w:t xml:space="preserve">Instead, we have an exclamation, and </w:t>
      </w:r>
      <w:r w:rsidRPr="00EE6ED7">
        <w:rPr>
          <w:sz w:val="26"/>
          <w:szCs w:val="26"/>
          <w:rtl/>
        </w:rPr>
        <w:t>מה</w:t>
      </w:r>
      <w:r w:rsidRPr="00EE6ED7">
        <w:rPr>
          <w:sz w:val="26"/>
          <w:szCs w:val="26"/>
        </w:rPr>
        <w:t xml:space="preserve"> means “how (very)” as in </w:t>
      </w:r>
      <w:r w:rsidR="007500D9" w:rsidRPr="00EE6ED7">
        <w:rPr>
          <w:sz w:val="26"/>
          <w:szCs w:val="26"/>
          <w:rtl/>
        </w:rPr>
        <w:t>מה נכב</w:t>
      </w:r>
      <w:r w:rsidR="00A474EB" w:rsidRPr="00EE6ED7">
        <w:rPr>
          <w:sz w:val="26"/>
          <w:szCs w:val="26"/>
          <w:rtl/>
        </w:rPr>
        <w:t>ַּ</w:t>
      </w:r>
      <w:r w:rsidR="007500D9" w:rsidRPr="00EE6ED7">
        <w:rPr>
          <w:sz w:val="26"/>
          <w:szCs w:val="26"/>
          <w:rtl/>
        </w:rPr>
        <w:t>ד</w:t>
      </w:r>
      <w:r w:rsidR="007500D9" w:rsidRPr="00EE6ED7">
        <w:rPr>
          <w:sz w:val="26"/>
          <w:szCs w:val="26"/>
        </w:rPr>
        <w:t xml:space="preserve"> </w:t>
      </w:r>
      <w:r w:rsidRPr="00EE6ED7">
        <w:rPr>
          <w:sz w:val="26"/>
          <w:szCs w:val="26"/>
        </w:rPr>
        <w:t xml:space="preserve">“how honored!” (2 Sam 6:20) and </w:t>
      </w:r>
      <w:r w:rsidRPr="00EE6ED7">
        <w:rPr>
          <w:sz w:val="26"/>
          <w:szCs w:val="26"/>
          <w:rtl/>
        </w:rPr>
        <w:t>מה נמלצו</w:t>
      </w:r>
      <w:r w:rsidRPr="00EE6ED7">
        <w:rPr>
          <w:sz w:val="26"/>
          <w:szCs w:val="26"/>
        </w:rPr>
        <w:t xml:space="preserve"> “how pleasing!” (Psa 119:103)—to mention only examples with verbs that are morphologically similar to </w:t>
      </w:r>
      <w:r w:rsidRPr="00EE6ED7">
        <w:rPr>
          <w:sz w:val="26"/>
          <w:szCs w:val="26"/>
          <w:rtl/>
        </w:rPr>
        <w:t>נשתנה</w:t>
      </w:r>
      <w:r w:rsidRPr="00EE6ED7">
        <w:rPr>
          <w:sz w:val="26"/>
          <w:szCs w:val="26"/>
        </w:rPr>
        <w:t>.</w:t>
      </w:r>
      <w:r w:rsidR="0014624C" w:rsidRPr="00EE6ED7">
        <w:rPr>
          <w:sz w:val="26"/>
          <w:szCs w:val="26"/>
        </w:rPr>
        <w:t xml:space="preserve"> </w:t>
      </w:r>
      <w:r w:rsidRPr="00EE6ED7">
        <w:rPr>
          <w:sz w:val="26"/>
          <w:szCs w:val="26"/>
        </w:rPr>
        <w:t xml:space="preserve">The referent of </w:t>
      </w:r>
      <w:r w:rsidRPr="00EE6ED7">
        <w:rPr>
          <w:sz w:val="26"/>
          <w:szCs w:val="26"/>
          <w:rtl/>
        </w:rPr>
        <w:t>נשתנה</w:t>
      </w:r>
      <w:r w:rsidRPr="00EE6ED7">
        <w:rPr>
          <w:sz w:val="26"/>
          <w:szCs w:val="26"/>
        </w:rPr>
        <w:t xml:space="preserve"> is spelled out in the </w:t>
      </w:r>
      <w:r w:rsidRPr="00EE6ED7">
        <w:rPr>
          <w:sz w:val="26"/>
          <w:szCs w:val="26"/>
          <w:rtl/>
        </w:rPr>
        <w:t>ש</w:t>
      </w:r>
      <w:r w:rsidRPr="00EE6ED7">
        <w:rPr>
          <w:sz w:val="26"/>
          <w:szCs w:val="26"/>
        </w:rPr>
        <w:t>-clauses.</w:t>
      </w:r>
    </w:p>
    <w:p w:rsidR="00105DEE" w:rsidRPr="00EE6ED7" w:rsidRDefault="00105DEE" w:rsidP="001C7A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As noted above, this interpretation is found already in the Judeo-Spanish issue of the illustrated Venice </w:t>
      </w:r>
      <w:r w:rsidR="005E010D" w:rsidRPr="00EE6ED7">
        <w:rPr>
          <w:sz w:val="26"/>
          <w:szCs w:val="26"/>
        </w:rPr>
        <w:t xml:space="preserve">Haggadah </w:t>
      </w:r>
      <w:r w:rsidRPr="00EE6ED7">
        <w:rPr>
          <w:sz w:val="26"/>
          <w:szCs w:val="26"/>
        </w:rPr>
        <w:t>of 1609:</w:t>
      </w:r>
      <w:r w:rsidRPr="00EE6ED7">
        <w:rPr>
          <w:sz w:val="26"/>
          <w:szCs w:val="26"/>
          <w:rtl/>
        </w:rPr>
        <w:t>קוּאַנְטוֹ פוּאֵי דֵימודַדַה לַה נוֹג</w:t>
      </w:r>
      <w:r w:rsidR="006B23A6">
        <w:rPr>
          <w:rFonts w:hint="cs"/>
          <w:sz w:val="26"/>
          <w:szCs w:val="26"/>
          <w:rtl/>
        </w:rPr>
        <w:t>ֵ'</w:t>
      </w:r>
      <w:r w:rsidRPr="00EE6ED7">
        <w:rPr>
          <w:sz w:val="26"/>
          <w:szCs w:val="26"/>
          <w:rtl/>
        </w:rPr>
        <w:t xml:space="preserve">י לַה </w:t>
      </w:r>
      <w:r w:rsidR="00AA1002" w:rsidRPr="00EE6ED7">
        <w:rPr>
          <w:sz w:val="26"/>
          <w:szCs w:val="26"/>
          <w:rtl/>
        </w:rPr>
        <w:t>אֵי</w:t>
      </w:r>
      <w:r w:rsidR="00AA1002" w:rsidRPr="001345BD">
        <w:rPr>
          <w:rFonts w:hint="cs"/>
          <w:spacing w:val="-28"/>
          <w:sz w:val="26"/>
          <w:szCs w:val="26"/>
          <w:rtl/>
        </w:rPr>
        <w:t>שְֹ</w:t>
      </w:r>
      <w:r w:rsidR="00AA1002" w:rsidRPr="001345BD">
        <w:rPr>
          <w:spacing w:val="-28"/>
          <w:sz w:val="26"/>
          <w:szCs w:val="26"/>
          <w:rtl/>
        </w:rPr>
        <w:t>טַה</w:t>
      </w:r>
      <w:r w:rsidR="00AA1002" w:rsidRPr="00EE6ED7">
        <w:rPr>
          <w:sz w:val="26"/>
          <w:szCs w:val="26"/>
          <w:rtl/>
        </w:rPr>
        <w:t xml:space="preserve"> </w:t>
      </w:r>
      <w:r w:rsidRPr="00EE6ED7">
        <w:rPr>
          <w:sz w:val="26"/>
          <w:szCs w:val="26"/>
          <w:rtl/>
        </w:rPr>
        <w:t>מַאשׂ קֵי טוֹדַאשׂ לַשׂ נוֹגֵ</w:t>
      </w:r>
      <w:r w:rsidR="006B23A6">
        <w:rPr>
          <w:rFonts w:hint="cs"/>
          <w:sz w:val="26"/>
          <w:szCs w:val="26"/>
          <w:rtl/>
        </w:rPr>
        <w:t>'</w:t>
      </w:r>
      <w:r w:rsidRPr="00EE6ED7">
        <w:rPr>
          <w:sz w:val="26"/>
          <w:szCs w:val="26"/>
          <w:rtl/>
        </w:rPr>
        <w:t>ישׂ. קֵי אֵין טוֹדַאשׂ לַ</w:t>
      </w:r>
      <w:r w:rsidR="00302785">
        <w:rPr>
          <w:rFonts w:hint="cs"/>
          <w:sz w:val="26"/>
          <w:szCs w:val="26"/>
          <w:rtl/>
        </w:rPr>
        <w:t>(</w:t>
      </w:r>
      <w:r w:rsidRPr="00EE6ED7">
        <w:rPr>
          <w:sz w:val="26"/>
          <w:szCs w:val="26"/>
          <w:rtl/>
        </w:rPr>
        <w:t>א</w:t>
      </w:r>
      <w:r w:rsidR="00302785">
        <w:rPr>
          <w:rFonts w:hint="cs"/>
          <w:sz w:val="26"/>
          <w:szCs w:val="26"/>
          <w:rtl/>
        </w:rPr>
        <w:t>)</w:t>
      </w:r>
      <w:r w:rsidRPr="00EE6ED7">
        <w:rPr>
          <w:sz w:val="26"/>
          <w:szCs w:val="26"/>
          <w:rtl/>
        </w:rPr>
        <w:t>שׂ נוֹגֵ</w:t>
      </w:r>
      <w:r w:rsidR="006B23A6">
        <w:rPr>
          <w:rFonts w:hint="cs"/>
          <w:sz w:val="26"/>
          <w:szCs w:val="26"/>
          <w:rtl/>
        </w:rPr>
        <w:t>'</w:t>
      </w:r>
      <w:r w:rsidRPr="00EE6ED7">
        <w:rPr>
          <w:sz w:val="26"/>
          <w:szCs w:val="26"/>
          <w:rtl/>
        </w:rPr>
        <w:t>ישׂ</w:t>
      </w:r>
      <w:r w:rsidR="000A4652">
        <w:rPr>
          <w:sz w:val="26"/>
          <w:szCs w:val="26"/>
          <w:rtl/>
        </w:rPr>
        <w:t xml:space="preserve">... </w:t>
      </w:r>
      <w:r w:rsidRPr="00EE6ED7">
        <w:rPr>
          <w:sz w:val="26"/>
          <w:szCs w:val="26"/>
          <w:rtl/>
        </w:rPr>
        <w:t>אִי לַה נוֹג</w:t>
      </w:r>
      <w:r w:rsidR="006B23A6">
        <w:rPr>
          <w:rFonts w:hint="cs"/>
          <w:sz w:val="26"/>
          <w:szCs w:val="26"/>
          <w:rtl/>
        </w:rPr>
        <w:t>ֵ'</w:t>
      </w:r>
      <w:r w:rsidRPr="00EE6ED7">
        <w:rPr>
          <w:sz w:val="26"/>
          <w:szCs w:val="26"/>
          <w:rtl/>
        </w:rPr>
        <w:t>י לַה אֵי</w:t>
      </w:r>
      <w:r w:rsidR="003D7771" w:rsidRPr="001345BD">
        <w:rPr>
          <w:rFonts w:hint="cs"/>
          <w:spacing w:val="-28"/>
          <w:sz w:val="26"/>
          <w:szCs w:val="26"/>
          <w:rtl/>
        </w:rPr>
        <w:t>שְֹ</w:t>
      </w:r>
      <w:r w:rsidRPr="001345BD">
        <w:rPr>
          <w:spacing w:val="-28"/>
          <w:sz w:val="26"/>
          <w:szCs w:val="26"/>
          <w:rtl/>
        </w:rPr>
        <w:t>טַה</w:t>
      </w:r>
      <w:r w:rsidR="00280E19">
        <w:rPr>
          <w:rFonts w:hint="cs"/>
          <w:sz w:val="26"/>
          <w:szCs w:val="26"/>
          <w:rtl/>
        </w:rPr>
        <w:t>...</w:t>
      </w:r>
      <w:r w:rsidR="000A4652">
        <w:rPr>
          <w:sz w:val="26"/>
          <w:szCs w:val="26"/>
        </w:rPr>
        <w:t xml:space="preserve"> </w:t>
      </w:r>
      <w:r w:rsidRPr="00EE6ED7">
        <w:rPr>
          <w:sz w:val="26"/>
          <w:szCs w:val="26"/>
        </w:rPr>
        <w:t>“How this night has been changed more than</w:t>
      </w:r>
      <w:bookmarkStart w:id="11" w:name="_Ref223699989"/>
      <w:r w:rsidRPr="00EE6ED7">
        <w:rPr>
          <w:sz w:val="26"/>
          <w:szCs w:val="26"/>
          <w:vertAlign w:val="superscript"/>
        </w:rPr>
        <w:footnoteReference w:id="76"/>
      </w:r>
      <w:bookmarkEnd w:id="11"/>
      <w:r w:rsidRPr="00EE6ED7">
        <w:rPr>
          <w:sz w:val="26"/>
          <w:szCs w:val="26"/>
        </w:rPr>
        <w:t xml:space="preserve"> all other nights!</w:t>
      </w:r>
      <w:r w:rsidR="0014624C" w:rsidRPr="00EE6ED7">
        <w:rPr>
          <w:sz w:val="26"/>
          <w:szCs w:val="26"/>
        </w:rPr>
        <w:t xml:space="preserve"> </w:t>
      </w:r>
      <w:r w:rsidRPr="00EE6ED7">
        <w:rPr>
          <w:sz w:val="26"/>
          <w:szCs w:val="26"/>
        </w:rPr>
        <w:t>That on all other nights</w:t>
      </w:r>
      <w:r w:rsidR="000A4652">
        <w:rPr>
          <w:sz w:val="26"/>
          <w:szCs w:val="26"/>
        </w:rPr>
        <w:t xml:space="preserve">... </w:t>
      </w:r>
      <w:r w:rsidRPr="00EE6ED7">
        <w:rPr>
          <w:sz w:val="26"/>
          <w:szCs w:val="26"/>
        </w:rPr>
        <w:t>and this night</w:t>
      </w:r>
      <w:r w:rsidR="00302785">
        <w:rPr>
          <w:sz w:val="26"/>
          <w:szCs w:val="26"/>
        </w:rPr>
        <w:t>...</w:t>
      </w:r>
      <w:r w:rsidRPr="00EE6ED7">
        <w:rPr>
          <w:sz w:val="26"/>
          <w:szCs w:val="26"/>
        </w:rPr>
        <w:t>”</w:t>
      </w:r>
      <w:r w:rsidR="0014624C" w:rsidRPr="00EE6ED7">
        <w:rPr>
          <w:sz w:val="26"/>
          <w:szCs w:val="26"/>
        </w:rPr>
        <w:t xml:space="preserve"> </w:t>
      </w:r>
      <w:r w:rsidR="002F1AEE">
        <w:rPr>
          <w:sz w:val="26"/>
          <w:szCs w:val="26"/>
        </w:rPr>
        <w:t>Indeed, it is found even earlier in the Salonica Ladino Siddur for women (ca. 1550), whose rendering of the first clause, etc., is almost identical to the one given immediately above.</w:t>
      </w:r>
      <w:r w:rsidR="002F1AEE" w:rsidRPr="00EE6ED7">
        <w:rPr>
          <w:sz w:val="26"/>
          <w:szCs w:val="26"/>
          <w:vertAlign w:val="superscript"/>
        </w:rPr>
        <w:footnoteReference w:id="77"/>
      </w:r>
      <w:r w:rsidR="002F1AEE">
        <w:rPr>
          <w:sz w:val="26"/>
          <w:szCs w:val="26"/>
        </w:rPr>
        <w:t xml:space="preserve"> In both of these translations, </w:t>
      </w:r>
      <w:r w:rsidRPr="00EE6ED7">
        <w:rPr>
          <w:sz w:val="26"/>
          <w:szCs w:val="26"/>
          <w:rtl/>
        </w:rPr>
        <w:t>מה נשתנה</w:t>
      </w:r>
      <w:r w:rsidRPr="00EE6ED7">
        <w:rPr>
          <w:sz w:val="26"/>
          <w:szCs w:val="26"/>
        </w:rPr>
        <w:t xml:space="preserve"> is rendered </w:t>
      </w:r>
      <w:r w:rsidR="00814D63">
        <w:rPr>
          <w:sz w:val="26"/>
          <w:szCs w:val="26"/>
          <w:rtl/>
        </w:rPr>
        <w:t>ק</w:t>
      </w:r>
      <w:r w:rsidR="00814D63">
        <w:rPr>
          <w:rFonts w:hint="cs"/>
          <w:sz w:val="26"/>
          <w:szCs w:val="26"/>
          <w:rtl/>
        </w:rPr>
        <w:t>וא</w:t>
      </w:r>
      <w:r w:rsidR="00814D63">
        <w:rPr>
          <w:sz w:val="26"/>
          <w:szCs w:val="26"/>
          <w:rtl/>
        </w:rPr>
        <w:t>נט</w:t>
      </w:r>
      <w:r w:rsidR="00814D63">
        <w:rPr>
          <w:rFonts w:hint="cs"/>
          <w:sz w:val="26"/>
          <w:szCs w:val="26"/>
          <w:rtl/>
        </w:rPr>
        <w:t>ו</w:t>
      </w:r>
      <w:r w:rsidR="00814D63">
        <w:rPr>
          <w:sz w:val="26"/>
          <w:szCs w:val="26"/>
          <w:rtl/>
        </w:rPr>
        <w:t xml:space="preserve"> פ</w:t>
      </w:r>
      <w:r w:rsidR="00814D63">
        <w:rPr>
          <w:rFonts w:hint="cs"/>
          <w:sz w:val="26"/>
          <w:szCs w:val="26"/>
          <w:rtl/>
        </w:rPr>
        <w:t>ו</w:t>
      </w:r>
      <w:r w:rsidR="00814D63">
        <w:rPr>
          <w:sz w:val="26"/>
          <w:szCs w:val="26"/>
          <w:rtl/>
        </w:rPr>
        <w:t>אי דימודד</w:t>
      </w:r>
      <w:r w:rsidRPr="00EE6ED7">
        <w:rPr>
          <w:sz w:val="26"/>
          <w:szCs w:val="26"/>
          <w:rtl/>
        </w:rPr>
        <w:t>ה</w:t>
      </w:r>
      <w:r w:rsidRPr="00EE6ED7">
        <w:rPr>
          <w:sz w:val="26"/>
          <w:szCs w:val="26"/>
        </w:rPr>
        <w:t xml:space="preserve"> (</w:t>
      </w:r>
      <w:r w:rsidRPr="00EE6ED7">
        <w:rPr>
          <w:i/>
          <w:sz w:val="26"/>
          <w:szCs w:val="26"/>
        </w:rPr>
        <w:t>quanto fue demudada</w:t>
      </w:r>
      <w:r w:rsidR="002F1AEE">
        <w:rPr>
          <w:sz w:val="26"/>
          <w:szCs w:val="26"/>
        </w:rPr>
        <w:t>)</w:t>
      </w:r>
      <w:r w:rsidRPr="00EE6ED7">
        <w:rPr>
          <w:sz w:val="26"/>
          <w:szCs w:val="26"/>
        </w:rPr>
        <w:t>.</w:t>
      </w:r>
      <w:r w:rsidR="0014624C" w:rsidRPr="00EE6ED7">
        <w:rPr>
          <w:sz w:val="26"/>
          <w:szCs w:val="26"/>
        </w:rPr>
        <w:t xml:space="preserve"> </w:t>
      </w:r>
      <w:r w:rsidRPr="00EE6ED7">
        <w:rPr>
          <w:sz w:val="26"/>
          <w:szCs w:val="26"/>
        </w:rPr>
        <w:t xml:space="preserve">For </w:t>
      </w:r>
      <w:r w:rsidRPr="00EE6ED7">
        <w:rPr>
          <w:sz w:val="26"/>
          <w:szCs w:val="26"/>
          <w:rtl/>
        </w:rPr>
        <w:t>קואנטו</w:t>
      </w:r>
      <w:r w:rsidRPr="00EE6ED7">
        <w:rPr>
          <w:sz w:val="26"/>
          <w:szCs w:val="26"/>
        </w:rPr>
        <w:t xml:space="preserve"> = </w:t>
      </w:r>
      <w:r w:rsidRPr="00EE6ED7">
        <w:rPr>
          <w:sz w:val="26"/>
          <w:szCs w:val="26"/>
          <w:rtl/>
        </w:rPr>
        <w:t>מה</w:t>
      </w:r>
      <w:r w:rsidRPr="00EE6ED7">
        <w:rPr>
          <w:sz w:val="26"/>
          <w:szCs w:val="26"/>
        </w:rPr>
        <w:t xml:space="preserve">, we may compare the rendering of similar exclamations in </w:t>
      </w:r>
      <w:r w:rsidR="0086288F" w:rsidRPr="00EE6ED7">
        <w:rPr>
          <w:sz w:val="26"/>
          <w:szCs w:val="26"/>
        </w:rPr>
        <w:t>sixteenth-</w:t>
      </w:r>
      <w:r w:rsidRPr="00EE6ED7">
        <w:rPr>
          <w:sz w:val="26"/>
          <w:szCs w:val="26"/>
        </w:rPr>
        <w:t>century Ladino translations.</w:t>
      </w:r>
      <w:r w:rsidR="0014624C" w:rsidRPr="00EE6ED7">
        <w:rPr>
          <w:sz w:val="26"/>
          <w:szCs w:val="26"/>
        </w:rPr>
        <w:t xml:space="preserve"> </w:t>
      </w:r>
      <w:r w:rsidRPr="00EE6ED7">
        <w:rPr>
          <w:sz w:val="26"/>
          <w:szCs w:val="26"/>
        </w:rPr>
        <w:t xml:space="preserve">In the Pentateuch, </w:t>
      </w:r>
      <w:r w:rsidRPr="00EE6ED7">
        <w:rPr>
          <w:sz w:val="26"/>
          <w:szCs w:val="26"/>
          <w:rtl/>
        </w:rPr>
        <w:t>מה נורא</w:t>
      </w:r>
      <w:r w:rsidRPr="00EE6ED7">
        <w:rPr>
          <w:sz w:val="26"/>
          <w:szCs w:val="26"/>
        </w:rPr>
        <w:t xml:space="preserve"> (Gen 28:17) is rendered </w:t>
      </w:r>
      <w:r w:rsidRPr="00EE6ED7">
        <w:rPr>
          <w:sz w:val="26"/>
          <w:szCs w:val="26"/>
          <w:rtl/>
        </w:rPr>
        <w:t>קואנטו טימירושו</w:t>
      </w:r>
      <w:r w:rsidRPr="00EE6ED7">
        <w:rPr>
          <w:sz w:val="26"/>
          <w:szCs w:val="26"/>
        </w:rPr>
        <w:t xml:space="preserve"> (</w:t>
      </w:r>
      <w:r w:rsidRPr="00EE6ED7">
        <w:rPr>
          <w:i/>
          <w:sz w:val="26"/>
          <w:szCs w:val="26"/>
        </w:rPr>
        <w:t>quanto temeroso</w:t>
      </w:r>
      <w:r w:rsidRPr="00EE6ED7">
        <w:rPr>
          <w:sz w:val="26"/>
          <w:szCs w:val="26"/>
        </w:rPr>
        <w:t xml:space="preserve"> “how frightful!”), and </w:t>
      </w:r>
      <w:r w:rsidRPr="00EE6ED7">
        <w:rPr>
          <w:sz w:val="26"/>
          <w:szCs w:val="26"/>
          <w:rtl/>
        </w:rPr>
        <w:t>מה טבו</w:t>
      </w:r>
      <w:r w:rsidR="005A34DB">
        <w:rPr>
          <w:sz w:val="26"/>
          <w:szCs w:val="26"/>
        </w:rPr>
        <w:t xml:space="preserve"> (Num 24:5) is rendered</w:t>
      </w:r>
      <w:r w:rsidRPr="00EE6ED7">
        <w:rPr>
          <w:sz w:val="26"/>
          <w:szCs w:val="26"/>
          <w:rtl/>
        </w:rPr>
        <w:t>קואנטו שי אבוניגוארון</w:t>
      </w:r>
      <w:r w:rsidRPr="00EE6ED7">
        <w:rPr>
          <w:sz w:val="26"/>
          <w:szCs w:val="26"/>
        </w:rPr>
        <w:t xml:space="preserve"> (</w:t>
      </w:r>
      <w:r w:rsidRPr="00EE6ED7">
        <w:rPr>
          <w:i/>
          <w:sz w:val="26"/>
          <w:szCs w:val="26"/>
        </w:rPr>
        <w:t>quanto se aboniguaron</w:t>
      </w:r>
      <w:r w:rsidRPr="00EE6ED7">
        <w:rPr>
          <w:sz w:val="26"/>
          <w:szCs w:val="26"/>
        </w:rPr>
        <w:t xml:space="preserve"> “how good they are”!).</w:t>
      </w:r>
      <w:r w:rsidRPr="00EE6ED7">
        <w:rPr>
          <w:sz w:val="26"/>
          <w:szCs w:val="26"/>
          <w:vertAlign w:val="superscript"/>
        </w:rPr>
        <w:footnoteReference w:id="78"/>
      </w:r>
      <w:r w:rsidR="0014624C" w:rsidRPr="00EE6ED7">
        <w:rPr>
          <w:sz w:val="26"/>
          <w:szCs w:val="26"/>
        </w:rPr>
        <w:t xml:space="preserve"> </w:t>
      </w:r>
      <w:r w:rsidRPr="00EE6ED7">
        <w:rPr>
          <w:sz w:val="26"/>
          <w:szCs w:val="26"/>
        </w:rPr>
        <w:t>Parallels to the entire construction (</w:t>
      </w:r>
      <w:r w:rsidRPr="00EE6ED7">
        <w:rPr>
          <w:i/>
          <w:sz w:val="26"/>
          <w:szCs w:val="26"/>
        </w:rPr>
        <w:t>quanto</w:t>
      </w:r>
      <w:r w:rsidR="000A4652">
        <w:rPr>
          <w:sz w:val="26"/>
          <w:szCs w:val="26"/>
        </w:rPr>
        <w:t xml:space="preserve">... </w:t>
      </w:r>
      <w:r w:rsidRPr="00EE6ED7">
        <w:rPr>
          <w:i/>
          <w:sz w:val="26"/>
          <w:szCs w:val="26"/>
        </w:rPr>
        <w:t>mas que</w:t>
      </w:r>
      <w:r w:rsidR="000A4652">
        <w:rPr>
          <w:sz w:val="26"/>
          <w:szCs w:val="26"/>
        </w:rPr>
        <w:t>...</w:t>
      </w:r>
      <w:r w:rsidRPr="00EE6ED7">
        <w:rPr>
          <w:sz w:val="26"/>
          <w:szCs w:val="26"/>
        </w:rPr>
        <w:t>) are also found.</w:t>
      </w:r>
      <w:r w:rsidR="0014624C" w:rsidRPr="00EE6ED7">
        <w:rPr>
          <w:sz w:val="26"/>
          <w:szCs w:val="26"/>
        </w:rPr>
        <w:t xml:space="preserve"> </w:t>
      </w:r>
      <w:r w:rsidRPr="00EE6ED7">
        <w:rPr>
          <w:sz w:val="26"/>
          <w:szCs w:val="26"/>
        </w:rPr>
        <w:t xml:space="preserve">In the Psalter, </w:t>
      </w:r>
      <w:r w:rsidRPr="00EE6ED7">
        <w:rPr>
          <w:sz w:val="26"/>
          <w:szCs w:val="26"/>
          <w:rtl/>
        </w:rPr>
        <w:t>מה נמלצו לחכי אמרתך מדבש לפי</w:t>
      </w:r>
      <w:r w:rsidRPr="00EE6ED7">
        <w:rPr>
          <w:sz w:val="26"/>
          <w:szCs w:val="26"/>
        </w:rPr>
        <w:t xml:space="preserve"> (119:103) appears as </w:t>
      </w:r>
      <w:r w:rsidRPr="00EE6ED7">
        <w:rPr>
          <w:sz w:val="26"/>
          <w:szCs w:val="26"/>
          <w:rtl/>
        </w:rPr>
        <w:t>קואנטו שי אדולסארון אה מי פאלאדאר טוש דיגאש, מאש קי מייל אה מי בוקה</w:t>
      </w:r>
      <w:r w:rsidRPr="00EE6ED7">
        <w:rPr>
          <w:sz w:val="26"/>
          <w:szCs w:val="26"/>
        </w:rPr>
        <w:t xml:space="preserve"> (</w:t>
      </w:r>
      <w:r w:rsidRPr="00EE6ED7">
        <w:rPr>
          <w:i/>
          <w:sz w:val="26"/>
          <w:szCs w:val="26"/>
        </w:rPr>
        <w:t>quanto se adulçaron a mi paladar tus dichas, mas que miel a mi boca</w:t>
      </w:r>
      <w:r w:rsidRPr="00EE6ED7">
        <w:rPr>
          <w:sz w:val="26"/>
          <w:szCs w:val="26"/>
        </w:rPr>
        <w:t xml:space="preserve"> “How sweet to my palate are the things said by you, more than honey to my mouth!”).</w:t>
      </w:r>
      <w:r w:rsidRPr="00EE6ED7">
        <w:rPr>
          <w:sz w:val="26"/>
          <w:szCs w:val="26"/>
          <w:vertAlign w:val="superscript"/>
        </w:rPr>
        <w:footnoteReference w:id="79"/>
      </w:r>
      <w:r w:rsidR="0014624C" w:rsidRPr="00EE6ED7">
        <w:rPr>
          <w:sz w:val="26"/>
          <w:szCs w:val="26"/>
        </w:rPr>
        <w:t xml:space="preserve"> </w:t>
      </w:r>
      <w:r w:rsidRPr="00EE6ED7">
        <w:rPr>
          <w:sz w:val="26"/>
          <w:szCs w:val="26"/>
        </w:rPr>
        <w:t xml:space="preserve">In the Ferrara Ladino </w:t>
      </w:r>
      <w:r w:rsidR="005E010D" w:rsidRPr="00EE6ED7">
        <w:rPr>
          <w:sz w:val="26"/>
          <w:szCs w:val="26"/>
        </w:rPr>
        <w:t xml:space="preserve">Siddur </w:t>
      </w:r>
      <w:r w:rsidRPr="00EE6ED7">
        <w:rPr>
          <w:sz w:val="26"/>
          <w:szCs w:val="26"/>
        </w:rPr>
        <w:t xml:space="preserve">of 1552, the rendering of </w:t>
      </w:r>
      <w:r w:rsidRPr="00EE6ED7">
        <w:rPr>
          <w:sz w:val="26"/>
          <w:szCs w:val="26"/>
          <w:rtl/>
        </w:rPr>
        <w:t>מה טבו דדיך מיין</w:t>
      </w:r>
      <w:r w:rsidRPr="00EE6ED7">
        <w:rPr>
          <w:sz w:val="26"/>
          <w:szCs w:val="26"/>
        </w:rPr>
        <w:t xml:space="preserve"> (Song </w:t>
      </w:r>
      <w:smartTag w:uri="urn:schemas-microsoft-com:office:smarttags" w:element="time">
        <w:smartTagPr>
          <w:attr w:name="Hour" w:val="4"/>
          <w:attr w:name="Minute" w:val="10"/>
        </w:smartTagPr>
        <w:r w:rsidRPr="00EE6ED7">
          <w:rPr>
            <w:sz w:val="26"/>
            <w:szCs w:val="26"/>
          </w:rPr>
          <w:t>4:10</w:t>
        </w:r>
      </w:smartTag>
      <w:r w:rsidRPr="00EE6ED7">
        <w:rPr>
          <w:sz w:val="26"/>
          <w:szCs w:val="26"/>
        </w:rPr>
        <w:t xml:space="preserve">) is </w:t>
      </w:r>
      <w:r w:rsidRPr="00EE6ED7">
        <w:rPr>
          <w:i/>
          <w:sz w:val="26"/>
          <w:szCs w:val="26"/>
        </w:rPr>
        <w:t>quanto se aboniguaron tus querencias mas que vino</w:t>
      </w:r>
      <w:r w:rsidRPr="00EE6ED7">
        <w:rPr>
          <w:sz w:val="26"/>
          <w:szCs w:val="26"/>
        </w:rPr>
        <w:t xml:space="preserve"> “How good your affections are, more than wine!”</w:t>
      </w:r>
      <w:r w:rsidRPr="00EE6ED7">
        <w:rPr>
          <w:sz w:val="26"/>
          <w:szCs w:val="26"/>
          <w:vertAlign w:val="superscript"/>
        </w:rPr>
        <w:footnoteReference w:id="80"/>
      </w:r>
      <w:r w:rsidR="0014624C" w:rsidRPr="00EE6ED7">
        <w:rPr>
          <w:sz w:val="26"/>
          <w:szCs w:val="26"/>
        </w:rPr>
        <w:t xml:space="preserve"> </w:t>
      </w:r>
      <w:r w:rsidRPr="00EE6ED7">
        <w:rPr>
          <w:sz w:val="26"/>
          <w:szCs w:val="26"/>
        </w:rPr>
        <w:t>Parallels are found in non-Jewish sources as well.</w:t>
      </w:r>
      <w:r w:rsidRPr="00EE6ED7">
        <w:rPr>
          <w:sz w:val="26"/>
          <w:szCs w:val="26"/>
          <w:vertAlign w:val="superscript"/>
        </w:rPr>
        <w:footnoteReference w:id="81"/>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Among the modern adherents of this interpretation are N. H. Tur-Sinai and J. Neusner.</w:t>
      </w:r>
      <w:r w:rsidRPr="00EE6ED7">
        <w:rPr>
          <w:sz w:val="26"/>
          <w:szCs w:val="26"/>
          <w:vertAlign w:val="superscript"/>
        </w:rPr>
        <w:footnoteReference w:id="82"/>
      </w:r>
      <w:r w:rsidR="0014624C" w:rsidRPr="00EE6ED7">
        <w:rPr>
          <w:sz w:val="26"/>
          <w:szCs w:val="26"/>
        </w:rPr>
        <w:t xml:space="preserve"> </w:t>
      </w:r>
      <w:r w:rsidRPr="00EE6ED7">
        <w:rPr>
          <w:sz w:val="26"/>
          <w:szCs w:val="26"/>
        </w:rPr>
        <w:t>Neusner translates:</w:t>
      </w:r>
      <w:r w:rsidR="0014624C" w:rsidRPr="00EE6ED7">
        <w:rPr>
          <w:sz w:val="26"/>
          <w:szCs w:val="26"/>
        </w:rPr>
        <w:t xml:space="preserve"> </w:t>
      </w:r>
      <w:r w:rsidRPr="00EE6ED7">
        <w:rPr>
          <w:sz w:val="26"/>
          <w:szCs w:val="26"/>
        </w:rPr>
        <w:t>“How different this night is from all other nights!</w:t>
      </w:r>
      <w:r w:rsidR="0014624C" w:rsidRPr="00EE6ED7">
        <w:rPr>
          <w:sz w:val="26"/>
          <w:szCs w:val="26"/>
        </w:rPr>
        <w:t xml:space="preserve"> </w:t>
      </w:r>
      <w:r w:rsidRPr="00EE6ED7">
        <w:rPr>
          <w:sz w:val="26"/>
          <w:szCs w:val="26"/>
        </w:rPr>
        <w:t>For on all other nights</w:t>
      </w:r>
      <w:r w:rsidR="000A4652">
        <w:rPr>
          <w:sz w:val="26"/>
          <w:szCs w:val="26"/>
        </w:rPr>
        <w:t>...</w:t>
      </w:r>
      <w:r w:rsidRPr="00EE6ED7">
        <w:rPr>
          <w:sz w:val="26"/>
          <w:szCs w:val="26"/>
        </w:rPr>
        <w:t>”</w:t>
      </w:r>
      <w:r w:rsidR="0014624C" w:rsidRPr="00EE6ED7">
        <w:rPr>
          <w:sz w:val="26"/>
          <w:szCs w:val="26"/>
        </w:rPr>
        <w:t xml:space="preserve"> </w:t>
      </w:r>
      <w:r w:rsidRPr="00EE6ED7">
        <w:rPr>
          <w:sz w:val="26"/>
          <w:szCs w:val="26"/>
        </w:rPr>
        <w:t xml:space="preserve">Tur-Sinai cites (in addition to </w:t>
      </w:r>
      <w:r w:rsidRPr="00EE6ED7">
        <w:rPr>
          <w:sz w:val="26"/>
          <w:szCs w:val="26"/>
          <w:rtl/>
        </w:rPr>
        <w:t>מה נורא</w:t>
      </w:r>
      <w:r w:rsidRPr="00EE6ED7">
        <w:rPr>
          <w:sz w:val="26"/>
          <w:szCs w:val="26"/>
        </w:rPr>
        <w:t xml:space="preserve">, </w:t>
      </w:r>
      <w:r w:rsidRPr="00EE6ED7">
        <w:rPr>
          <w:sz w:val="26"/>
          <w:szCs w:val="26"/>
          <w:rtl/>
        </w:rPr>
        <w:t>מה טבו</w:t>
      </w:r>
      <w:r w:rsidRPr="00EE6ED7">
        <w:rPr>
          <w:sz w:val="26"/>
          <w:szCs w:val="26"/>
        </w:rPr>
        <w:t>, etc.) an alleged parallel from the Talmud:</w:t>
      </w:r>
      <w:r w:rsidR="0014624C" w:rsidRPr="00EE6ED7">
        <w:rPr>
          <w:sz w:val="26"/>
          <w:szCs w:val="26"/>
        </w:rPr>
        <w:t xml:space="preserve"> </w:t>
      </w:r>
      <w:r w:rsidRPr="00EE6ED7">
        <w:rPr>
          <w:sz w:val="26"/>
          <w:szCs w:val="26"/>
          <w:rtl/>
        </w:rPr>
        <w:t>מה נשתנינו מכל אומה ולשון שאתם גוזרין עלינו גזרות קשות</w:t>
      </w:r>
      <w:r w:rsidRPr="00EE6ED7">
        <w:rPr>
          <w:sz w:val="26"/>
          <w:szCs w:val="26"/>
        </w:rPr>
        <w:t>.</w:t>
      </w:r>
      <w:r w:rsidRPr="00EE6ED7">
        <w:rPr>
          <w:sz w:val="26"/>
          <w:szCs w:val="26"/>
          <w:vertAlign w:val="superscript"/>
        </w:rPr>
        <w:footnoteReference w:id="83"/>
      </w:r>
      <w:r w:rsidR="0014624C" w:rsidRPr="00EE6ED7">
        <w:rPr>
          <w:sz w:val="26"/>
          <w:szCs w:val="26"/>
        </w:rPr>
        <w:t xml:space="preserve"> </w:t>
      </w:r>
      <w:r w:rsidRPr="00EE6ED7">
        <w:rPr>
          <w:sz w:val="26"/>
          <w:szCs w:val="26"/>
        </w:rPr>
        <w:t>However, we have already established that this is a rhetorical question,</w:t>
      </w:r>
      <w:r w:rsidRPr="00EE6ED7">
        <w:rPr>
          <w:sz w:val="26"/>
          <w:szCs w:val="26"/>
          <w:vertAlign w:val="superscript"/>
        </w:rPr>
        <w:footnoteReference w:id="84"/>
      </w:r>
      <w:r w:rsidRPr="00EE6ED7">
        <w:rPr>
          <w:sz w:val="26"/>
          <w:szCs w:val="26"/>
        </w:rPr>
        <w:t xml:space="preserve"> and Tur-Sinai himself calls it a </w:t>
      </w:r>
      <w:r w:rsidRPr="00EE6ED7">
        <w:rPr>
          <w:sz w:val="26"/>
          <w:szCs w:val="26"/>
          <w:rtl/>
        </w:rPr>
        <w:t>שאלת נואם</w:t>
      </w:r>
      <w:r w:rsidRPr="00EE6ED7">
        <w:rPr>
          <w:sz w:val="26"/>
          <w:szCs w:val="26"/>
        </w:rPr>
        <w:t>.</w:t>
      </w:r>
      <w:r w:rsidR="0014624C" w:rsidRPr="00EE6ED7">
        <w:rPr>
          <w:sz w:val="26"/>
          <w:szCs w:val="26"/>
        </w:rPr>
        <w:t xml:space="preserve"> </w:t>
      </w:r>
      <w:r w:rsidRPr="00EE6ED7">
        <w:rPr>
          <w:sz w:val="26"/>
          <w:szCs w:val="26"/>
        </w:rPr>
        <w:t>Its meaning is “How are we different?!” (implying: “We are not different”)—not “How different we are!” (implying: “We are very different”).</w:t>
      </w:r>
      <w:r w:rsidRPr="00EE6ED7">
        <w:rPr>
          <w:sz w:val="26"/>
          <w:szCs w:val="26"/>
          <w:vertAlign w:val="superscript"/>
        </w:rPr>
        <w:footnoteReference w:id="85"/>
      </w:r>
      <w:r w:rsidR="0014624C" w:rsidRPr="00EE6ED7">
        <w:rPr>
          <w:sz w:val="26"/>
          <w:szCs w:val="26"/>
        </w:rPr>
        <w:t xml:space="preserve"> </w:t>
      </w:r>
      <w:r w:rsidRPr="00EE6ED7">
        <w:rPr>
          <w:sz w:val="26"/>
          <w:szCs w:val="26"/>
        </w:rPr>
        <w:t xml:space="preserve">Although the exclamative use of interrogatives like </w:t>
      </w:r>
      <w:r w:rsidRPr="00EE6ED7">
        <w:rPr>
          <w:i/>
          <w:sz w:val="26"/>
          <w:szCs w:val="26"/>
        </w:rPr>
        <w:t>how</w:t>
      </w:r>
      <w:r w:rsidRPr="00EE6ED7">
        <w:rPr>
          <w:sz w:val="26"/>
          <w:szCs w:val="26"/>
        </w:rPr>
        <w:t xml:space="preserve"> and </w:t>
      </w:r>
      <w:r w:rsidRPr="00EE6ED7">
        <w:rPr>
          <w:sz w:val="26"/>
          <w:szCs w:val="26"/>
          <w:rtl/>
        </w:rPr>
        <w:t>מה</w:t>
      </w:r>
      <w:r w:rsidRPr="00EE6ED7">
        <w:rPr>
          <w:sz w:val="26"/>
          <w:szCs w:val="26"/>
        </w:rPr>
        <w:t xml:space="preserve"> is widespread in the languages of the world and is commonly explained as having evolved from their use in rhetorical questions, there are important synchronic differences between the two uses.</w:t>
      </w:r>
      <w:r w:rsidRPr="00EE6ED7">
        <w:rPr>
          <w:sz w:val="26"/>
          <w:szCs w:val="26"/>
          <w:vertAlign w:val="superscript"/>
        </w:rPr>
        <w:footnoteReference w:id="86"/>
      </w:r>
      <w:r w:rsidR="0014624C" w:rsidRPr="00EE6ED7">
        <w:rPr>
          <w:sz w:val="26"/>
          <w:szCs w:val="26"/>
        </w:rPr>
        <w:t xml:space="preserve"> </w:t>
      </w:r>
      <w:r w:rsidRPr="00EE6ED7">
        <w:rPr>
          <w:sz w:val="26"/>
          <w:szCs w:val="26"/>
        </w:rPr>
        <w:t xml:space="preserve">The exclamative </w:t>
      </w:r>
      <w:r w:rsidRPr="00EE6ED7">
        <w:rPr>
          <w:sz w:val="26"/>
          <w:szCs w:val="26"/>
          <w:rtl/>
        </w:rPr>
        <w:t>מה</w:t>
      </w:r>
      <w:r w:rsidRPr="00EE6ED7">
        <w:rPr>
          <w:sz w:val="26"/>
          <w:szCs w:val="26"/>
        </w:rPr>
        <w:t xml:space="preserve"> of </w:t>
      </w:r>
      <w:r w:rsidRPr="00EE6ED7">
        <w:rPr>
          <w:sz w:val="26"/>
          <w:szCs w:val="26"/>
          <w:rtl/>
        </w:rPr>
        <w:t>מה טבו</w:t>
      </w:r>
      <w:r w:rsidRPr="00EE6ED7">
        <w:rPr>
          <w:sz w:val="26"/>
          <w:szCs w:val="26"/>
        </w:rPr>
        <w:t xml:space="preserve"> is an adverb of degree, like </w:t>
      </w:r>
      <w:r w:rsidRPr="00EE6ED7">
        <w:rPr>
          <w:sz w:val="26"/>
          <w:szCs w:val="26"/>
          <w:rtl/>
        </w:rPr>
        <w:t>מאד</w:t>
      </w:r>
      <w:r w:rsidRPr="00EE6ED7">
        <w:rPr>
          <w:sz w:val="26"/>
          <w:szCs w:val="26"/>
        </w:rPr>
        <w:t xml:space="preserve">; the interrogative </w:t>
      </w:r>
      <w:r w:rsidRPr="00EE6ED7">
        <w:rPr>
          <w:sz w:val="26"/>
          <w:szCs w:val="26"/>
          <w:rtl/>
        </w:rPr>
        <w:t>מה</w:t>
      </w:r>
      <w:r w:rsidRPr="00EE6ED7">
        <w:rPr>
          <w:sz w:val="26"/>
          <w:szCs w:val="26"/>
        </w:rPr>
        <w:t xml:space="preserve"> of rhetorical </w:t>
      </w:r>
      <w:r w:rsidRPr="00EE6ED7">
        <w:rPr>
          <w:sz w:val="26"/>
          <w:szCs w:val="26"/>
          <w:rtl/>
        </w:rPr>
        <w:t>מה נשתנינו</w:t>
      </w:r>
      <w:r w:rsidRPr="00EE6ED7">
        <w:rPr>
          <w:sz w:val="26"/>
          <w:szCs w:val="26"/>
        </w:rPr>
        <w:t>, if it is an adverb at all, is an adverb of manner.</w:t>
      </w:r>
      <w:r w:rsidR="0014624C" w:rsidRPr="00EE6ED7">
        <w:rPr>
          <w:sz w:val="26"/>
          <w:szCs w:val="26"/>
        </w:rPr>
        <w:t xml:space="preserve"> </w:t>
      </w:r>
      <w:r w:rsidRPr="00EE6ED7">
        <w:rPr>
          <w:sz w:val="26"/>
          <w:szCs w:val="26"/>
        </w:rPr>
        <w:t>The two must not be confused.</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It is difficult to find evidence that the </w:t>
      </w:r>
      <w:r w:rsidRPr="00EE6ED7">
        <w:rPr>
          <w:sz w:val="26"/>
          <w:szCs w:val="26"/>
          <w:rtl/>
        </w:rPr>
        <w:t>מה נשתנה</w:t>
      </w:r>
      <w:r w:rsidRPr="00EE6ED7">
        <w:rPr>
          <w:sz w:val="26"/>
          <w:szCs w:val="26"/>
        </w:rPr>
        <w:t xml:space="preserve"> formula was ever used in exclamations.</w:t>
      </w:r>
      <w:r w:rsidR="0014624C" w:rsidRPr="00EE6ED7">
        <w:rPr>
          <w:sz w:val="26"/>
          <w:szCs w:val="26"/>
        </w:rPr>
        <w:t xml:space="preserve"> </w:t>
      </w:r>
      <w:r w:rsidRPr="00EE6ED7">
        <w:rPr>
          <w:sz w:val="26"/>
          <w:szCs w:val="26"/>
        </w:rPr>
        <w:t xml:space="preserve">The variants of the </w:t>
      </w:r>
      <w:r w:rsidRPr="00EE6ED7">
        <w:rPr>
          <w:sz w:val="26"/>
          <w:szCs w:val="26"/>
          <w:rtl/>
        </w:rPr>
        <w:t>מה נשתנה</w:t>
      </w:r>
      <w:r w:rsidRPr="00EE6ED7">
        <w:rPr>
          <w:sz w:val="26"/>
          <w:szCs w:val="26"/>
        </w:rPr>
        <w:t xml:space="preserve"> formula cited above—</w:t>
      </w:r>
      <w:r w:rsidRPr="00EE6ED7">
        <w:rPr>
          <w:sz w:val="26"/>
          <w:szCs w:val="26"/>
          <w:rtl/>
        </w:rPr>
        <w:t>מפני מה נשתנה</w:t>
      </w:r>
      <w:r w:rsidRPr="00EE6ED7">
        <w:rPr>
          <w:sz w:val="26"/>
          <w:szCs w:val="26"/>
        </w:rPr>
        <w:t xml:space="preserve">, </w:t>
      </w:r>
      <w:r w:rsidRPr="00EE6ED7">
        <w:rPr>
          <w:sz w:val="26"/>
          <w:szCs w:val="26"/>
          <w:rtl/>
        </w:rPr>
        <w:t>במה נשתנה</w:t>
      </w:r>
      <w:r w:rsidRPr="00EE6ED7">
        <w:rPr>
          <w:sz w:val="26"/>
          <w:szCs w:val="26"/>
        </w:rPr>
        <w:t xml:space="preserve">, </w:t>
      </w:r>
      <w:r w:rsidRPr="00EE6ED7">
        <w:rPr>
          <w:sz w:val="26"/>
          <w:szCs w:val="26"/>
          <w:rtl/>
        </w:rPr>
        <w:t>וכי מה נשתנה</w:t>
      </w:r>
      <w:r w:rsidRPr="00EE6ED7">
        <w:rPr>
          <w:sz w:val="26"/>
          <w:szCs w:val="26"/>
        </w:rPr>
        <w:t xml:space="preserve">—are all unambiguously interrogative; by contrast, </w:t>
      </w:r>
      <w:r w:rsidRPr="00EE6ED7">
        <w:rPr>
          <w:sz w:val="26"/>
          <w:szCs w:val="26"/>
          <w:rtl/>
        </w:rPr>
        <w:t>כמה נשתנה</w:t>
      </w:r>
      <w:r w:rsidRPr="00EE6ED7">
        <w:rPr>
          <w:sz w:val="26"/>
          <w:szCs w:val="26"/>
        </w:rPr>
        <w:t xml:space="preserve"> is unattested.</w:t>
      </w:r>
      <w:r w:rsidRPr="00EE6ED7">
        <w:rPr>
          <w:sz w:val="26"/>
          <w:szCs w:val="26"/>
          <w:vertAlign w:val="superscript"/>
        </w:rPr>
        <w:footnoteReference w:id="87"/>
      </w:r>
      <w:r w:rsidR="0014624C" w:rsidRPr="00EE6ED7">
        <w:rPr>
          <w:sz w:val="26"/>
          <w:szCs w:val="26"/>
        </w:rPr>
        <w:t xml:space="preserve"> </w:t>
      </w:r>
      <w:r w:rsidRPr="00EE6ED7">
        <w:rPr>
          <w:sz w:val="26"/>
          <w:szCs w:val="26"/>
        </w:rPr>
        <w:t>Other supporting evidence is also lacking.</w:t>
      </w:r>
      <w:r w:rsidR="0014624C" w:rsidRPr="00EE6ED7">
        <w:rPr>
          <w:sz w:val="26"/>
          <w:szCs w:val="26"/>
        </w:rPr>
        <w:t xml:space="preserve"> </w:t>
      </w:r>
      <w:r w:rsidRPr="00EE6ED7">
        <w:rPr>
          <w:sz w:val="26"/>
          <w:szCs w:val="26"/>
        </w:rPr>
        <w:t xml:space="preserve">The </w:t>
      </w:r>
      <w:r w:rsidRPr="00EE6ED7">
        <w:rPr>
          <w:sz w:val="26"/>
          <w:szCs w:val="26"/>
          <w:rtl/>
        </w:rPr>
        <w:t>מה נשתנה</w:t>
      </w:r>
      <w:r w:rsidRPr="00EE6ED7">
        <w:rPr>
          <w:sz w:val="26"/>
          <w:szCs w:val="26"/>
        </w:rPr>
        <w:t xml:space="preserve"> formula is most naturally taken as interrogative, because in many cases it is followed by a statement that appears to be an answer.</w:t>
      </w:r>
      <w:r w:rsidR="0014624C" w:rsidRPr="00EE6ED7">
        <w:rPr>
          <w:sz w:val="26"/>
          <w:szCs w:val="26"/>
        </w:rPr>
        <w:t xml:space="preserve"> </w:t>
      </w:r>
      <w:r w:rsidRPr="00EE6ED7">
        <w:rPr>
          <w:sz w:val="26"/>
          <w:szCs w:val="26"/>
        </w:rPr>
        <w:t xml:space="preserve">That includes two examples from the Mekhilta that have much in common—each in its own way—with the </w:t>
      </w:r>
      <w:r w:rsidRPr="00EE6ED7">
        <w:rPr>
          <w:sz w:val="26"/>
          <w:szCs w:val="26"/>
          <w:rtl/>
        </w:rPr>
        <w:t>מה נשתנה</w:t>
      </w:r>
      <w:r w:rsidRPr="00EE6ED7">
        <w:rPr>
          <w:sz w:val="26"/>
          <w:szCs w:val="26"/>
        </w:rPr>
        <w:t xml:space="preserve"> of the Haggadah: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p>
    <w:p w:rsidR="00105DEE" w:rsidRPr="00EE6ED7" w:rsidRDefault="00105DEE" w:rsidP="003626D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u w:val="single"/>
          <w:rtl/>
        </w:rPr>
        <w:t>מה נשתנית</w:t>
      </w:r>
      <w:r w:rsidRPr="00EE6ED7">
        <w:rPr>
          <w:sz w:val="26"/>
          <w:szCs w:val="26"/>
          <w:rtl/>
        </w:rPr>
        <w:t xml:space="preserve"> הודייה זאת </w:t>
      </w:r>
      <w:r w:rsidRPr="00EE6ED7">
        <w:rPr>
          <w:sz w:val="26"/>
          <w:szCs w:val="26"/>
          <w:u w:val="single"/>
          <w:rtl/>
        </w:rPr>
        <w:t>מכל</w:t>
      </w:r>
      <w:r w:rsidRPr="00EE6ED7">
        <w:rPr>
          <w:sz w:val="26"/>
          <w:szCs w:val="26"/>
          <w:rtl/>
        </w:rPr>
        <w:t xml:space="preserve"> הודייות שבתורה </w:t>
      </w:r>
      <w:r w:rsidRPr="00EE6ED7">
        <w:rPr>
          <w:sz w:val="26"/>
          <w:szCs w:val="26"/>
          <w:u w:val="single"/>
          <w:rtl/>
        </w:rPr>
        <w:t>ש</w:t>
      </w:r>
      <w:r w:rsidRPr="00EE6ED7">
        <w:rPr>
          <w:sz w:val="26"/>
          <w:szCs w:val="26"/>
          <w:rtl/>
        </w:rPr>
        <w:t xml:space="preserve">כל הודייות שבתו' נאמ' הודו לייי כי טוב כי לעו' חסדו </w:t>
      </w:r>
      <w:r w:rsidRPr="00EE6ED7">
        <w:rPr>
          <w:sz w:val="26"/>
          <w:szCs w:val="26"/>
          <w:u w:val="single"/>
          <w:rtl/>
        </w:rPr>
        <w:t>ו</w:t>
      </w:r>
      <w:r w:rsidRPr="00EE6ED7">
        <w:rPr>
          <w:sz w:val="26"/>
          <w:szCs w:val="26"/>
          <w:rtl/>
        </w:rPr>
        <w:t xml:space="preserve">כן </w:t>
      </w:r>
      <w:r w:rsidR="00390802" w:rsidRPr="00EE6ED7">
        <w:rPr>
          <w:sz w:val="26"/>
          <w:szCs w:val="26"/>
          <w:rtl/>
        </w:rPr>
        <w:t>[</w:t>
      </w:r>
      <w:r w:rsidRPr="00EE6ED7">
        <w:rPr>
          <w:sz w:val="26"/>
          <w:szCs w:val="26"/>
          <w:rtl/>
        </w:rPr>
        <w:t>=וכאן</w:t>
      </w:r>
      <w:r w:rsidR="00390802" w:rsidRPr="00EE6ED7">
        <w:rPr>
          <w:sz w:val="26"/>
          <w:szCs w:val="26"/>
          <w:rtl/>
        </w:rPr>
        <w:t xml:space="preserve">] </w:t>
      </w:r>
      <w:r w:rsidRPr="00EE6ED7">
        <w:rPr>
          <w:sz w:val="26"/>
          <w:szCs w:val="26"/>
          <w:rtl/>
        </w:rPr>
        <w:t xml:space="preserve">הוא או' הודו לייי כי לע' חס' </w:t>
      </w:r>
      <w:r w:rsidR="00390802" w:rsidRPr="00EE6ED7">
        <w:rPr>
          <w:sz w:val="26"/>
          <w:szCs w:val="26"/>
          <w:rtl/>
        </w:rPr>
        <w:t>(</w:t>
      </w:r>
      <w:r w:rsidRPr="00EE6ED7">
        <w:rPr>
          <w:sz w:val="26"/>
          <w:szCs w:val="26"/>
          <w:rtl/>
        </w:rPr>
        <w:t>דה"ב כ</w:t>
      </w:r>
      <w:r w:rsidR="007E0770">
        <w:rPr>
          <w:rFonts w:hint="cs"/>
          <w:sz w:val="26"/>
          <w:szCs w:val="26"/>
          <w:rtl/>
        </w:rPr>
        <w:t>,</w:t>
      </w:r>
      <w:r w:rsidRPr="00EE6ED7">
        <w:rPr>
          <w:sz w:val="26"/>
          <w:szCs w:val="26"/>
          <w:rtl/>
        </w:rPr>
        <w:t xml:space="preserve"> כא</w:t>
      </w:r>
      <w:r w:rsidR="00390802" w:rsidRPr="00EE6ED7">
        <w:rPr>
          <w:sz w:val="26"/>
          <w:szCs w:val="26"/>
          <w:rtl/>
        </w:rPr>
        <w:t>)</w:t>
      </w:r>
      <w:r w:rsidRPr="00EE6ED7">
        <w:rPr>
          <w:sz w:val="26"/>
          <w:szCs w:val="26"/>
          <w:rtl/>
        </w:rPr>
        <w:t>?</w:t>
      </w:r>
      <w:r w:rsidR="0014624C" w:rsidRPr="00EE6ED7">
        <w:rPr>
          <w:sz w:val="26"/>
          <w:szCs w:val="26"/>
          <w:rtl/>
        </w:rPr>
        <w:t xml:space="preserve"> </w:t>
      </w:r>
      <w:r w:rsidRPr="00EE6ED7">
        <w:rPr>
          <w:sz w:val="26"/>
          <w:szCs w:val="26"/>
          <w:rtl/>
        </w:rPr>
        <w:t>אלא כביכול לא היתה שמחה לפניו במרום</w:t>
      </w:r>
      <w:r w:rsidR="00487832">
        <w:rPr>
          <w:rFonts w:hint="cs"/>
          <w:sz w:val="26"/>
          <w:szCs w:val="26"/>
          <w:rtl/>
        </w:rPr>
        <w:t xml:space="preserve"> (</w:t>
      </w:r>
      <w:r w:rsidR="00487832" w:rsidRPr="00EE6ED7">
        <w:rPr>
          <w:sz w:val="26"/>
          <w:szCs w:val="26"/>
          <w:rtl/>
        </w:rPr>
        <w:t>מכילתא בשלח</w:t>
      </w:r>
      <w:r w:rsidR="00487832">
        <w:rPr>
          <w:rFonts w:hint="cs"/>
          <w:sz w:val="26"/>
          <w:szCs w:val="26"/>
          <w:rtl/>
        </w:rPr>
        <w:t>,</w:t>
      </w:r>
      <w:r w:rsidR="00487832" w:rsidRPr="00EE6ED7">
        <w:rPr>
          <w:sz w:val="26"/>
          <w:szCs w:val="26"/>
          <w:rtl/>
        </w:rPr>
        <w:t xml:space="preserve"> שירה</w:t>
      </w:r>
      <w:r w:rsidR="00487832">
        <w:rPr>
          <w:rFonts w:hint="cs"/>
          <w:sz w:val="26"/>
          <w:szCs w:val="26"/>
          <w:rtl/>
        </w:rPr>
        <w:t>,</w:t>
      </w:r>
      <w:r w:rsidR="00487832" w:rsidRPr="00EE6ED7">
        <w:rPr>
          <w:sz w:val="26"/>
          <w:szCs w:val="26"/>
          <w:rtl/>
        </w:rPr>
        <w:t xml:space="preserve"> א</w:t>
      </w:r>
      <w:r w:rsidR="003626D0">
        <w:rPr>
          <w:rFonts w:hint="cs"/>
          <w:sz w:val="26"/>
          <w:szCs w:val="26"/>
          <w:rtl/>
        </w:rPr>
        <w:t>, מהדורת הורוביץ-רבין, עמ' 118</w:t>
      </w:r>
      <w:r w:rsidR="00487832">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1B1A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ויבואו כל נשיאי העדה וגו'. אמרו לו "רבינו משה, </w:t>
      </w:r>
      <w:r w:rsidRPr="00EE6ED7">
        <w:rPr>
          <w:sz w:val="26"/>
          <w:szCs w:val="26"/>
          <w:u w:val="single"/>
          <w:rtl/>
        </w:rPr>
        <w:t>מה נשתנה</w:t>
      </w:r>
      <w:r w:rsidRPr="00EE6ED7">
        <w:rPr>
          <w:sz w:val="26"/>
          <w:szCs w:val="26"/>
          <w:rtl/>
        </w:rPr>
        <w:t xml:space="preserve"> יום זה </w:t>
      </w:r>
      <w:r w:rsidRPr="00EE6ED7">
        <w:rPr>
          <w:sz w:val="26"/>
          <w:szCs w:val="26"/>
          <w:u w:val="single"/>
          <w:rtl/>
        </w:rPr>
        <w:t>מכל</w:t>
      </w:r>
      <w:r w:rsidRPr="00EE6ED7">
        <w:rPr>
          <w:sz w:val="26"/>
          <w:szCs w:val="26"/>
          <w:rtl/>
        </w:rPr>
        <w:t xml:space="preserve"> הימים?" ויאמ' אליהם</w:t>
      </w:r>
      <w:r w:rsidR="001B1A8B">
        <w:rPr>
          <w:rFonts w:hint="cs"/>
          <w:sz w:val="26"/>
          <w:szCs w:val="26"/>
          <w:rtl/>
        </w:rPr>
        <w:t>,</w:t>
      </w:r>
      <w:r w:rsidRPr="00EE6ED7">
        <w:rPr>
          <w:sz w:val="26"/>
          <w:szCs w:val="26"/>
          <w:rtl/>
        </w:rPr>
        <w:t xml:space="preserve"> "הוא </w:t>
      </w:r>
      <w:r w:rsidR="00390802" w:rsidRPr="00EE6ED7">
        <w:rPr>
          <w:sz w:val="26"/>
          <w:szCs w:val="26"/>
          <w:rtl/>
        </w:rPr>
        <w:t>{</w:t>
      </w:r>
      <w:r w:rsidRPr="00EE6ED7">
        <w:rPr>
          <w:sz w:val="26"/>
          <w:szCs w:val="26"/>
          <w:rtl/>
        </w:rPr>
        <w:t>הוא</w:t>
      </w:r>
      <w:r w:rsidR="00390802" w:rsidRPr="00EE6ED7">
        <w:rPr>
          <w:sz w:val="26"/>
          <w:szCs w:val="26"/>
          <w:rtl/>
        </w:rPr>
        <w:t xml:space="preserve">} </w:t>
      </w:r>
      <w:r w:rsidRPr="00EE6ED7">
        <w:rPr>
          <w:sz w:val="26"/>
          <w:szCs w:val="26"/>
          <w:rtl/>
        </w:rPr>
        <w:t>אשר דבר ייי: שבתון שבת קודש לייי."</w:t>
      </w:r>
      <w:r w:rsidR="0014624C" w:rsidRPr="00EE6ED7">
        <w:rPr>
          <w:sz w:val="26"/>
          <w:szCs w:val="26"/>
          <w:rtl/>
        </w:rPr>
        <w:t xml:space="preserve"> </w:t>
      </w:r>
      <w:r w:rsidR="001B1A8B">
        <w:rPr>
          <w:sz w:val="26"/>
          <w:szCs w:val="26"/>
          <w:rtl/>
        </w:rPr>
        <w:t>אמרו לו</w:t>
      </w:r>
      <w:r w:rsidR="001B1A8B">
        <w:rPr>
          <w:rFonts w:hint="cs"/>
          <w:sz w:val="26"/>
          <w:szCs w:val="26"/>
          <w:rtl/>
        </w:rPr>
        <w:t>,</w:t>
      </w:r>
      <w:r w:rsidRPr="00EE6ED7">
        <w:rPr>
          <w:sz w:val="26"/>
          <w:szCs w:val="26"/>
          <w:rtl/>
        </w:rPr>
        <w:t xml:space="preserve"> "אימתי?" אמ' להם</w:t>
      </w:r>
      <w:r w:rsidR="001B1A8B">
        <w:rPr>
          <w:rFonts w:hint="cs"/>
          <w:sz w:val="26"/>
          <w:szCs w:val="26"/>
          <w:rtl/>
        </w:rPr>
        <w:t>,</w:t>
      </w:r>
      <w:r w:rsidRPr="00EE6ED7">
        <w:rPr>
          <w:sz w:val="26"/>
          <w:szCs w:val="26"/>
          <w:rtl/>
        </w:rPr>
        <w:t xml:space="preserve"> "מחר"</w:t>
      </w:r>
      <w:r w:rsidR="00487832">
        <w:rPr>
          <w:rFonts w:hint="cs"/>
          <w:sz w:val="26"/>
          <w:szCs w:val="26"/>
          <w:rtl/>
        </w:rPr>
        <w:t xml:space="preserve"> (</w:t>
      </w:r>
      <w:r w:rsidR="00487832" w:rsidRPr="00EE6ED7">
        <w:rPr>
          <w:sz w:val="26"/>
          <w:szCs w:val="26"/>
          <w:rtl/>
        </w:rPr>
        <w:t>מכילתא בשלח</w:t>
      </w:r>
      <w:r w:rsidR="00487832">
        <w:rPr>
          <w:rFonts w:hint="cs"/>
          <w:sz w:val="26"/>
          <w:szCs w:val="26"/>
          <w:rtl/>
        </w:rPr>
        <w:t>,</w:t>
      </w:r>
      <w:r w:rsidR="00487832" w:rsidRPr="00EE6ED7">
        <w:rPr>
          <w:sz w:val="26"/>
          <w:szCs w:val="26"/>
          <w:rtl/>
        </w:rPr>
        <w:t xml:space="preserve"> ויסע</w:t>
      </w:r>
      <w:r w:rsidR="00487832">
        <w:rPr>
          <w:rFonts w:hint="cs"/>
          <w:sz w:val="26"/>
          <w:szCs w:val="26"/>
          <w:rtl/>
        </w:rPr>
        <w:t xml:space="preserve">, </w:t>
      </w:r>
      <w:r w:rsidR="00487832" w:rsidRPr="00EE6ED7">
        <w:rPr>
          <w:sz w:val="26"/>
          <w:szCs w:val="26"/>
          <w:rtl/>
        </w:rPr>
        <w:t>ד</w:t>
      </w:r>
      <w:r w:rsidR="00D47BA7">
        <w:rPr>
          <w:rFonts w:hint="cs"/>
          <w:sz w:val="26"/>
          <w:szCs w:val="26"/>
          <w:rtl/>
        </w:rPr>
        <w:t>, שם, עמ' 168</w:t>
      </w:r>
      <w:r w:rsidR="00487832">
        <w:rPr>
          <w:rFonts w:hint="cs"/>
          <w:sz w:val="26"/>
          <w:szCs w:val="26"/>
          <w:rtl/>
        </w:rPr>
        <w:t>)</w:t>
      </w:r>
      <w:r w:rsidRPr="00EE6ED7">
        <w:rPr>
          <w:sz w:val="26"/>
          <w:szCs w:val="26"/>
          <w:rtl/>
        </w:rPr>
        <w:t>.</w:t>
      </w:r>
      <w:r w:rsidRPr="00EE6ED7">
        <w:rPr>
          <w:sz w:val="26"/>
          <w:szCs w:val="26"/>
          <w:vertAlign w:val="superscript"/>
          <w:rtl/>
        </w:rPr>
        <w:footnoteReference w:id="88"/>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second passage has a clear literary structure, in which </w:t>
      </w:r>
      <w:r w:rsidRPr="00EE6ED7">
        <w:rPr>
          <w:sz w:val="26"/>
          <w:szCs w:val="26"/>
          <w:rtl/>
        </w:rPr>
        <w:t>מה נשתנה יום זה מכל הימים</w:t>
      </w:r>
      <w:r w:rsidRPr="00EE6ED7">
        <w:rPr>
          <w:sz w:val="26"/>
          <w:szCs w:val="26"/>
        </w:rPr>
        <w:t xml:space="preserve"> is parallel to </w:t>
      </w:r>
      <w:r w:rsidRPr="00EE6ED7">
        <w:rPr>
          <w:sz w:val="26"/>
          <w:szCs w:val="26"/>
          <w:rtl/>
        </w:rPr>
        <w:t>אימתי</w:t>
      </w:r>
      <w:r w:rsidRPr="00EE6ED7">
        <w:rPr>
          <w:sz w:val="26"/>
          <w:szCs w:val="26"/>
        </w:rPr>
        <w:t>.</w:t>
      </w:r>
      <w:r w:rsidR="0014624C" w:rsidRPr="00EE6ED7">
        <w:rPr>
          <w:sz w:val="26"/>
          <w:szCs w:val="26"/>
        </w:rPr>
        <w:t xml:space="preserve"> </w:t>
      </w:r>
      <w:r w:rsidRPr="00EE6ED7">
        <w:rPr>
          <w:sz w:val="26"/>
          <w:szCs w:val="26"/>
        </w:rPr>
        <w:t>It would be odd to take the former as an exclamation, when the latter can only be a question.</w:t>
      </w:r>
      <w:r w:rsidR="0014624C"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absence of evidence for reading C is probably not an accident.</w:t>
      </w:r>
      <w:r w:rsidR="0014624C" w:rsidRPr="00EE6ED7">
        <w:rPr>
          <w:sz w:val="26"/>
          <w:szCs w:val="26"/>
        </w:rPr>
        <w:t xml:space="preserve"> </w:t>
      </w:r>
      <w:r w:rsidRPr="00EE6ED7">
        <w:rPr>
          <w:sz w:val="26"/>
          <w:szCs w:val="26"/>
        </w:rPr>
        <w:t xml:space="preserve">The use of </w:t>
      </w:r>
      <w:r w:rsidRPr="00EE6ED7">
        <w:rPr>
          <w:sz w:val="26"/>
          <w:szCs w:val="26"/>
          <w:rtl/>
        </w:rPr>
        <w:t>מה</w:t>
      </w:r>
      <w:r w:rsidRPr="00EE6ED7">
        <w:rPr>
          <w:sz w:val="26"/>
          <w:szCs w:val="26"/>
        </w:rPr>
        <w:t xml:space="preserve"> in exclamations (“how very”) is rare in Mishnaic Hebrew.</w:t>
      </w:r>
      <w:r w:rsidRPr="00EE6ED7">
        <w:rPr>
          <w:sz w:val="26"/>
          <w:szCs w:val="26"/>
          <w:vertAlign w:val="superscript"/>
        </w:rPr>
        <w:footnoteReference w:id="89"/>
      </w:r>
      <w:r w:rsidR="0014624C" w:rsidRPr="00EE6ED7">
        <w:rPr>
          <w:sz w:val="26"/>
          <w:szCs w:val="26"/>
        </w:rPr>
        <w:t xml:space="preserve"> </w:t>
      </w:r>
      <w:r w:rsidRPr="00EE6ED7">
        <w:rPr>
          <w:sz w:val="26"/>
          <w:szCs w:val="26"/>
        </w:rPr>
        <w:t>Although it is at</w:t>
      </w:r>
      <w:r w:rsidR="00A16255">
        <w:rPr>
          <w:sz w:val="26"/>
          <w:szCs w:val="26"/>
        </w:rPr>
        <w:t>tested in the Mishnah (Avot 3:7</w:t>
      </w:r>
      <w:r w:rsidRPr="00EE6ED7">
        <w:rPr>
          <w:sz w:val="26"/>
          <w:szCs w:val="26"/>
          <w:rtl/>
        </w:rPr>
        <w:t>מה נאה אילן זה ומה נאה ניר זה</w:t>
      </w:r>
      <w:r w:rsidRPr="00EE6ED7">
        <w:rPr>
          <w:sz w:val="26"/>
          <w:szCs w:val="26"/>
        </w:rPr>
        <w:t xml:space="preserve">), it is elsewhere replaced by </w:t>
      </w:r>
      <w:r w:rsidRPr="00EE6ED7">
        <w:rPr>
          <w:sz w:val="26"/>
          <w:szCs w:val="26"/>
          <w:rtl/>
        </w:rPr>
        <w:t>כמה</w:t>
      </w:r>
      <w:r w:rsidRPr="00EE6ED7">
        <w:rPr>
          <w:sz w:val="26"/>
          <w:szCs w:val="26"/>
        </w:rPr>
        <w:t xml:space="preserve"> “how much.”</w:t>
      </w:r>
      <w:r w:rsidR="0014624C" w:rsidRPr="00EE6ED7">
        <w:rPr>
          <w:sz w:val="26"/>
          <w:szCs w:val="26"/>
        </w:rPr>
        <w:t xml:space="preserve"> </w:t>
      </w:r>
      <w:r w:rsidRPr="00EE6ED7">
        <w:rPr>
          <w:sz w:val="26"/>
          <w:szCs w:val="26"/>
        </w:rPr>
        <w:t xml:space="preserve">Even in the Mishnah, exclamative </w:t>
      </w:r>
      <w:r w:rsidRPr="00EE6ED7">
        <w:rPr>
          <w:sz w:val="26"/>
          <w:szCs w:val="26"/>
          <w:rtl/>
        </w:rPr>
        <w:t>מה</w:t>
      </w:r>
      <w:r w:rsidRPr="00EE6ED7">
        <w:rPr>
          <w:sz w:val="26"/>
          <w:szCs w:val="26"/>
        </w:rPr>
        <w:t xml:space="preserve"> is attested only with an adjective, and it is far from certain that it could still be used in MH with a verb in the perfect.</w:t>
      </w:r>
    </w:p>
    <w:p w:rsidR="00105DEE" w:rsidRPr="00EE6ED7" w:rsidRDefault="00105DEE" w:rsidP="003C19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As for </w:t>
      </w:r>
      <w:r w:rsidRPr="00EE6ED7">
        <w:rPr>
          <w:sz w:val="26"/>
          <w:szCs w:val="26"/>
          <w:rtl/>
        </w:rPr>
        <w:t>מה נשתנה</w:t>
      </w:r>
      <w:r w:rsidRPr="00EE6ED7">
        <w:rPr>
          <w:sz w:val="26"/>
          <w:szCs w:val="26"/>
        </w:rPr>
        <w:t xml:space="preserve"> in the Haggadah itself, I have found no mention of interpretation C in medieval commentaries.</w:t>
      </w:r>
      <w:r w:rsidR="0014624C" w:rsidRPr="00EE6ED7">
        <w:rPr>
          <w:sz w:val="26"/>
          <w:szCs w:val="26"/>
        </w:rPr>
        <w:t xml:space="preserve"> </w:t>
      </w:r>
      <w:r w:rsidRPr="00EE6ED7">
        <w:rPr>
          <w:sz w:val="26"/>
          <w:szCs w:val="26"/>
        </w:rPr>
        <w:t xml:space="preserve">All of the medievals—including Sephardim of the fourteenth and fifteenth centuries—understood </w:t>
      </w:r>
      <w:r w:rsidRPr="00EE6ED7">
        <w:rPr>
          <w:sz w:val="26"/>
          <w:szCs w:val="26"/>
          <w:rtl/>
        </w:rPr>
        <w:t>מה נשתנה</w:t>
      </w:r>
      <w:r w:rsidRPr="00EE6ED7">
        <w:rPr>
          <w:sz w:val="26"/>
          <w:szCs w:val="26"/>
        </w:rPr>
        <w:t xml:space="preserve"> as a question.</w:t>
      </w:r>
      <w:r w:rsidR="0014624C" w:rsidRPr="00EE6ED7">
        <w:rPr>
          <w:sz w:val="26"/>
          <w:szCs w:val="26"/>
        </w:rPr>
        <w:t xml:space="preserve"> </w:t>
      </w:r>
      <w:r w:rsidRPr="00EE6ED7">
        <w:rPr>
          <w:sz w:val="26"/>
          <w:szCs w:val="26"/>
        </w:rPr>
        <w:t xml:space="preserve">Indeed, it is still a question in the Ferrara </w:t>
      </w:r>
      <w:r w:rsidR="00390802" w:rsidRPr="00EE6ED7">
        <w:rPr>
          <w:sz w:val="26"/>
          <w:szCs w:val="26"/>
        </w:rPr>
        <w:t xml:space="preserve">Siddur </w:t>
      </w:r>
      <w:r w:rsidRPr="00EE6ED7">
        <w:rPr>
          <w:sz w:val="26"/>
          <w:szCs w:val="26"/>
        </w:rPr>
        <w:t xml:space="preserve">of 1552: </w:t>
      </w:r>
      <w:r w:rsidRPr="00EE6ED7">
        <w:rPr>
          <w:i/>
          <w:sz w:val="26"/>
          <w:szCs w:val="26"/>
        </w:rPr>
        <w:t>Por que fue demudada la noche esta mas que todas las noches?</w:t>
      </w:r>
      <w:r w:rsidRPr="00EE6ED7">
        <w:rPr>
          <w:sz w:val="26"/>
          <w:szCs w:val="26"/>
          <w:vertAlign w:val="superscript"/>
        </w:rPr>
        <w:footnoteReference w:id="90"/>
      </w:r>
      <w:r w:rsidR="0014624C" w:rsidRPr="00EE6ED7">
        <w:rPr>
          <w:sz w:val="26"/>
          <w:szCs w:val="26"/>
        </w:rPr>
        <w:t xml:space="preserve"> </w:t>
      </w:r>
      <w:r w:rsidR="002043CF">
        <w:rPr>
          <w:sz w:val="26"/>
          <w:szCs w:val="26"/>
        </w:rPr>
        <w:t xml:space="preserve">“Why has this night been changed more than all other nights?” </w:t>
      </w:r>
      <w:r w:rsidR="003C19C3">
        <w:rPr>
          <w:sz w:val="26"/>
          <w:szCs w:val="26"/>
        </w:rPr>
        <w:t>I have not found interpretation C in any source earlier than the Salonica Ladino Siddur for women (ca. 1550).</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We have already cited the many commentaries that use the noun for “question” in referring to </w:t>
      </w:r>
      <w:r w:rsidRPr="00EE6ED7">
        <w:rPr>
          <w:sz w:val="26"/>
          <w:szCs w:val="26"/>
          <w:rtl/>
        </w:rPr>
        <w:t>מה נשתנה</w:t>
      </w:r>
      <w:r w:rsidRPr="00EE6ED7">
        <w:rPr>
          <w:sz w:val="26"/>
          <w:szCs w:val="26"/>
        </w:rPr>
        <w:t>.</w:t>
      </w:r>
      <w:r w:rsidRPr="00EE6ED7">
        <w:rPr>
          <w:sz w:val="26"/>
          <w:szCs w:val="26"/>
          <w:vertAlign w:val="superscript"/>
        </w:rPr>
        <w:footnoteReference w:id="91"/>
      </w:r>
      <w:r w:rsidR="0014624C" w:rsidRPr="00EE6ED7">
        <w:rPr>
          <w:sz w:val="26"/>
          <w:szCs w:val="26"/>
        </w:rPr>
        <w:t xml:space="preserve"> </w:t>
      </w:r>
      <w:r w:rsidRPr="00EE6ED7">
        <w:rPr>
          <w:sz w:val="26"/>
          <w:szCs w:val="26"/>
        </w:rPr>
        <w:t xml:space="preserve">We may now add some of those who use the verb for “ask” with </w:t>
      </w:r>
      <w:r w:rsidRPr="00EE6ED7">
        <w:rPr>
          <w:sz w:val="26"/>
          <w:szCs w:val="26"/>
          <w:rtl/>
        </w:rPr>
        <w:t>מה נשתנה</w:t>
      </w:r>
      <w:r w:rsidRPr="00EE6ED7">
        <w:rPr>
          <w:sz w:val="26"/>
          <w:szCs w:val="26"/>
        </w:rPr>
        <w:t xml:space="preserve"> (whether it be the </w:t>
      </w:r>
      <w:r w:rsidRPr="00EE6ED7">
        <w:rPr>
          <w:sz w:val="26"/>
          <w:szCs w:val="26"/>
          <w:rtl/>
        </w:rPr>
        <w:t>מה נשתנה</w:t>
      </w:r>
      <w:r w:rsidRPr="00EE6ED7">
        <w:rPr>
          <w:sz w:val="26"/>
          <w:szCs w:val="26"/>
        </w:rPr>
        <w:t xml:space="preserve"> of the Mishnah or a different question at the </w:t>
      </w:r>
      <w:r w:rsidR="00390802" w:rsidRPr="00EE6ED7">
        <w:rPr>
          <w:sz w:val="26"/>
          <w:szCs w:val="26"/>
        </w:rPr>
        <w:t>Seder</w:t>
      </w:r>
      <w:r w:rsidRPr="00EE6ED7">
        <w:rPr>
          <w:sz w:val="26"/>
          <w:szCs w:val="26"/>
        </w:rPr>
        <w:t xml:space="preserve"> beginning with those words):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כאן </w:t>
      </w:r>
      <w:r w:rsidRPr="00EE6ED7">
        <w:rPr>
          <w:sz w:val="26"/>
          <w:szCs w:val="26"/>
          <w:u w:val="single"/>
          <w:rtl/>
        </w:rPr>
        <w:t>שואלים</w:t>
      </w:r>
      <w:r w:rsidRPr="00EE6ED7">
        <w:rPr>
          <w:sz w:val="26"/>
          <w:szCs w:val="26"/>
          <w:rtl/>
        </w:rPr>
        <w:t>:</w:t>
      </w:r>
      <w:r w:rsidR="0014624C" w:rsidRPr="00EE6ED7">
        <w:rPr>
          <w:sz w:val="26"/>
          <w:szCs w:val="26"/>
          <w:rtl/>
        </w:rPr>
        <w:t xml:space="preserve"> </w:t>
      </w:r>
      <w:r w:rsidRPr="00EE6ED7">
        <w:rPr>
          <w:sz w:val="26"/>
          <w:szCs w:val="26"/>
          <w:u w:val="single"/>
          <w:rtl/>
        </w:rPr>
        <w:t>מה נשתנה</w:t>
      </w:r>
      <w:r w:rsidRPr="00EE6ED7">
        <w:rPr>
          <w:sz w:val="26"/>
          <w:szCs w:val="26"/>
          <w:rtl/>
        </w:rPr>
        <w:t xml:space="preserve"> הלילה הזה מכל הלילות. שבכל הלילות...</w:t>
      </w:r>
      <w:r w:rsidR="006A2028" w:rsidRPr="006A2028">
        <w:rPr>
          <w:sz w:val="26"/>
          <w:szCs w:val="26"/>
          <w:rtl/>
        </w:rPr>
        <w:t xml:space="preserve"> </w:t>
      </w:r>
      <w:r w:rsidR="006A2028">
        <w:rPr>
          <w:rFonts w:hint="cs"/>
          <w:sz w:val="26"/>
          <w:szCs w:val="26"/>
          <w:rtl/>
        </w:rPr>
        <w:t>(</w:t>
      </w:r>
      <w:r w:rsidR="006A2028" w:rsidRPr="00EE6ED7">
        <w:rPr>
          <w:sz w:val="26"/>
          <w:szCs w:val="26"/>
          <w:rtl/>
        </w:rPr>
        <w:t>הגדה של הגאונים</w:t>
      </w:r>
      <w:r w:rsidR="006A2028">
        <w:rPr>
          <w:rFonts w:hint="cs"/>
          <w:sz w:val="26"/>
          <w:szCs w:val="26"/>
          <w:rtl/>
        </w:rPr>
        <w:t>)</w:t>
      </w:r>
      <w:r w:rsidRPr="00EE6ED7">
        <w:rPr>
          <w:sz w:val="26"/>
          <w:szCs w:val="26"/>
          <w:rtl/>
        </w:rPr>
        <w:t>.</w:t>
      </w:r>
      <w:r w:rsidRPr="00EE6ED7">
        <w:rPr>
          <w:sz w:val="26"/>
          <w:szCs w:val="26"/>
          <w:vertAlign w:val="superscript"/>
          <w:rtl/>
        </w:rPr>
        <w:footnoteReference w:id="92"/>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ואפילו שני תלמידי חכמים בקיאין בהלכות פסח </w:t>
      </w:r>
      <w:r w:rsidRPr="00EE6ED7">
        <w:rPr>
          <w:sz w:val="26"/>
          <w:szCs w:val="26"/>
          <w:u w:val="single"/>
          <w:rtl/>
        </w:rPr>
        <w:t>שואלין</w:t>
      </w:r>
      <w:r w:rsidRPr="00EE6ED7">
        <w:rPr>
          <w:sz w:val="26"/>
          <w:szCs w:val="26"/>
          <w:rtl/>
        </w:rPr>
        <w:t xml:space="preserve"> זה לזה ואומרין כך: </w:t>
      </w:r>
      <w:r w:rsidRPr="00EE6ED7">
        <w:rPr>
          <w:sz w:val="26"/>
          <w:szCs w:val="26"/>
          <w:u w:val="single"/>
          <w:rtl/>
        </w:rPr>
        <w:t>מה נשתנה</w:t>
      </w:r>
      <w:r w:rsidRPr="00EE6ED7">
        <w:rPr>
          <w:sz w:val="26"/>
          <w:szCs w:val="26"/>
          <w:rtl/>
        </w:rPr>
        <w:t xml:space="preserve"> הלילה הזה מכל הלילות. שבכל הלילות...</w:t>
      </w:r>
      <w:r w:rsidR="006A2028" w:rsidRPr="006A2028">
        <w:rPr>
          <w:sz w:val="26"/>
          <w:szCs w:val="26"/>
          <w:rtl/>
        </w:rPr>
        <w:t xml:space="preserve"> </w:t>
      </w:r>
      <w:r w:rsidR="006A2028">
        <w:rPr>
          <w:rFonts w:hint="cs"/>
          <w:sz w:val="26"/>
          <w:szCs w:val="26"/>
          <w:rtl/>
        </w:rPr>
        <w:t>(</w:t>
      </w:r>
      <w:r w:rsidR="006A2028" w:rsidRPr="00EE6ED7">
        <w:rPr>
          <w:sz w:val="26"/>
          <w:szCs w:val="26"/>
          <w:rtl/>
        </w:rPr>
        <w:t>סדר רב עמרם גאון</w:t>
      </w:r>
      <w:r w:rsidR="00D47BA7">
        <w:rPr>
          <w:rFonts w:hint="cs"/>
          <w:sz w:val="26"/>
          <w:szCs w:val="26"/>
          <w:rtl/>
        </w:rPr>
        <w:t>, מהדורת גולדשמידט, עמ' 113</w:t>
      </w:r>
      <w:r w:rsidR="006A2028">
        <w:rPr>
          <w:rFonts w:hint="cs"/>
          <w:sz w:val="26"/>
          <w:szCs w:val="26"/>
          <w:rtl/>
        </w:rPr>
        <w:t>)</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וכאן הבן שואל - כאן במזיגת כוס שני </w:t>
      </w:r>
      <w:r w:rsidR="002043CF">
        <w:rPr>
          <w:rFonts w:hint="cs"/>
          <w:sz w:val="26"/>
          <w:szCs w:val="26"/>
          <w:rtl/>
        </w:rPr>
        <w:t xml:space="preserve">הבן </w:t>
      </w:r>
      <w:r w:rsidRPr="00EE6ED7">
        <w:rPr>
          <w:sz w:val="26"/>
          <w:szCs w:val="26"/>
          <w:u w:val="single"/>
          <w:rtl/>
        </w:rPr>
        <w:t>שואל</w:t>
      </w:r>
      <w:r w:rsidRPr="00EE6ED7">
        <w:rPr>
          <w:sz w:val="26"/>
          <w:szCs w:val="26"/>
          <w:rtl/>
        </w:rPr>
        <w:t xml:space="preserve"> את אביו </w:t>
      </w:r>
      <w:r w:rsidRPr="00EE6ED7">
        <w:rPr>
          <w:sz w:val="26"/>
          <w:szCs w:val="26"/>
          <w:u w:val="single"/>
          <w:rtl/>
        </w:rPr>
        <w:t>מה נשתנה</w:t>
      </w:r>
      <w:r w:rsidRPr="00EE6ED7">
        <w:rPr>
          <w:sz w:val="26"/>
          <w:szCs w:val="26"/>
          <w:rtl/>
        </w:rPr>
        <w:t xml:space="preserve"> עכשיו שמוזגין כוס שני קודם אכילה</w:t>
      </w:r>
      <w:r w:rsidR="006A2028" w:rsidRPr="006A2028">
        <w:rPr>
          <w:sz w:val="26"/>
          <w:szCs w:val="26"/>
          <w:rtl/>
        </w:rPr>
        <w:t xml:space="preserve"> </w:t>
      </w:r>
      <w:r w:rsidR="006A2028">
        <w:rPr>
          <w:rFonts w:hint="cs"/>
          <w:sz w:val="26"/>
          <w:szCs w:val="26"/>
          <w:rtl/>
        </w:rPr>
        <w:t>(</w:t>
      </w:r>
      <w:r w:rsidR="006A2028" w:rsidRPr="00EE6ED7">
        <w:rPr>
          <w:sz w:val="26"/>
          <w:szCs w:val="26"/>
          <w:rtl/>
        </w:rPr>
        <w:t xml:space="preserve">פירוש רש"י לפסחים קטז </w:t>
      </w:r>
      <w:r w:rsidR="006A2028">
        <w:rPr>
          <w:rFonts w:hint="cs"/>
          <w:sz w:val="26"/>
          <w:szCs w:val="26"/>
          <w:rtl/>
        </w:rPr>
        <w:t>ע"</w:t>
      </w:r>
      <w:r w:rsidR="006A2028" w:rsidRPr="00EE6ED7">
        <w:rPr>
          <w:sz w:val="26"/>
          <w:szCs w:val="26"/>
          <w:rtl/>
        </w:rPr>
        <w:t>א</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ואם יש שם אז תינוק </w:t>
      </w:r>
      <w:r w:rsidRPr="00EE6ED7">
        <w:rPr>
          <w:sz w:val="26"/>
          <w:szCs w:val="26"/>
          <w:u w:val="single"/>
          <w:rtl/>
        </w:rPr>
        <w:t>ישאל</w:t>
      </w:r>
      <w:r w:rsidRPr="00EE6ED7">
        <w:rPr>
          <w:sz w:val="26"/>
          <w:szCs w:val="26"/>
          <w:rtl/>
        </w:rPr>
        <w:t xml:space="preserve"> </w:t>
      </w:r>
      <w:r w:rsidRPr="00EE6ED7">
        <w:rPr>
          <w:sz w:val="26"/>
          <w:szCs w:val="26"/>
          <w:u w:val="single"/>
          <w:rtl/>
        </w:rPr>
        <w:t>מה נשתנה</w:t>
      </w:r>
      <w:r w:rsidRPr="00EE6ED7">
        <w:rPr>
          <w:sz w:val="26"/>
          <w:szCs w:val="26"/>
          <w:rtl/>
        </w:rPr>
        <w:t xml:space="preserve"> הלילה הזה. הלא בכל הלילות אנו אוכלין מה שלפנינו בקערה, ועכשיו מסולקת היא מלפנינו</w:t>
      </w:r>
      <w:r w:rsidR="006A2028" w:rsidRPr="006A2028">
        <w:rPr>
          <w:sz w:val="26"/>
          <w:szCs w:val="26"/>
          <w:rtl/>
        </w:rPr>
        <w:t xml:space="preserve"> </w:t>
      </w:r>
      <w:r w:rsidR="006A2028">
        <w:rPr>
          <w:rFonts w:hint="cs"/>
          <w:sz w:val="26"/>
          <w:szCs w:val="26"/>
          <w:rtl/>
        </w:rPr>
        <w:t>(</w:t>
      </w:r>
      <w:r w:rsidR="006A2028" w:rsidRPr="00EE6ED7">
        <w:rPr>
          <w:sz w:val="26"/>
          <w:szCs w:val="26"/>
          <w:rtl/>
        </w:rPr>
        <w:t>מחזור ויטרי, הלכות פסח</w:t>
      </w:r>
      <w:r w:rsidR="006A2028">
        <w:rPr>
          <w:rFonts w:hint="cs"/>
          <w:sz w:val="26"/>
          <w:szCs w:val="26"/>
          <w:rtl/>
        </w:rPr>
        <w:t xml:space="preserve">, </w:t>
      </w:r>
      <w:r w:rsidR="006A2028" w:rsidRPr="00EE6ED7">
        <w:rPr>
          <w:sz w:val="26"/>
          <w:szCs w:val="26"/>
          <w:rtl/>
        </w:rPr>
        <w:t>סימן נא</w:t>
      </w:r>
      <w:r w:rsidR="00D47BA7">
        <w:rPr>
          <w:rFonts w:hint="cs"/>
          <w:sz w:val="26"/>
          <w:szCs w:val="26"/>
          <w:rtl/>
        </w:rPr>
        <w:t>, מהדורת הורוויץ, עמ' 270</w:t>
      </w:r>
      <w:r w:rsidR="00D47BA7">
        <w:rPr>
          <w:rFonts w:hint="eastAsia"/>
          <w:sz w:val="26"/>
          <w:szCs w:val="26"/>
          <w:rtl/>
        </w:rPr>
        <w:t>–</w:t>
      </w:r>
      <w:r w:rsidR="00D47BA7">
        <w:rPr>
          <w:rFonts w:hint="cs"/>
          <w:sz w:val="26"/>
          <w:szCs w:val="26"/>
          <w:rtl/>
        </w:rPr>
        <w:t>271</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2043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ואחר כך נוטלין את הקערה מלפניו</w:t>
      </w:r>
      <w:r w:rsidR="000A4652">
        <w:rPr>
          <w:sz w:val="26"/>
          <w:szCs w:val="26"/>
          <w:rtl/>
        </w:rPr>
        <w:t xml:space="preserve">... </w:t>
      </w:r>
      <w:r w:rsidRPr="00EE6ED7">
        <w:rPr>
          <w:sz w:val="26"/>
          <w:szCs w:val="26"/>
          <w:rtl/>
        </w:rPr>
        <w:t>כדי ש</w:t>
      </w:r>
      <w:r w:rsidRPr="00EE6ED7">
        <w:rPr>
          <w:sz w:val="26"/>
          <w:szCs w:val="26"/>
          <w:u w:val="single"/>
          <w:rtl/>
        </w:rPr>
        <w:t>ישאלו</w:t>
      </w:r>
      <w:r w:rsidRPr="00EE6ED7">
        <w:rPr>
          <w:sz w:val="26"/>
          <w:szCs w:val="26"/>
          <w:rtl/>
        </w:rPr>
        <w:t xml:space="preserve"> התינוק</w:t>
      </w:r>
      <w:r w:rsidR="00390802" w:rsidRPr="00EE6ED7">
        <w:rPr>
          <w:sz w:val="26"/>
          <w:szCs w:val="26"/>
          <w:rtl/>
        </w:rPr>
        <w:t>[</w:t>
      </w:r>
      <w:r w:rsidRPr="00EE6ED7">
        <w:rPr>
          <w:sz w:val="26"/>
          <w:szCs w:val="26"/>
          <w:rtl/>
        </w:rPr>
        <w:t>ו</w:t>
      </w:r>
      <w:r w:rsidR="00390802" w:rsidRPr="00EE6ED7">
        <w:rPr>
          <w:sz w:val="26"/>
          <w:szCs w:val="26"/>
          <w:rtl/>
        </w:rPr>
        <w:t>]</w:t>
      </w:r>
      <w:r w:rsidRPr="00EE6ED7">
        <w:rPr>
          <w:sz w:val="26"/>
          <w:szCs w:val="26"/>
          <w:rtl/>
        </w:rPr>
        <w:t xml:space="preserve">ת </w:t>
      </w:r>
      <w:r w:rsidRPr="00EE6ED7">
        <w:rPr>
          <w:sz w:val="26"/>
          <w:szCs w:val="26"/>
          <w:u w:val="single"/>
          <w:rtl/>
        </w:rPr>
        <w:t>מה נשתנה</w:t>
      </w:r>
      <w:r w:rsidRPr="00EE6ED7">
        <w:rPr>
          <w:sz w:val="26"/>
          <w:szCs w:val="26"/>
          <w:rtl/>
        </w:rPr>
        <w:t xml:space="preserve"> בלשון לעז שלהם ויפטרוהו מלאומרו בלשון הקודש</w:t>
      </w:r>
      <w:r w:rsidR="006A2028" w:rsidRPr="006A2028">
        <w:rPr>
          <w:sz w:val="26"/>
          <w:szCs w:val="26"/>
          <w:rtl/>
        </w:rPr>
        <w:t xml:space="preserve"> </w:t>
      </w:r>
      <w:r w:rsidR="006A2028">
        <w:rPr>
          <w:rFonts w:hint="cs"/>
          <w:sz w:val="26"/>
          <w:szCs w:val="26"/>
          <w:rtl/>
        </w:rPr>
        <w:t>(</w:t>
      </w:r>
      <w:r w:rsidR="006A2028" w:rsidRPr="00EE6ED7">
        <w:rPr>
          <w:sz w:val="26"/>
          <w:szCs w:val="26"/>
          <w:rtl/>
        </w:rPr>
        <w:t>ספר הפרדס</w:t>
      </w:r>
      <w:r w:rsidR="00D47BA7">
        <w:rPr>
          <w:rFonts w:hint="cs"/>
          <w:sz w:val="26"/>
          <w:szCs w:val="26"/>
          <w:rtl/>
        </w:rPr>
        <w:t xml:space="preserve">, מהדורת אהרנרייך, עמ' </w:t>
      </w:r>
      <w:r w:rsidR="002043CF">
        <w:rPr>
          <w:rFonts w:hint="cs"/>
          <w:sz w:val="26"/>
          <w:szCs w:val="26"/>
          <w:rtl/>
        </w:rPr>
        <w:t>נ</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p>
    <w:p w:rsidR="00105DEE" w:rsidRPr="00EE6ED7" w:rsidRDefault="00105DEE" w:rsidP="002043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וכאן הבן </w:t>
      </w:r>
      <w:r w:rsidRPr="00EE6ED7">
        <w:rPr>
          <w:sz w:val="26"/>
          <w:szCs w:val="26"/>
          <w:u w:val="single"/>
          <w:rtl/>
        </w:rPr>
        <w:t>שואל</w:t>
      </w:r>
      <w:r w:rsidRPr="00EE6ED7">
        <w:rPr>
          <w:sz w:val="26"/>
          <w:szCs w:val="26"/>
          <w:rtl/>
        </w:rPr>
        <w:t xml:space="preserve"> </w:t>
      </w:r>
      <w:r w:rsidRPr="00EE6ED7">
        <w:rPr>
          <w:sz w:val="26"/>
          <w:szCs w:val="26"/>
          <w:u w:val="single"/>
          <w:rtl/>
        </w:rPr>
        <w:t>מה נשתנה</w:t>
      </w:r>
      <w:r w:rsidRPr="00EE6ED7">
        <w:rPr>
          <w:sz w:val="26"/>
          <w:szCs w:val="26"/>
          <w:rtl/>
        </w:rPr>
        <w:t xml:space="preserve"> או אשתו </w:t>
      </w:r>
      <w:r w:rsidRPr="00EE6ED7">
        <w:rPr>
          <w:sz w:val="26"/>
          <w:szCs w:val="26"/>
          <w:u w:val="single"/>
          <w:rtl/>
        </w:rPr>
        <w:t>שואלתו</w:t>
      </w:r>
      <w:r w:rsidRPr="00EE6ED7">
        <w:rPr>
          <w:sz w:val="26"/>
          <w:szCs w:val="26"/>
          <w:rtl/>
        </w:rPr>
        <w:t xml:space="preserve"> ואם אין </w:t>
      </w:r>
      <w:r w:rsidRPr="00EE6ED7">
        <w:rPr>
          <w:sz w:val="26"/>
          <w:szCs w:val="26"/>
          <w:u w:val="single"/>
          <w:rtl/>
        </w:rPr>
        <w:t>שואלת</w:t>
      </w:r>
      <w:r w:rsidRPr="00EE6ED7">
        <w:rPr>
          <w:sz w:val="26"/>
          <w:szCs w:val="26"/>
          <w:rtl/>
        </w:rPr>
        <w:t xml:space="preserve"> יאמר הוא בעצמו מה נשתנה</w:t>
      </w:r>
      <w:r w:rsidR="006A2028" w:rsidRPr="006A2028">
        <w:rPr>
          <w:sz w:val="26"/>
          <w:szCs w:val="26"/>
          <w:rtl/>
        </w:rPr>
        <w:t xml:space="preserve"> </w:t>
      </w:r>
      <w:r w:rsidR="006A2028">
        <w:rPr>
          <w:rFonts w:hint="cs"/>
          <w:sz w:val="26"/>
          <w:szCs w:val="26"/>
          <w:rtl/>
        </w:rPr>
        <w:t>(</w:t>
      </w:r>
      <w:r w:rsidR="006A2028" w:rsidRPr="00EE6ED7">
        <w:rPr>
          <w:sz w:val="26"/>
          <w:szCs w:val="26"/>
          <w:rtl/>
        </w:rPr>
        <w:t>ספר ראב"ן, פסחים</w:t>
      </w:r>
      <w:r w:rsidR="00D47BA7">
        <w:rPr>
          <w:rFonts w:hint="cs"/>
          <w:sz w:val="26"/>
          <w:szCs w:val="26"/>
          <w:rtl/>
        </w:rPr>
        <w:t xml:space="preserve">, </w:t>
      </w:r>
      <w:r w:rsidR="002043CF">
        <w:rPr>
          <w:rFonts w:hint="cs"/>
          <w:sz w:val="26"/>
          <w:szCs w:val="26"/>
          <w:rtl/>
        </w:rPr>
        <w:t>קסו ע"א</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עבדים היינו לפרעה במצרים - עתה משיב התינוקות ש</w:t>
      </w:r>
      <w:r w:rsidRPr="00EE6ED7">
        <w:rPr>
          <w:sz w:val="26"/>
          <w:szCs w:val="26"/>
          <w:u w:val="single"/>
          <w:rtl/>
        </w:rPr>
        <w:t>שאלו</w:t>
      </w:r>
      <w:r w:rsidRPr="00EE6ED7">
        <w:rPr>
          <w:sz w:val="26"/>
          <w:szCs w:val="26"/>
          <w:rtl/>
        </w:rPr>
        <w:t xml:space="preserve"> </w:t>
      </w:r>
      <w:r w:rsidRPr="00EE6ED7">
        <w:rPr>
          <w:sz w:val="26"/>
          <w:szCs w:val="26"/>
          <w:u w:val="single"/>
          <w:rtl/>
        </w:rPr>
        <w:t>מה נשתנה</w:t>
      </w:r>
      <w:r w:rsidRPr="00EE6ED7">
        <w:rPr>
          <w:sz w:val="26"/>
          <w:szCs w:val="26"/>
          <w:rtl/>
        </w:rPr>
        <w:t xml:space="preserve"> הלילה הזה מכל הלילות</w:t>
      </w:r>
      <w:r w:rsidR="006A2028" w:rsidRPr="006A2028">
        <w:rPr>
          <w:sz w:val="26"/>
          <w:szCs w:val="26"/>
          <w:rtl/>
        </w:rPr>
        <w:t xml:space="preserve"> </w:t>
      </w:r>
      <w:r w:rsidR="006A2028">
        <w:rPr>
          <w:rFonts w:hint="cs"/>
          <w:sz w:val="26"/>
          <w:szCs w:val="26"/>
          <w:rtl/>
        </w:rPr>
        <w:t>(</w:t>
      </w:r>
      <w:r w:rsidR="006A2028" w:rsidRPr="00EE6ED7">
        <w:rPr>
          <w:sz w:val="26"/>
          <w:szCs w:val="26"/>
          <w:rtl/>
        </w:rPr>
        <w:t xml:space="preserve">פירוש על ההגדה </w:t>
      </w:r>
      <w:r w:rsidR="00E41BE8">
        <w:rPr>
          <w:rFonts w:hint="cs"/>
          <w:sz w:val="26"/>
          <w:szCs w:val="26"/>
          <w:rtl/>
        </w:rPr>
        <w:t>ה</w:t>
      </w:r>
      <w:r w:rsidR="006A2028" w:rsidRPr="00EE6ED7">
        <w:rPr>
          <w:sz w:val="26"/>
          <w:szCs w:val="26"/>
          <w:rtl/>
        </w:rPr>
        <w:t>מיוחס לרשב"ם</w:t>
      </w:r>
      <w:r w:rsidR="006A2028">
        <w:rPr>
          <w:rFonts w:hint="cs"/>
          <w:sz w:val="26"/>
          <w:szCs w:val="26"/>
          <w:rtl/>
        </w:rPr>
        <w:t>)</w:t>
      </w:r>
      <w:r w:rsidRPr="00EE6ED7">
        <w:rPr>
          <w:sz w:val="26"/>
          <w:szCs w:val="26"/>
          <w:rtl/>
        </w:rPr>
        <w:t>.</w:t>
      </w:r>
      <w:r w:rsidRPr="00EE6ED7">
        <w:rPr>
          <w:sz w:val="26"/>
          <w:szCs w:val="26"/>
          <w:vertAlign w:val="superscript"/>
          <w:rtl/>
        </w:rPr>
        <w:footnoteReference w:id="93"/>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אין לו אשה</w:t>
      </w:r>
      <w:r w:rsidR="002043CF">
        <w:rPr>
          <w:rFonts w:hint="cs"/>
          <w:sz w:val="26"/>
          <w:szCs w:val="26"/>
          <w:rtl/>
        </w:rPr>
        <w:t>,</w:t>
      </w:r>
      <w:r w:rsidRPr="00EE6ED7">
        <w:rPr>
          <w:sz w:val="26"/>
          <w:szCs w:val="26"/>
          <w:rtl/>
        </w:rPr>
        <w:t xml:space="preserve"> </w:t>
      </w:r>
      <w:r w:rsidRPr="00EE6ED7">
        <w:rPr>
          <w:sz w:val="26"/>
          <w:szCs w:val="26"/>
          <w:u w:val="single"/>
          <w:rtl/>
        </w:rPr>
        <w:t>שואלין</w:t>
      </w:r>
      <w:r w:rsidRPr="00EE6ED7">
        <w:rPr>
          <w:sz w:val="26"/>
          <w:szCs w:val="26"/>
          <w:rtl/>
        </w:rPr>
        <w:t xml:space="preserve"> זה את זה </w:t>
      </w:r>
      <w:r w:rsidRPr="00EE6ED7">
        <w:rPr>
          <w:sz w:val="26"/>
          <w:szCs w:val="26"/>
          <w:u w:val="single"/>
          <w:rtl/>
        </w:rPr>
        <w:t>מה נשתנה</w:t>
      </w:r>
      <w:r w:rsidRPr="00EE6ED7">
        <w:rPr>
          <w:sz w:val="26"/>
          <w:szCs w:val="26"/>
          <w:rtl/>
        </w:rPr>
        <w:t xml:space="preserve"> הלילה הזה, ואפילו היו כולן חכמים. היה לבדו</w:t>
      </w:r>
      <w:r w:rsidR="002043CF">
        <w:rPr>
          <w:rFonts w:hint="cs"/>
          <w:sz w:val="26"/>
          <w:szCs w:val="26"/>
          <w:rtl/>
        </w:rPr>
        <w:t>,</w:t>
      </w:r>
      <w:r w:rsidRPr="00EE6ED7">
        <w:rPr>
          <w:sz w:val="26"/>
          <w:szCs w:val="26"/>
          <w:rtl/>
        </w:rPr>
        <w:t xml:space="preserve"> </w:t>
      </w:r>
      <w:r w:rsidRPr="00EE6ED7">
        <w:rPr>
          <w:sz w:val="26"/>
          <w:szCs w:val="26"/>
          <w:u w:val="single"/>
          <w:rtl/>
        </w:rPr>
        <w:t>שואל</w:t>
      </w:r>
      <w:r w:rsidRPr="00EE6ED7">
        <w:rPr>
          <w:sz w:val="26"/>
          <w:szCs w:val="26"/>
          <w:rtl/>
        </w:rPr>
        <w:t xml:space="preserve"> לעצמו </w:t>
      </w:r>
      <w:r w:rsidRPr="00EE6ED7">
        <w:rPr>
          <w:sz w:val="26"/>
          <w:szCs w:val="26"/>
          <w:u w:val="single"/>
          <w:rtl/>
        </w:rPr>
        <w:t>מה נשתנה</w:t>
      </w:r>
      <w:r w:rsidRPr="00EE6ED7">
        <w:rPr>
          <w:sz w:val="26"/>
          <w:szCs w:val="26"/>
          <w:rtl/>
        </w:rPr>
        <w:t xml:space="preserve"> הלילה הזה</w:t>
      </w:r>
      <w:r w:rsidR="006A2028">
        <w:rPr>
          <w:rFonts w:hint="cs"/>
          <w:sz w:val="26"/>
          <w:szCs w:val="26"/>
          <w:rtl/>
        </w:rPr>
        <w:t xml:space="preserve"> (</w:t>
      </w:r>
      <w:r w:rsidR="006A2028" w:rsidRPr="00EE6ED7">
        <w:rPr>
          <w:sz w:val="26"/>
          <w:szCs w:val="26"/>
          <w:rtl/>
        </w:rPr>
        <w:t>משנה תורה, הלכות חמץ ומצה</w:t>
      </w:r>
      <w:r w:rsidR="006A2028">
        <w:rPr>
          <w:rFonts w:hint="cs"/>
          <w:sz w:val="26"/>
          <w:szCs w:val="26"/>
          <w:rtl/>
        </w:rPr>
        <w:t xml:space="preserve">, </w:t>
      </w:r>
      <w:r w:rsidR="006A2028" w:rsidRPr="00EE6ED7">
        <w:rPr>
          <w:sz w:val="26"/>
          <w:szCs w:val="26"/>
          <w:rtl/>
        </w:rPr>
        <w:t>ז</w:t>
      </w:r>
      <w:r w:rsidR="006A2028">
        <w:rPr>
          <w:rFonts w:hint="cs"/>
          <w:sz w:val="26"/>
          <w:szCs w:val="26"/>
          <w:rtl/>
        </w:rPr>
        <w:t xml:space="preserve">, </w:t>
      </w:r>
      <w:r w:rsidR="006A2028" w:rsidRPr="00EE6ED7">
        <w:rPr>
          <w:sz w:val="26"/>
          <w:szCs w:val="26"/>
          <w:rtl/>
        </w:rPr>
        <w:t>ג</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C51F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ומוזג </w:t>
      </w:r>
      <w:r w:rsidR="00390802" w:rsidRPr="00EE6ED7">
        <w:rPr>
          <w:sz w:val="26"/>
          <w:szCs w:val="26"/>
          <w:rtl/>
        </w:rPr>
        <w:t>[</w:t>
      </w:r>
      <w:r w:rsidRPr="00EE6ED7">
        <w:rPr>
          <w:sz w:val="26"/>
          <w:szCs w:val="26"/>
          <w:rtl/>
        </w:rPr>
        <w:t>ל</w:t>
      </w:r>
      <w:r w:rsidR="00390802" w:rsidRPr="00EE6ED7">
        <w:rPr>
          <w:sz w:val="26"/>
          <w:szCs w:val="26"/>
          <w:rtl/>
        </w:rPr>
        <w:t>]</w:t>
      </w:r>
      <w:r w:rsidRPr="00EE6ED7">
        <w:rPr>
          <w:sz w:val="26"/>
          <w:szCs w:val="26"/>
          <w:rtl/>
        </w:rPr>
        <w:t xml:space="preserve">ו כוס שני וכן הבן </w:t>
      </w:r>
      <w:r w:rsidRPr="00EE6ED7">
        <w:rPr>
          <w:sz w:val="26"/>
          <w:szCs w:val="26"/>
          <w:u w:val="single"/>
          <w:rtl/>
        </w:rPr>
        <w:t>שואל</w:t>
      </w:r>
      <w:r w:rsidRPr="00EE6ED7">
        <w:rPr>
          <w:sz w:val="26"/>
          <w:szCs w:val="26"/>
          <w:rtl/>
        </w:rPr>
        <w:t xml:space="preserve"> </w:t>
      </w:r>
      <w:r w:rsidRPr="00EE6ED7">
        <w:rPr>
          <w:sz w:val="26"/>
          <w:szCs w:val="26"/>
          <w:u w:val="single"/>
          <w:rtl/>
        </w:rPr>
        <w:t>מה נשתנה</w:t>
      </w:r>
      <w:r w:rsidRPr="00EE6ED7">
        <w:rPr>
          <w:sz w:val="26"/>
          <w:szCs w:val="26"/>
          <w:rtl/>
        </w:rPr>
        <w:t xml:space="preserve"> </w:t>
      </w:r>
      <w:r w:rsidR="00C51FED">
        <w:rPr>
          <w:rFonts w:hint="cs"/>
          <w:sz w:val="26"/>
          <w:szCs w:val="26"/>
          <w:rtl/>
        </w:rPr>
        <w:t>&lt;</w:t>
      </w:r>
      <w:r w:rsidRPr="00EE6ED7">
        <w:rPr>
          <w:sz w:val="26"/>
          <w:szCs w:val="26"/>
          <w:rtl/>
        </w:rPr>
        <w:t>הלילה הזה מכל הלילות</w:t>
      </w:r>
      <w:r w:rsidR="00C51FED">
        <w:rPr>
          <w:rFonts w:hint="cs"/>
          <w:sz w:val="26"/>
          <w:szCs w:val="26"/>
          <w:rtl/>
        </w:rPr>
        <w:t>&gt;</w:t>
      </w:r>
      <w:r w:rsidRPr="00EE6ED7">
        <w:rPr>
          <w:sz w:val="26"/>
          <w:szCs w:val="26"/>
          <w:rtl/>
        </w:rPr>
        <w:t xml:space="preserve"> וכו'. ואם אינו יודע הבן לשאול אשתו </w:t>
      </w:r>
      <w:r w:rsidRPr="00EE6ED7">
        <w:rPr>
          <w:sz w:val="26"/>
          <w:szCs w:val="26"/>
          <w:u w:val="single"/>
          <w:rtl/>
        </w:rPr>
        <w:t>שואלת</w:t>
      </w:r>
      <w:r w:rsidRPr="00EE6ED7">
        <w:rPr>
          <w:sz w:val="26"/>
          <w:szCs w:val="26"/>
          <w:rtl/>
        </w:rPr>
        <w:t xml:space="preserve"> או הוא </w:t>
      </w:r>
      <w:r w:rsidRPr="00EE6ED7">
        <w:rPr>
          <w:sz w:val="26"/>
          <w:szCs w:val="26"/>
          <w:u w:val="single"/>
          <w:rtl/>
        </w:rPr>
        <w:t>שואל</w:t>
      </w:r>
      <w:r w:rsidRPr="00EE6ED7">
        <w:rPr>
          <w:sz w:val="26"/>
          <w:szCs w:val="26"/>
          <w:rtl/>
        </w:rPr>
        <w:t xml:space="preserve"> לעצמו</w:t>
      </w:r>
      <w:r w:rsidR="006A2028">
        <w:rPr>
          <w:rFonts w:hint="cs"/>
          <w:sz w:val="26"/>
          <w:szCs w:val="26"/>
          <w:rtl/>
        </w:rPr>
        <w:t xml:space="preserve"> (ראבי"ה ב, תקכה</w:t>
      </w:r>
      <w:r w:rsidR="00E41BE8">
        <w:rPr>
          <w:rFonts w:hint="cs"/>
          <w:sz w:val="26"/>
          <w:szCs w:val="26"/>
          <w:rtl/>
        </w:rPr>
        <w:t>, מהדורת אפטוביצר, עמ' 163</w:t>
      </w:r>
      <w:r w:rsidR="006A2028">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2043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ומוזגין כוס ש</w:t>
      </w:r>
      <w:r w:rsidR="00A16255">
        <w:rPr>
          <w:rFonts w:hint="cs"/>
          <w:sz w:val="26"/>
          <w:szCs w:val="26"/>
          <w:rtl/>
        </w:rPr>
        <w:t>י</w:t>
      </w:r>
      <w:r w:rsidRPr="00EE6ED7">
        <w:rPr>
          <w:sz w:val="26"/>
          <w:szCs w:val="26"/>
          <w:rtl/>
        </w:rPr>
        <w:t xml:space="preserve">ני וכאן </w:t>
      </w:r>
      <w:r w:rsidRPr="00EE6ED7">
        <w:rPr>
          <w:sz w:val="26"/>
          <w:szCs w:val="26"/>
          <w:u w:val="single"/>
          <w:rtl/>
        </w:rPr>
        <w:t>שואל</w:t>
      </w:r>
      <w:r w:rsidRPr="00EE6ED7">
        <w:rPr>
          <w:sz w:val="26"/>
          <w:szCs w:val="26"/>
          <w:rtl/>
        </w:rPr>
        <w:t xml:space="preserve"> הבן לאביו </w:t>
      </w:r>
      <w:r w:rsidRPr="00EE6ED7">
        <w:rPr>
          <w:sz w:val="26"/>
          <w:szCs w:val="26"/>
          <w:u w:val="single"/>
          <w:rtl/>
        </w:rPr>
        <w:t>מה נשתנה</w:t>
      </w:r>
      <w:r w:rsidR="006A2028" w:rsidRPr="006A2028">
        <w:rPr>
          <w:sz w:val="26"/>
          <w:szCs w:val="26"/>
          <w:rtl/>
        </w:rPr>
        <w:t xml:space="preserve"> </w:t>
      </w:r>
      <w:r w:rsidR="006A2028">
        <w:rPr>
          <w:rFonts w:hint="cs"/>
          <w:sz w:val="26"/>
          <w:szCs w:val="26"/>
          <w:rtl/>
        </w:rPr>
        <w:t>(</w:t>
      </w:r>
      <w:r w:rsidR="006A2028" w:rsidRPr="00EE6ED7">
        <w:rPr>
          <w:sz w:val="26"/>
          <w:szCs w:val="26"/>
          <w:rtl/>
        </w:rPr>
        <w:t xml:space="preserve">פירוש על ההגדה לתלמיד של ר' יצחק הכהן </w:t>
      </w:r>
      <w:r w:rsidR="002043CF">
        <w:rPr>
          <w:rFonts w:hint="cs"/>
          <w:sz w:val="26"/>
          <w:szCs w:val="26"/>
          <w:rtl/>
        </w:rPr>
        <w:t>[</w:t>
      </w:r>
      <w:r w:rsidR="006A2028" w:rsidRPr="00EE6ED7">
        <w:rPr>
          <w:sz w:val="26"/>
          <w:szCs w:val="26"/>
          <w:rtl/>
        </w:rPr>
        <w:t>ב"ר יעקב גיקטלי</w:t>
      </w:r>
      <w:r w:rsidR="002043CF">
        <w:rPr>
          <w:rFonts w:hint="cs"/>
          <w:sz w:val="26"/>
          <w:szCs w:val="26"/>
          <w:rtl/>
        </w:rPr>
        <w:t>א]</w:t>
      </w:r>
      <w:r w:rsidR="006A2028">
        <w:rPr>
          <w:rFonts w:hint="cs"/>
          <w:sz w:val="26"/>
          <w:szCs w:val="26"/>
          <w:rtl/>
        </w:rPr>
        <w:t>)</w:t>
      </w:r>
      <w:r w:rsidRPr="00EE6ED7">
        <w:rPr>
          <w:sz w:val="26"/>
          <w:szCs w:val="26"/>
          <w:rtl/>
        </w:rPr>
        <w:t>.</w:t>
      </w:r>
      <w:r w:rsidRPr="00EE6ED7">
        <w:rPr>
          <w:sz w:val="26"/>
          <w:szCs w:val="26"/>
          <w:vertAlign w:val="superscript"/>
          <w:rtl/>
        </w:rPr>
        <w:footnoteReference w:id="94"/>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עבדים היינו לפרעה במצרים - היא תשובת מה נשתנה. הבן </w:t>
      </w:r>
      <w:r w:rsidRPr="00EE6ED7">
        <w:rPr>
          <w:sz w:val="26"/>
          <w:szCs w:val="26"/>
          <w:u w:val="single"/>
          <w:rtl/>
        </w:rPr>
        <w:t>שואל</w:t>
      </w:r>
      <w:r w:rsidRPr="00EE6ED7">
        <w:rPr>
          <w:sz w:val="26"/>
          <w:szCs w:val="26"/>
          <w:rtl/>
        </w:rPr>
        <w:t xml:space="preserve"> </w:t>
      </w:r>
      <w:r w:rsidRPr="00EE6ED7">
        <w:rPr>
          <w:sz w:val="26"/>
          <w:szCs w:val="26"/>
          <w:u w:val="single"/>
          <w:rtl/>
        </w:rPr>
        <w:t>מה נשתנה</w:t>
      </w:r>
      <w:r w:rsidRPr="00EE6ED7">
        <w:rPr>
          <w:sz w:val="26"/>
          <w:szCs w:val="26"/>
          <w:rtl/>
        </w:rPr>
        <w:t>, ואביו משיבו עבדים היינו, ולפיכך נשתנה הלילה הזה באכילת מצה ומרור והסיבה מכל שאר הלילות</w:t>
      </w:r>
      <w:r w:rsidR="006A2028">
        <w:rPr>
          <w:rFonts w:hint="cs"/>
          <w:sz w:val="26"/>
          <w:szCs w:val="26"/>
          <w:rtl/>
        </w:rPr>
        <w:t xml:space="preserve"> (תניא רבתי)</w:t>
      </w:r>
      <w:r w:rsidRPr="00EE6ED7">
        <w:rPr>
          <w:sz w:val="26"/>
          <w:szCs w:val="26"/>
          <w:rtl/>
        </w:rPr>
        <w:t>.</w:t>
      </w:r>
      <w:r w:rsidRPr="00EE6ED7">
        <w:rPr>
          <w:sz w:val="26"/>
          <w:szCs w:val="26"/>
          <w:vertAlign w:val="superscript"/>
        </w:rPr>
        <w:footnoteReference w:id="95"/>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A16255" w:rsidP="00A1625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Pr>
          <w:sz w:val="26"/>
          <w:szCs w:val="26"/>
          <w:rtl/>
        </w:rPr>
        <w:t>עבדים היינו - פירוש</w:t>
      </w:r>
      <w:r w:rsidR="00105DEE" w:rsidRPr="00EE6ED7">
        <w:rPr>
          <w:sz w:val="26"/>
          <w:szCs w:val="26"/>
          <w:rtl/>
        </w:rPr>
        <w:t xml:space="preserve"> עתה משיב לתינוקות </w:t>
      </w:r>
      <w:r w:rsidR="00105DEE" w:rsidRPr="00EE6ED7">
        <w:rPr>
          <w:sz w:val="26"/>
          <w:szCs w:val="26"/>
          <w:u w:val="single"/>
          <w:rtl/>
        </w:rPr>
        <w:t>ששאלו</w:t>
      </w:r>
      <w:r w:rsidR="00105DEE" w:rsidRPr="00EE6ED7">
        <w:rPr>
          <w:sz w:val="26"/>
          <w:szCs w:val="26"/>
          <w:rtl/>
        </w:rPr>
        <w:t xml:space="preserve"> </w:t>
      </w:r>
      <w:r w:rsidR="00105DEE" w:rsidRPr="00EE6ED7">
        <w:rPr>
          <w:sz w:val="26"/>
          <w:szCs w:val="26"/>
          <w:u w:val="single"/>
          <w:rtl/>
        </w:rPr>
        <w:t>מה נשתנה</w:t>
      </w:r>
      <w:r w:rsidR="00105DEE" w:rsidRPr="00EE6ED7">
        <w:rPr>
          <w:sz w:val="26"/>
          <w:szCs w:val="26"/>
          <w:rtl/>
        </w:rPr>
        <w:t>...</w:t>
      </w:r>
      <w:r w:rsidR="006A2028" w:rsidRPr="006A2028">
        <w:rPr>
          <w:sz w:val="26"/>
          <w:szCs w:val="26"/>
          <w:rtl/>
        </w:rPr>
        <w:t xml:space="preserve"> </w:t>
      </w:r>
      <w:r w:rsidR="006A2028">
        <w:rPr>
          <w:rFonts w:hint="cs"/>
          <w:sz w:val="26"/>
          <w:szCs w:val="26"/>
          <w:rtl/>
        </w:rPr>
        <w:t>(</w:t>
      </w:r>
      <w:r w:rsidR="006A2028" w:rsidRPr="00EE6ED7">
        <w:rPr>
          <w:sz w:val="26"/>
          <w:szCs w:val="26"/>
          <w:rtl/>
        </w:rPr>
        <w:t>כלבו</w:t>
      </w:r>
      <w:r w:rsidR="006A2028">
        <w:rPr>
          <w:rFonts w:hint="cs"/>
          <w:sz w:val="26"/>
          <w:szCs w:val="26"/>
          <w:rtl/>
        </w:rPr>
        <w:t xml:space="preserve">, </w:t>
      </w:r>
      <w:r w:rsidR="006A2028" w:rsidRPr="00EE6ED7">
        <w:rPr>
          <w:sz w:val="26"/>
          <w:szCs w:val="26"/>
          <w:rtl/>
        </w:rPr>
        <w:t>סימן נא</w:t>
      </w:r>
      <w:r w:rsidR="00E41BE8">
        <w:rPr>
          <w:rFonts w:hint="cs"/>
          <w:sz w:val="26"/>
          <w:szCs w:val="26"/>
          <w:rtl/>
        </w:rPr>
        <w:t xml:space="preserve">, מהדורת אברהם, ג, עמ' </w:t>
      </w:r>
      <w:r>
        <w:rPr>
          <w:rFonts w:hint="cs"/>
          <w:sz w:val="26"/>
          <w:szCs w:val="26"/>
          <w:rtl/>
        </w:rPr>
        <w:t>קצ</w:t>
      </w:r>
      <w:r>
        <w:rPr>
          <w:rFonts w:hint="eastAsia"/>
          <w:sz w:val="26"/>
          <w:szCs w:val="26"/>
          <w:rtl/>
        </w:rPr>
        <w:t>–</w:t>
      </w:r>
      <w:r>
        <w:rPr>
          <w:rFonts w:hint="cs"/>
          <w:sz w:val="26"/>
          <w:szCs w:val="26"/>
          <w:rtl/>
        </w:rPr>
        <w:t>קצא</w:t>
      </w:r>
      <w:r w:rsidR="006A2028" w:rsidRPr="00EE6ED7">
        <w:rPr>
          <w:sz w:val="26"/>
          <w:szCs w:val="26"/>
          <w:rtl/>
        </w:rPr>
        <w:t>)</w:t>
      </w:r>
      <w:r w:rsidR="00105DEE"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6A20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עבדים - פירוש, עתה משיב לתינוקות </w:t>
      </w:r>
      <w:r w:rsidRPr="00EE6ED7">
        <w:rPr>
          <w:sz w:val="26"/>
          <w:szCs w:val="26"/>
          <w:u w:val="single"/>
          <w:rtl/>
        </w:rPr>
        <w:t>ששאלו</w:t>
      </w:r>
      <w:r w:rsidRPr="00EE6ED7">
        <w:rPr>
          <w:sz w:val="26"/>
          <w:szCs w:val="26"/>
          <w:rtl/>
        </w:rPr>
        <w:t xml:space="preserve"> </w:t>
      </w:r>
      <w:r w:rsidRPr="00EE6ED7">
        <w:rPr>
          <w:sz w:val="26"/>
          <w:szCs w:val="26"/>
          <w:u w:val="single"/>
          <w:rtl/>
        </w:rPr>
        <w:t>מה נשתנה</w:t>
      </w:r>
      <w:r w:rsidRPr="00EE6ED7">
        <w:rPr>
          <w:sz w:val="26"/>
          <w:szCs w:val="26"/>
          <w:rtl/>
        </w:rPr>
        <w:t>...</w:t>
      </w:r>
      <w:r w:rsidR="006A2028" w:rsidRPr="006A2028">
        <w:rPr>
          <w:sz w:val="26"/>
          <w:szCs w:val="26"/>
          <w:rtl/>
        </w:rPr>
        <w:t xml:space="preserve"> </w:t>
      </w:r>
      <w:r w:rsidR="006A2028">
        <w:rPr>
          <w:rFonts w:hint="cs"/>
          <w:sz w:val="26"/>
          <w:szCs w:val="26"/>
          <w:rtl/>
        </w:rPr>
        <w:t>(</w:t>
      </w:r>
      <w:r w:rsidR="006A2028" w:rsidRPr="00EE6ED7">
        <w:rPr>
          <w:sz w:val="26"/>
          <w:szCs w:val="26"/>
          <w:rtl/>
        </w:rPr>
        <w:t>ארחות חיים</w:t>
      </w:r>
      <w:r w:rsidR="006A2028">
        <w:rPr>
          <w:rFonts w:hint="cs"/>
          <w:sz w:val="26"/>
          <w:szCs w:val="26"/>
          <w:rtl/>
        </w:rPr>
        <w:t>)</w:t>
      </w:r>
      <w:r w:rsidRPr="00EE6ED7">
        <w:rPr>
          <w:sz w:val="26"/>
          <w:szCs w:val="26"/>
          <w:rtl/>
        </w:rPr>
        <w:t>.</w:t>
      </w:r>
      <w:r w:rsidRPr="00EE6ED7">
        <w:rPr>
          <w:sz w:val="26"/>
          <w:szCs w:val="26"/>
          <w:vertAlign w:val="superscript"/>
          <w:rtl/>
        </w:rPr>
        <w:footnoteReference w:id="96"/>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rtl/>
        </w:rPr>
        <w:t xml:space="preserve">ואם הם שנים </w:t>
      </w:r>
      <w:r w:rsidRPr="00EE6ED7">
        <w:rPr>
          <w:sz w:val="26"/>
          <w:szCs w:val="26"/>
          <w:u w:val="single"/>
          <w:rtl/>
        </w:rPr>
        <w:t>שואלים</w:t>
      </w:r>
      <w:r w:rsidRPr="00EE6ED7">
        <w:rPr>
          <w:sz w:val="26"/>
          <w:szCs w:val="26"/>
          <w:rtl/>
        </w:rPr>
        <w:t xml:space="preserve"> זה את זה </w:t>
      </w:r>
      <w:r w:rsidRPr="00EE6ED7">
        <w:rPr>
          <w:sz w:val="26"/>
          <w:szCs w:val="26"/>
          <w:u w:val="single"/>
          <w:rtl/>
        </w:rPr>
        <w:t>מה נשתנה</w:t>
      </w:r>
      <w:r w:rsidRPr="00EE6ED7">
        <w:rPr>
          <w:sz w:val="26"/>
          <w:szCs w:val="26"/>
          <w:rtl/>
        </w:rPr>
        <w:t xml:space="preserve"> הלילה הזה מכל הלילות וכו' </w:t>
      </w:r>
      <w:r w:rsidR="006A2028">
        <w:rPr>
          <w:rFonts w:hint="cs"/>
          <w:sz w:val="26"/>
          <w:szCs w:val="26"/>
          <w:rtl/>
        </w:rPr>
        <w:t>(</w:t>
      </w:r>
      <w:r w:rsidR="006A2028" w:rsidRPr="00EE6ED7">
        <w:rPr>
          <w:sz w:val="26"/>
          <w:szCs w:val="26"/>
          <w:rtl/>
        </w:rPr>
        <w:t>תולדות אדם וחוה לרבנו ירוחם, נתיב ה</w:t>
      </w:r>
      <w:r w:rsidR="006A2028">
        <w:rPr>
          <w:rFonts w:hint="cs"/>
          <w:sz w:val="26"/>
          <w:szCs w:val="26"/>
          <w:rtl/>
        </w:rPr>
        <w:t xml:space="preserve">, </w:t>
      </w:r>
      <w:r w:rsidR="006A2028" w:rsidRPr="00EE6ED7">
        <w:rPr>
          <w:sz w:val="26"/>
          <w:szCs w:val="26"/>
          <w:rtl/>
        </w:rPr>
        <w:t>חלק ד</w:t>
      </w:r>
      <w:r w:rsidR="006A2028">
        <w:rPr>
          <w:rFonts w:hint="cs"/>
          <w:sz w:val="26"/>
          <w:szCs w:val="26"/>
          <w:rtl/>
        </w:rPr>
        <w:t xml:space="preserve">, </w:t>
      </w:r>
      <w:r w:rsidR="006A2028" w:rsidRPr="00EE6ED7">
        <w:rPr>
          <w:sz w:val="26"/>
          <w:szCs w:val="26"/>
          <w:rtl/>
        </w:rPr>
        <w:t xml:space="preserve">מג </w:t>
      </w:r>
      <w:r w:rsidR="006A2028">
        <w:rPr>
          <w:rFonts w:hint="cs"/>
          <w:sz w:val="26"/>
          <w:szCs w:val="26"/>
          <w:rtl/>
        </w:rPr>
        <w:t>ע"</w:t>
      </w:r>
      <w:r w:rsidR="006A2028" w:rsidRPr="00EE6ED7">
        <w:rPr>
          <w:sz w:val="26"/>
          <w:szCs w:val="26"/>
          <w:rtl/>
        </w:rPr>
        <w:t>ג</w:t>
      </w:r>
      <w:r w:rsidR="006A2028">
        <w:rPr>
          <w:rFonts w:hint="cs"/>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עבדים היינו לפרעה וכו' י"מ שעתה משיב לתינוקות ש</w:t>
      </w:r>
      <w:r w:rsidRPr="00EE6ED7">
        <w:rPr>
          <w:sz w:val="26"/>
          <w:szCs w:val="26"/>
          <w:u w:val="single"/>
          <w:rtl/>
        </w:rPr>
        <w:t>שאלו</w:t>
      </w:r>
      <w:r w:rsidRPr="00EE6ED7">
        <w:rPr>
          <w:sz w:val="26"/>
          <w:szCs w:val="26"/>
          <w:rtl/>
        </w:rPr>
        <w:t xml:space="preserve"> </w:t>
      </w:r>
      <w:r w:rsidRPr="00EE6ED7">
        <w:rPr>
          <w:sz w:val="26"/>
          <w:szCs w:val="26"/>
          <w:u w:val="single"/>
          <w:rtl/>
        </w:rPr>
        <w:t>מה נשתנה</w:t>
      </w:r>
      <w:r w:rsidRPr="00EE6ED7">
        <w:rPr>
          <w:sz w:val="26"/>
          <w:szCs w:val="26"/>
          <w:rtl/>
        </w:rPr>
        <w:t xml:space="preserve"> הלילה הזה מכל הלילות</w:t>
      </w:r>
      <w:r w:rsidR="002C6F54" w:rsidRPr="002C6F54">
        <w:rPr>
          <w:sz w:val="26"/>
          <w:szCs w:val="26"/>
          <w:rtl/>
        </w:rPr>
        <w:t xml:space="preserve"> </w:t>
      </w:r>
      <w:r w:rsidR="002C6F54">
        <w:rPr>
          <w:rFonts w:hint="cs"/>
          <w:sz w:val="26"/>
          <w:szCs w:val="26"/>
          <w:rtl/>
        </w:rPr>
        <w:t>(</w:t>
      </w:r>
      <w:r w:rsidR="002C6F54" w:rsidRPr="00EE6ED7">
        <w:rPr>
          <w:sz w:val="26"/>
          <w:szCs w:val="26"/>
          <w:rtl/>
        </w:rPr>
        <w:t>פירוש על ההגדה לר' אברהם ב"ר יהודה חדידה</w:t>
      </w:r>
      <w:r w:rsidR="002C6F54">
        <w:rPr>
          <w:rFonts w:hint="cs"/>
          <w:sz w:val="26"/>
          <w:szCs w:val="26"/>
          <w:rtl/>
        </w:rPr>
        <w:t>)</w:t>
      </w:r>
      <w:r w:rsidRPr="00EE6ED7">
        <w:rPr>
          <w:sz w:val="26"/>
          <w:szCs w:val="26"/>
          <w:rtl/>
        </w:rPr>
        <w:t>.</w:t>
      </w:r>
      <w:r w:rsidRPr="00EE6ED7">
        <w:rPr>
          <w:sz w:val="26"/>
          <w:szCs w:val="26"/>
          <w:vertAlign w:val="superscript"/>
          <w:rtl/>
        </w:rPr>
        <w:footnoteReference w:id="97"/>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This unanimity is no accident; it stems from a </w:t>
      </w:r>
      <w:r w:rsidRPr="00EE6ED7">
        <w:rPr>
          <w:i/>
          <w:sz w:val="26"/>
          <w:szCs w:val="26"/>
        </w:rPr>
        <w:t>baraita</w:t>
      </w:r>
      <w:r w:rsidRPr="00EE6ED7">
        <w:rPr>
          <w:sz w:val="26"/>
          <w:szCs w:val="26"/>
        </w:rPr>
        <w:t xml:space="preserve"> (b.Pes 116a):</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2C6F54" w:rsidRPr="00EE6ED7" w:rsidRDefault="00105DEE" w:rsidP="0032446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tl/>
        </w:rPr>
      </w:pPr>
      <w:r w:rsidRPr="00EE6ED7">
        <w:rPr>
          <w:sz w:val="26"/>
          <w:szCs w:val="26"/>
          <w:rtl/>
        </w:rPr>
        <w:t xml:space="preserve">תנו רבנן: חכם בנו שואלו, ואם אינו חכם אשתו שואלתו. ואם לאו הוא שואל לעצמו. ואפילו שני תלמידי חכמים שיודעין בהלכות הפסח </w:t>
      </w:r>
      <w:r w:rsidRPr="00EE6ED7">
        <w:rPr>
          <w:sz w:val="26"/>
          <w:szCs w:val="26"/>
          <w:u w:val="single"/>
          <w:rtl/>
        </w:rPr>
        <w:t>שואלין</w:t>
      </w:r>
      <w:r w:rsidRPr="00EE6ED7">
        <w:rPr>
          <w:sz w:val="26"/>
          <w:szCs w:val="26"/>
          <w:rtl/>
        </w:rPr>
        <w:t xml:space="preserve"> זה לזה</w:t>
      </w:r>
      <w:r w:rsidRPr="00EE6ED7">
        <w:rPr>
          <w:sz w:val="26"/>
          <w:szCs w:val="26"/>
          <w:vertAlign w:val="superscript"/>
          <w:rtl/>
        </w:rPr>
        <w:footnoteReference w:id="98"/>
      </w:r>
      <w:r w:rsidRPr="00EE6ED7">
        <w:rPr>
          <w:sz w:val="26"/>
          <w:szCs w:val="26"/>
          <w:rtl/>
        </w:rPr>
        <w:t xml:space="preserve"> </w:t>
      </w:r>
      <w:r w:rsidRPr="00EE6ED7">
        <w:rPr>
          <w:sz w:val="26"/>
          <w:szCs w:val="26"/>
          <w:u w:val="single"/>
          <w:rtl/>
        </w:rPr>
        <w:t>מה נשתנה</w:t>
      </w:r>
      <w:r w:rsidRPr="00EE6ED7">
        <w:rPr>
          <w:sz w:val="26"/>
          <w:szCs w:val="26"/>
          <w:rtl/>
        </w:rPr>
        <w:t xml:space="preserve"> הלילה הזה מכל הלילות</w:t>
      </w:r>
      <w:r w:rsidR="00267AD4">
        <w:rPr>
          <w:sz w:val="26"/>
          <w:szCs w:val="26"/>
          <w:rtl/>
        </w:rPr>
        <w:t>...</w:t>
      </w:r>
      <w:r w:rsidR="002C6F54" w:rsidRPr="002C6F54">
        <w:rPr>
          <w:rFonts w:hint="cs"/>
          <w:sz w:val="26"/>
          <w:szCs w:val="26"/>
          <w:rtl/>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right="720"/>
        <w:jc w:val="both"/>
        <w:rPr>
          <w:sz w:val="26"/>
          <w:szCs w:val="26"/>
        </w:rPr>
      </w:pPr>
    </w:p>
    <w:p w:rsidR="00105DEE" w:rsidRPr="00EE6ED7" w:rsidRDefault="00105DEE" w:rsidP="003D39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We may add that the Mishnah itself may be read the same way if it is elliptical:</w:t>
      </w:r>
      <w:r w:rsidRPr="00EE6ED7">
        <w:rPr>
          <w:sz w:val="26"/>
          <w:szCs w:val="26"/>
          <w:rtl/>
        </w:rPr>
        <w:t xml:space="preserve">וכן הבן שואל. אם אין דעת בבן </w:t>
      </w:r>
      <w:r w:rsidR="00BE3F44" w:rsidRPr="00EE6ED7">
        <w:rPr>
          <w:sz w:val="26"/>
          <w:szCs w:val="26"/>
          <w:rtl/>
        </w:rPr>
        <w:t>(</w:t>
      </w:r>
      <w:r w:rsidRPr="00EE6ED7">
        <w:rPr>
          <w:sz w:val="26"/>
          <w:szCs w:val="26"/>
          <w:rtl/>
        </w:rPr>
        <w:t>לשאל / לעשות כן</w:t>
      </w:r>
      <w:r w:rsidR="00BE3F44" w:rsidRPr="00EE6ED7">
        <w:rPr>
          <w:sz w:val="26"/>
          <w:szCs w:val="26"/>
          <w:rtl/>
        </w:rPr>
        <w:t xml:space="preserve">) </w:t>
      </w:r>
      <w:r w:rsidRPr="00EE6ED7">
        <w:rPr>
          <w:sz w:val="26"/>
          <w:szCs w:val="26"/>
          <w:rtl/>
        </w:rPr>
        <w:t xml:space="preserve">אביו מלמדו </w:t>
      </w:r>
      <w:r w:rsidR="001E008D">
        <w:rPr>
          <w:sz w:val="26"/>
          <w:szCs w:val="26"/>
          <w:rtl/>
        </w:rPr>
        <w:br/>
      </w:r>
      <w:r w:rsidR="00BE3F44" w:rsidRPr="00EE6ED7">
        <w:rPr>
          <w:sz w:val="26"/>
          <w:szCs w:val="26"/>
          <w:rtl/>
        </w:rPr>
        <w:t>(</w:t>
      </w:r>
      <w:r w:rsidRPr="00EE6ED7">
        <w:rPr>
          <w:sz w:val="26"/>
          <w:szCs w:val="26"/>
          <w:rtl/>
        </w:rPr>
        <w:t>לשאל / לעשות כן</w:t>
      </w:r>
      <w:r w:rsidR="00BE3F44" w:rsidRPr="00EE6ED7">
        <w:rPr>
          <w:sz w:val="26"/>
          <w:szCs w:val="26"/>
          <w:rtl/>
        </w:rPr>
        <w:t>)</w:t>
      </w:r>
      <w:r w:rsidRPr="00EE6ED7">
        <w:rPr>
          <w:sz w:val="26"/>
          <w:szCs w:val="26"/>
        </w:rPr>
        <w:t>.</w:t>
      </w:r>
      <w:r w:rsidR="0014624C" w:rsidRPr="00EE6ED7">
        <w:rPr>
          <w:sz w:val="26"/>
          <w:szCs w:val="26"/>
        </w:rPr>
        <w:t xml:space="preserve"> </w:t>
      </w:r>
      <w:r w:rsidRPr="00EE6ED7">
        <w:rPr>
          <w:sz w:val="26"/>
          <w:szCs w:val="26"/>
        </w:rPr>
        <w:t>Indeed, H. Freedman in the Soncino Talmud renders: “instructs him (to ask).”</w:t>
      </w:r>
      <w:r w:rsidRPr="00EE6ED7">
        <w:rPr>
          <w:sz w:val="26"/>
          <w:szCs w:val="26"/>
          <w:vertAlign w:val="superscript"/>
        </w:rPr>
        <w:footnoteReference w:id="99"/>
      </w:r>
      <w:r w:rsidR="0014624C" w:rsidRPr="00EE6ED7">
        <w:rPr>
          <w:sz w:val="26"/>
          <w:szCs w:val="26"/>
        </w:rPr>
        <w:t xml:space="preserve"> </w:t>
      </w:r>
      <w:r w:rsidRPr="00EE6ED7">
        <w:rPr>
          <w:sz w:val="26"/>
          <w:szCs w:val="26"/>
        </w:rPr>
        <w:t xml:space="preserve">This reading assumes that the complement </w:t>
      </w:r>
      <w:r w:rsidRPr="00EE6ED7">
        <w:rPr>
          <w:sz w:val="26"/>
          <w:szCs w:val="26"/>
          <w:rtl/>
        </w:rPr>
        <w:t>לשאל</w:t>
      </w:r>
      <w:r w:rsidRPr="00EE6ED7">
        <w:rPr>
          <w:sz w:val="26"/>
          <w:szCs w:val="26"/>
        </w:rPr>
        <w:t xml:space="preserve"> has to be supplied twice from the phrase </w:t>
      </w:r>
      <w:r w:rsidRPr="00EE6ED7">
        <w:rPr>
          <w:sz w:val="26"/>
          <w:szCs w:val="26"/>
          <w:rtl/>
        </w:rPr>
        <w:t>הבן שואל</w:t>
      </w:r>
      <w:r w:rsidRPr="00EE6ED7">
        <w:rPr>
          <w:sz w:val="26"/>
          <w:szCs w:val="26"/>
        </w:rPr>
        <w:t>.</w:t>
      </w:r>
      <w:r w:rsidR="0014624C" w:rsidRPr="00EE6ED7">
        <w:rPr>
          <w:sz w:val="26"/>
          <w:szCs w:val="26"/>
        </w:rPr>
        <w:t xml:space="preserve"> </w:t>
      </w:r>
      <w:r w:rsidRPr="00EE6ED7">
        <w:rPr>
          <w:sz w:val="26"/>
          <w:szCs w:val="26"/>
        </w:rPr>
        <w:t xml:space="preserve">There are good grounds for understanding </w:t>
      </w:r>
      <w:r w:rsidRPr="00EE6ED7">
        <w:rPr>
          <w:sz w:val="26"/>
          <w:szCs w:val="26"/>
          <w:rtl/>
        </w:rPr>
        <w:t>לשאל</w:t>
      </w:r>
      <w:r w:rsidRPr="00EE6ED7">
        <w:rPr>
          <w:sz w:val="26"/>
          <w:szCs w:val="26"/>
        </w:rPr>
        <w:t xml:space="preserve"> after </w:t>
      </w:r>
      <w:r w:rsidRPr="00EE6ED7">
        <w:rPr>
          <w:sz w:val="26"/>
          <w:szCs w:val="26"/>
          <w:rtl/>
        </w:rPr>
        <w:t>אין דעת בבן</w:t>
      </w:r>
      <w:r w:rsidRPr="00EE6ED7">
        <w:rPr>
          <w:sz w:val="26"/>
          <w:szCs w:val="26"/>
        </w:rPr>
        <w:t>.</w:t>
      </w:r>
      <w:r w:rsidR="0014624C" w:rsidRPr="00EE6ED7">
        <w:rPr>
          <w:sz w:val="26"/>
          <w:szCs w:val="26"/>
        </w:rPr>
        <w:t xml:space="preserve"> </w:t>
      </w:r>
      <w:r w:rsidRPr="00EE6ED7">
        <w:rPr>
          <w:sz w:val="26"/>
          <w:szCs w:val="26"/>
        </w:rPr>
        <w:t xml:space="preserve">The Yerushalmi (Pes </w:t>
      </w:r>
      <w:r w:rsidR="0060540C">
        <w:rPr>
          <w:sz w:val="26"/>
          <w:szCs w:val="26"/>
        </w:rPr>
        <w:t xml:space="preserve">10.4, </w:t>
      </w:r>
      <w:r w:rsidRPr="00EE6ED7">
        <w:rPr>
          <w:sz w:val="26"/>
          <w:szCs w:val="26"/>
        </w:rPr>
        <w:t xml:space="preserve">37d) explicitly equates the son described in the phrase </w:t>
      </w:r>
      <w:r w:rsidRPr="00EE6ED7">
        <w:rPr>
          <w:sz w:val="26"/>
          <w:szCs w:val="26"/>
          <w:rtl/>
        </w:rPr>
        <w:t>אם אין דעת בבן</w:t>
      </w:r>
      <w:r w:rsidRPr="00EE6ED7">
        <w:rPr>
          <w:sz w:val="26"/>
          <w:szCs w:val="26"/>
        </w:rPr>
        <w:t xml:space="preserve"> with the </w:t>
      </w:r>
      <w:r w:rsidRPr="00EE6ED7">
        <w:rPr>
          <w:sz w:val="26"/>
          <w:szCs w:val="26"/>
          <w:rtl/>
        </w:rPr>
        <w:t>בן שאינו יודע לשאל</w:t>
      </w:r>
      <w:r w:rsidRPr="00EE6ED7">
        <w:rPr>
          <w:sz w:val="26"/>
          <w:szCs w:val="26"/>
        </w:rPr>
        <w:t>.</w:t>
      </w:r>
      <w:r w:rsidRPr="00EE6ED7">
        <w:rPr>
          <w:sz w:val="26"/>
          <w:szCs w:val="26"/>
          <w:vertAlign w:val="superscript"/>
        </w:rPr>
        <w:footnoteReference w:id="100"/>
      </w:r>
      <w:r w:rsidR="0014624C" w:rsidRPr="00EE6ED7">
        <w:rPr>
          <w:sz w:val="26"/>
          <w:szCs w:val="26"/>
        </w:rPr>
        <w:t xml:space="preserve"> </w:t>
      </w:r>
      <w:r w:rsidRPr="00EE6ED7">
        <w:rPr>
          <w:sz w:val="26"/>
          <w:szCs w:val="26"/>
        </w:rPr>
        <w:t xml:space="preserve">In addition, the phrase </w:t>
      </w:r>
      <w:r w:rsidRPr="00EE6ED7">
        <w:rPr>
          <w:sz w:val="26"/>
          <w:szCs w:val="26"/>
          <w:rtl/>
        </w:rPr>
        <w:t>אין בו דעת להישאל</w:t>
      </w:r>
      <w:r w:rsidRPr="00EE6ED7">
        <w:rPr>
          <w:sz w:val="26"/>
          <w:szCs w:val="26"/>
        </w:rPr>
        <w:t xml:space="preserve"> “he does not have the understanding to be interrogated” is attested in m.Toh 3:6, etc.</w:t>
      </w:r>
      <w:r w:rsidR="0014624C" w:rsidRPr="00EE6ED7">
        <w:rPr>
          <w:sz w:val="26"/>
          <w:szCs w:val="26"/>
        </w:rPr>
        <w:t xml:space="preserve"> </w:t>
      </w:r>
      <w:r w:rsidR="0032446D">
        <w:rPr>
          <w:sz w:val="26"/>
          <w:szCs w:val="26"/>
        </w:rPr>
        <w:t xml:space="preserve">Even more intriguing is the phrase </w:t>
      </w:r>
      <w:r w:rsidR="0032446D">
        <w:rPr>
          <w:rFonts w:hint="cs"/>
          <w:sz w:val="26"/>
          <w:szCs w:val="26"/>
          <w:rtl/>
        </w:rPr>
        <w:t>אין/יש</w:t>
      </w:r>
      <w:r w:rsidR="003C19C3">
        <w:rPr>
          <w:rFonts w:hint="cs"/>
          <w:sz w:val="26"/>
          <w:szCs w:val="26"/>
          <w:rtl/>
        </w:rPr>
        <w:t xml:space="preserve"> </w:t>
      </w:r>
      <w:r w:rsidR="0032446D">
        <w:rPr>
          <w:rFonts w:hint="cs"/>
          <w:sz w:val="26"/>
          <w:szCs w:val="26"/>
          <w:rtl/>
        </w:rPr>
        <w:t>בו/בהן דעת לשאול</w:t>
      </w:r>
      <w:r w:rsidR="0032446D">
        <w:rPr>
          <w:sz w:val="26"/>
          <w:szCs w:val="26"/>
        </w:rPr>
        <w:t xml:space="preserve"> found </w:t>
      </w:r>
      <w:r w:rsidR="003C19C3">
        <w:rPr>
          <w:sz w:val="26"/>
          <w:szCs w:val="26"/>
        </w:rPr>
        <w:t>eight</w:t>
      </w:r>
      <w:r w:rsidR="0032446D">
        <w:rPr>
          <w:sz w:val="26"/>
          <w:szCs w:val="26"/>
        </w:rPr>
        <w:t xml:space="preserve"> times in </w:t>
      </w:r>
      <w:r w:rsidR="003C19C3">
        <w:rPr>
          <w:sz w:val="26"/>
          <w:szCs w:val="26"/>
        </w:rPr>
        <w:t xml:space="preserve">the first edition </w:t>
      </w:r>
      <w:r w:rsidR="0032446D">
        <w:rPr>
          <w:sz w:val="26"/>
          <w:szCs w:val="26"/>
        </w:rPr>
        <w:t xml:space="preserve">of the Tosefta </w:t>
      </w:r>
      <w:r w:rsidR="009D3D56">
        <w:rPr>
          <w:sz w:val="26"/>
          <w:szCs w:val="26"/>
        </w:rPr>
        <w:t>(</w:t>
      </w:r>
      <w:smartTag w:uri="urn:schemas-microsoft-com:office:smarttags" w:element="City">
        <w:smartTag w:uri="urn:schemas-microsoft-com:office:smarttags" w:element="place">
          <w:r w:rsidR="009D3D56">
            <w:rPr>
              <w:sz w:val="26"/>
              <w:szCs w:val="26"/>
            </w:rPr>
            <w:t>Venice</w:t>
          </w:r>
        </w:smartTag>
      </w:smartTag>
      <w:r w:rsidR="009D3D56">
        <w:rPr>
          <w:sz w:val="26"/>
          <w:szCs w:val="26"/>
        </w:rPr>
        <w:t xml:space="preserve">, 1521) </w:t>
      </w:r>
      <w:r w:rsidR="0032446D">
        <w:rPr>
          <w:sz w:val="26"/>
          <w:szCs w:val="26"/>
        </w:rPr>
        <w:t xml:space="preserve">and </w:t>
      </w:r>
      <w:r w:rsidR="00EF4013">
        <w:rPr>
          <w:sz w:val="26"/>
          <w:szCs w:val="26"/>
        </w:rPr>
        <w:t xml:space="preserve">three </w:t>
      </w:r>
      <w:r w:rsidR="0031593A">
        <w:rPr>
          <w:sz w:val="26"/>
          <w:szCs w:val="26"/>
        </w:rPr>
        <w:t xml:space="preserve">times in BT </w:t>
      </w:r>
      <w:r w:rsidR="00EF4013">
        <w:rPr>
          <w:sz w:val="26"/>
          <w:szCs w:val="26"/>
        </w:rPr>
        <w:t>textual witnesses,</w:t>
      </w:r>
      <w:r w:rsidR="0031593A">
        <w:rPr>
          <w:sz w:val="26"/>
          <w:szCs w:val="26"/>
        </w:rPr>
        <w:t xml:space="preserve"> including a Geniza fragment.</w:t>
      </w:r>
      <w:r w:rsidR="00EF4013" w:rsidRPr="00EE6ED7">
        <w:rPr>
          <w:sz w:val="26"/>
          <w:szCs w:val="26"/>
          <w:vertAlign w:val="superscript"/>
        </w:rPr>
        <w:footnoteReference w:id="101"/>
      </w:r>
      <w:r w:rsidR="0031593A">
        <w:rPr>
          <w:sz w:val="26"/>
          <w:szCs w:val="26"/>
        </w:rPr>
        <w:t xml:space="preserve"> </w:t>
      </w:r>
      <w:r w:rsidRPr="00EE6ED7">
        <w:rPr>
          <w:sz w:val="26"/>
          <w:szCs w:val="26"/>
        </w:rPr>
        <w:t xml:space="preserve">Ellipsis following </w:t>
      </w:r>
      <w:r w:rsidRPr="00EE6ED7">
        <w:rPr>
          <w:sz w:val="26"/>
          <w:szCs w:val="26"/>
          <w:rtl/>
        </w:rPr>
        <w:t>אם אין דעת בבן</w:t>
      </w:r>
      <w:r w:rsidRPr="00EE6ED7">
        <w:rPr>
          <w:sz w:val="26"/>
          <w:szCs w:val="26"/>
        </w:rPr>
        <w:t xml:space="preserve"> would be comparable to the ellipsis following </w:t>
      </w:r>
      <w:r w:rsidRPr="00EE6ED7">
        <w:rPr>
          <w:sz w:val="26"/>
          <w:szCs w:val="26"/>
          <w:rtl/>
        </w:rPr>
        <w:t>אם אינו ידוע</w:t>
      </w:r>
      <w:r w:rsidRPr="00EE6ED7">
        <w:rPr>
          <w:sz w:val="26"/>
          <w:szCs w:val="26"/>
        </w:rPr>
        <w:t xml:space="preserve"> “if it is not known (which came first)” in </w:t>
      </w:r>
      <w:r w:rsidR="005F4C58">
        <w:rPr>
          <w:sz w:val="26"/>
          <w:szCs w:val="26"/>
        </w:rPr>
        <w:t>m.</w:t>
      </w:r>
      <w:r w:rsidRPr="00EE6ED7">
        <w:rPr>
          <w:sz w:val="26"/>
          <w:szCs w:val="26"/>
        </w:rPr>
        <w:t>Gi</w:t>
      </w:r>
      <w:r w:rsidR="005F4C58" w:rsidRPr="005F4C58">
        <w:rPr>
          <w:rFonts w:ascii="CalSemitic" w:hAnsi="CalSemitic"/>
          <w:sz w:val="28"/>
          <w:szCs w:val="26"/>
        </w:rPr>
        <w:t>T</w:t>
      </w:r>
      <w:r w:rsidRPr="00EE6ED7">
        <w:rPr>
          <w:sz w:val="26"/>
          <w:szCs w:val="26"/>
        </w:rPr>
        <w:t xml:space="preserve"> 7:9.</w:t>
      </w:r>
      <w:r w:rsidRPr="00EE6ED7">
        <w:rPr>
          <w:sz w:val="26"/>
          <w:szCs w:val="26"/>
          <w:vertAlign w:val="superscript"/>
        </w:rPr>
        <w:footnoteReference w:id="102"/>
      </w:r>
      <w:r w:rsidR="0014624C" w:rsidRPr="00EE6ED7">
        <w:rPr>
          <w:sz w:val="26"/>
          <w:szCs w:val="26"/>
        </w:rPr>
        <w:t xml:space="preserve"> </w:t>
      </w:r>
      <w:r w:rsidRPr="00EE6ED7">
        <w:rPr>
          <w:sz w:val="26"/>
          <w:szCs w:val="26"/>
        </w:rPr>
        <w:t xml:space="preserve">And once an infinitive is supplied after </w:t>
      </w:r>
      <w:r w:rsidRPr="00EE6ED7">
        <w:rPr>
          <w:sz w:val="26"/>
          <w:szCs w:val="26"/>
          <w:rtl/>
        </w:rPr>
        <w:t>אין דעת בבן</w:t>
      </w:r>
      <w:r w:rsidRPr="00EE6ED7">
        <w:rPr>
          <w:sz w:val="26"/>
          <w:szCs w:val="26"/>
        </w:rPr>
        <w:t>, it is quite natural t</w:t>
      </w:r>
      <w:r w:rsidR="003D39C1">
        <w:rPr>
          <w:sz w:val="26"/>
          <w:szCs w:val="26"/>
        </w:rPr>
        <w:t>o supply it a second time after</w:t>
      </w:r>
      <w:r w:rsidRPr="00EE6ED7">
        <w:rPr>
          <w:sz w:val="26"/>
          <w:szCs w:val="26"/>
          <w:rtl/>
        </w:rPr>
        <w:t>אביו מלמדו</w:t>
      </w:r>
      <w:r w:rsidRPr="00EE6ED7">
        <w:rPr>
          <w:sz w:val="26"/>
          <w:szCs w:val="26"/>
        </w:rPr>
        <w:t xml:space="preserve">; cf. </w:t>
      </w:r>
      <w:r w:rsidR="005F4C58">
        <w:rPr>
          <w:sz w:val="26"/>
          <w:szCs w:val="26"/>
        </w:rPr>
        <w:t>m.</w:t>
      </w:r>
      <w:r w:rsidRPr="00EE6ED7">
        <w:rPr>
          <w:sz w:val="26"/>
          <w:szCs w:val="26"/>
        </w:rPr>
        <w:t>Suk 4:4</w:t>
      </w:r>
      <w:r w:rsidRPr="00EE6ED7">
        <w:rPr>
          <w:sz w:val="26"/>
          <w:szCs w:val="26"/>
          <w:rtl/>
        </w:rPr>
        <w:t>ומלמדים אותם לומר כל מי שהיגיע לולבי לידו הרי הוא לו מתנה</w:t>
      </w:r>
      <w:r w:rsidRPr="00EE6ED7">
        <w:rPr>
          <w:sz w:val="26"/>
          <w:szCs w:val="26"/>
        </w:rPr>
        <w:t xml:space="preserve">, </w:t>
      </w:r>
      <w:r w:rsidR="005F4C58">
        <w:rPr>
          <w:sz w:val="26"/>
          <w:szCs w:val="26"/>
        </w:rPr>
        <w:t>m.</w:t>
      </w:r>
      <w:r w:rsidRPr="00EE6ED7">
        <w:rPr>
          <w:sz w:val="26"/>
          <w:szCs w:val="26"/>
        </w:rPr>
        <w:t xml:space="preserve">Qid 3:6 </w:t>
      </w:r>
      <w:r w:rsidRPr="00EE6ED7">
        <w:rPr>
          <w:sz w:val="26"/>
          <w:szCs w:val="26"/>
          <w:rtl/>
        </w:rPr>
        <w:t>מלמדים את האב שיאמר איני רוצה</w:t>
      </w:r>
      <w:r w:rsidRPr="00EE6ED7">
        <w:rPr>
          <w:sz w:val="26"/>
          <w:szCs w:val="26"/>
        </w:rPr>
        <w:t xml:space="preserve">, and </w:t>
      </w:r>
      <w:r w:rsidR="005F4C58">
        <w:rPr>
          <w:sz w:val="26"/>
          <w:szCs w:val="26"/>
        </w:rPr>
        <w:t>m.</w:t>
      </w:r>
      <w:r w:rsidRPr="00EE6ED7">
        <w:rPr>
          <w:sz w:val="26"/>
          <w:szCs w:val="26"/>
        </w:rPr>
        <w:t xml:space="preserve">Yeb 13:7,11 </w:t>
      </w:r>
      <w:r w:rsidRPr="00EE6ED7">
        <w:rPr>
          <w:sz w:val="26"/>
          <w:szCs w:val="26"/>
          <w:rtl/>
        </w:rPr>
        <w:t>מלמדין את הקטנה שתמאן בו</w:t>
      </w:r>
      <w:r w:rsidRPr="00EE6ED7">
        <w:rPr>
          <w:sz w:val="26"/>
          <w:szCs w:val="26"/>
        </w:rPr>
        <w:t>.</w:t>
      </w:r>
      <w:r w:rsidR="0014624C" w:rsidRPr="00EE6ED7">
        <w:rPr>
          <w:sz w:val="26"/>
          <w:szCs w:val="26"/>
        </w:rPr>
        <w:t xml:space="preserve"> </w:t>
      </w:r>
      <w:r w:rsidRPr="00EE6ED7">
        <w:rPr>
          <w:sz w:val="26"/>
          <w:szCs w:val="26"/>
        </w:rPr>
        <w:t>In short, all of the available evidence indicates that interpretation C is late, in addition to being philologically problematic.</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VI. MIXED INTERPRETATIONS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Given the eclectic character of traditional exegesis and the subtlety of the issues involved, it is hardly surprising that some translators and commentators seem to straddle two of the major interpretations that we have discussed.</w:t>
      </w:r>
      <w:r w:rsidR="0014624C" w:rsidRPr="00EE6ED7">
        <w:rPr>
          <w:sz w:val="26"/>
          <w:szCs w:val="26"/>
        </w:rPr>
        <w:t xml:space="preserve"> </w:t>
      </w:r>
      <w:r w:rsidRPr="00EE6ED7">
        <w:rPr>
          <w:sz w:val="26"/>
          <w:szCs w:val="26"/>
        </w:rPr>
        <w:t>For example, the translation of Abraham Pereira Mendes (1862) appears to combine features of interpretations A and B:</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E008D" w:rsidRPr="00EE6ED7" w:rsidRDefault="00105DEE" w:rsidP="001E00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Wherefore is this night distinguished from all other nights, that on all other nights</w:t>
      </w:r>
      <w:r w:rsidR="000A4652">
        <w:rPr>
          <w:sz w:val="26"/>
          <w:szCs w:val="26"/>
        </w:rPr>
        <w:t xml:space="preserve">... </w:t>
      </w:r>
      <w:r w:rsidRPr="00EE6ED7">
        <w:rPr>
          <w:sz w:val="26"/>
          <w:szCs w:val="26"/>
        </w:rPr>
        <w:t>while on this night...; that on all other nights</w:t>
      </w:r>
      <w:r w:rsidR="000A4652">
        <w:rPr>
          <w:sz w:val="26"/>
          <w:szCs w:val="26"/>
        </w:rPr>
        <w:t xml:space="preserve">... </w:t>
      </w:r>
      <w:r w:rsidRPr="00EE6ED7">
        <w:rPr>
          <w:sz w:val="26"/>
          <w:szCs w:val="26"/>
        </w:rPr>
        <w:t>while on this night...; that on all other nights</w:t>
      </w:r>
      <w:r w:rsidR="000A4652">
        <w:rPr>
          <w:sz w:val="26"/>
          <w:szCs w:val="26"/>
        </w:rPr>
        <w:t xml:space="preserve">... </w:t>
      </w:r>
      <w:r w:rsidRPr="00EE6ED7">
        <w:rPr>
          <w:sz w:val="26"/>
          <w:szCs w:val="26"/>
        </w:rPr>
        <w:t>while on this night...; that on all the other nights</w:t>
      </w:r>
      <w:r w:rsidR="000A4652">
        <w:rPr>
          <w:sz w:val="26"/>
          <w:szCs w:val="26"/>
        </w:rPr>
        <w:t xml:space="preserve">... </w:t>
      </w:r>
      <w:r w:rsidRPr="00EE6ED7">
        <w:rPr>
          <w:sz w:val="26"/>
          <w:szCs w:val="26"/>
        </w:rPr>
        <w:t>while in this night...?</w:t>
      </w:r>
      <w:r w:rsidRPr="00EE6ED7">
        <w:rPr>
          <w:sz w:val="26"/>
          <w:szCs w:val="26"/>
          <w:vertAlign w:val="superscript"/>
        </w:rPr>
        <w:footnoteReference w:id="103"/>
      </w:r>
      <w:r w:rsidR="001E008D" w:rsidRPr="001E008D">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use of a single question mark placed at the very end, </w:t>
      </w:r>
      <w:r w:rsidRPr="00124276">
        <w:rPr>
          <w:i/>
          <w:iCs/>
          <w:sz w:val="26"/>
          <w:szCs w:val="26"/>
        </w:rPr>
        <w:t>after</w:t>
      </w:r>
      <w:r w:rsidRPr="00EE6ED7">
        <w:rPr>
          <w:sz w:val="26"/>
          <w:szCs w:val="26"/>
        </w:rPr>
        <w:t xml:space="preserve"> all of the </w:t>
      </w:r>
      <w:r w:rsidRPr="00EE6ED7">
        <w:rPr>
          <w:sz w:val="26"/>
          <w:szCs w:val="26"/>
          <w:rtl/>
        </w:rPr>
        <w:t>ש</w:t>
      </w:r>
      <w:r w:rsidRPr="00EE6ED7">
        <w:rPr>
          <w:sz w:val="26"/>
          <w:szCs w:val="26"/>
        </w:rPr>
        <w:t xml:space="preserve">-clauses, is a sign of interpretation A, as is the translation of </w:t>
      </w:r>
      <w:r w:rsidRPr="00EE6ED7">
        <w:rPr>
          <w:sz w:val="26"/>
          <w:szCs w:val="26"/>
          <w:rtl/>
        </w:rPr>
        <w:t>ש-</w:t>
      </w:r>
      <w:r w:rsidRPr="00EE6ED7">
        <w:rPr>
          <w:sz w:val="26"/>
          <w:szCs w:val="26"/>
        </w:rPr>
        <w:t xml:space="preserve"> with “that.”</w:t>
      </w:r>
      <w:r w:rsidRPr="00EE6ED7">
        <w:rPr>
          <w:sz w:val="26"/>
          <w:szCs w:val="26"/>
          <w:vertAlign w:val="superscript"/>
        </w:rPr>
        <w:footnoteReference w:id="104"/>
      </w:r>
      <w:r w:rsidR="0014624C" w:rsidRPr="00EE6ED7">
        <w:rPr>
          <w:sz w:val="26"/>
          <w:szCs w:val="26"/>
        </w:rPr>
        <w:t xml:space="preserve"> </w:t>
      </w:r>
      <w:r w:rsidRPr="00EE6ED7">
        <w:rPr>
          <w:sz w:val="26"/>
          <w:szCs w:val="26"/>
        </w:rPr>
        <w:t xml:space="preserve">On the other hand, the rendering of </w:t>
      </w:r>
      <w:r w:rsidRPr="00EE6ED7">
        <w:rPr>
          <w:sz w:val="26"/>
          <w:szCs w:val="26"/>
          <w:rtl/>
        </w:rPr>
        <w:t>מה</w:t>
      </w:r>
      <w:r w:rsidRPr="00EE6ED7">
        <w:rPr>
          <w:sz w:val="26"/>
          <w:szCs w:val="26"/>
        </w:rPr>
        <w:t xml:space="preserve"> with “wherefore” (= “why”) instead of “what” belongs to interpretation B.</w:t>
      </w:r>
    </w:p>
    <w:p w:rsidR="00105DEE" w:rsidRPr="00EE6ED7" w:rsidRDefault="00105DEE" w:rsidP="003D39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Amsterdam </w:t>
      </w:r>
      <w:r w:rsidR="00633BE8" w:rsidRPr="00EE6ED7">
        <w:rPr>
          <w:sz w:val="26"/>
          <w:szCs w:val="26"/>
        </w:rPr>
        <w:t xml:space="preserve">Haggadah </w:t>
      </w:r>
      <w:r w:rsidRPr="00EE6ED7">
        <w:rPr>
          <w:sz w:val="26"/>
          <w:szCs w:val="26"/>
        </w:rPr>
        <w:t>of 1783 is similar:</w:t>
      </w:r>
      <w:r w:rsidR="0014624C" w:rsidRPr="00EE6ED7">
        <w:rPr>
          <w:sz w:val="26"/>
          <w:szCs w:val="26"/>
        </w:rPr>
        <w:t xml:space="preserve"> </w:t>
      </w:r>
      <w:r w:rsidRPr="00EE6ED7">
        <w:rPr>
          <w:sz w:val="26"/>
          <w:szCs w:val="26"/>
          <w:rtl/>
        </w:rPr>
        <w:t xml:space="preserve">דער פֿראהגיר פֿראגט. איך װיל אייני קשיא פֿראגן. </w:t>
      </w:r>
      <w:r w:rsidR="00C43493">
        <w:rPr>
          <w:rFonts w:hint="cs"/>
          <w:sz w:val="26"/>
          <w:szCs w:val="26"/>
          <w:rtl/>
        </w:rPr>
        <w:t xml:space="preserve">מה </w:t>
      </w:r>
      <w:r w:rsidR="009D3D56">
        <w:rPr>
          <w:rFonts w:hint="cs"/>
          <w:sz w:val="26"/>
          <w:szCs w:val="26"/>
          <w:rtl/>
        </w:rPr>
        <w:t>-</w:t>
      </w:r>
      <w:r w:rsidR="00C43493">
        <w:rPr>
          <w:rFonts w:hint="cs"/>
          <w:sz w:val="26"/>
          <w:szCs w:val="26"/>
          <w:rtl/>
        </w:rPr>
        <w:t xml:space="preserve"> </w:t>
      </w:r>
      <w:r w:rsidRPr="00EE6ED7">
        <w:rPr>
          <w:sz w:val="26"/>
          <w:szCs w:val="26"/>
          <w:rtl/>
        </w:rPr>
        <w:t xml:space="preserve">װארום איזט פֿר ענדרט דיזה נאכֿט. מין װעדר אודיר מעהרר. אלש אללי נעכֿט. פֿון עש גאנצי יאהר. </w:t>
      </w:r>
      <w:r w:rsidR="006D5DE5">
        <w:rPr>
          <w:rFonts w:hint="cs"/>
          <w:sz w:val="26"/>
          <w:szCs w:val="26"/>
          <w:rtl/>
        </w:rPr>
        <w:t xml:space="preserve">שבכל </w:t>
      </w:r>
      <w:r w:rsidR="009D3D56">
        <w:rPr>
          <w:rFonts w:hint="cs"/>
          <w:sz w:val="26"/>
          <w:szCs w:val="26"/>
          <w:rtl/>
        </w:rPr>
        <w:t>-</w:t>
      </w:r>
      <w:r w:rsidR="006D5DE5">
        <w:rPr>
          <w:rFonts w:hint="cs"/>
          <w:sz w:val="26"/>
          <w:szCs w:val="26"/>
          <w:rtl/>
        </w:rPr>
        <w:t xml:space="preserve"> </w:t>
      </w:r>
      <w:r w:rsidRPr="00EE6ED7">
        <w:rPr>
          <w:sz w:val="26"/>
          <w:szCs w:val="26"/>
          <w:rtl/>
        </w:rPr>
        <w:t>אללי נאכֿט פֿון עש גאנצי יאהר</w:t>
      </w:r>
      <w:r w:rsidR="003D7771">
        <w:rPr>
          <w:rFonts w:hint="cs"/>
          <w:sz w:val="26"/>
          <w:szCs w:val="26"/>
          <w:rtl/>
        </w:rPr>
        <w:t>...</w:t>
      </w:r>
      <w:r w:rsidR="003D7771" w:rsidRPr="00EE6ED7">
        <w:rPr>
          <w:sz w:val="26"/>
          <w:szCs w:val="26"/>
          <w:rtl/>
        </w:rPr>
        <w:t xml:space="preserve"> </w:t>
      </w:r>
      <w:r w:rsidRPr="00EE6ED7">
        <w:rPr>
          <w:sz w:val="26"/>
          <w:szCs w:val="26"/>
          <w:rtl/>
        </w:rPr>
        <w:t>דיזה נאכֿ</w:t>
      </w:r>
      <w:r w:rsidR="00BC1FC9">
        <w:rPr>
          <w:rFonts w:hint="cs"/>
          <w:sz w:val="26"/>
          <w:szCs w:val="26"/>
          <w:rtl/>
        </w:rPr>
        <w:t>ט...</w:t>
      </w:r>
      <w:bookmarkStart w:id="12" w:name="_Ref200359199"/>
      <w:r w:rsidR="003D7771" w:rsidRPr="00EE6ED7">
        <w:rPr>
          <w:sz w:val="26"/>
          <w:szCs w:val="26"/>
          <w:vertAlign w:val="superscript"/>
          <w:rtl/>
        </w:rPr>
        <w:footnoteReference w:id="105"/>
      </w:r>
      <w:bookmarkEnd w:id="12"/>
      <w:r w:rsidR="00BC1FC9">
        <w:rPr>
          <w:sz w:val="26"/>
          <w:szCs w:val="26"/>
        </w:rPr>
        <w:t xml:space="preserve"> </w:t>
      </w:r>
      <w:r w:rsidRPr="00EE6ED7">
        <w:rPr>
          <w:sz w:val="26"/>
          <w:szCs w:val="26"/>
        </w:rPr>
        <w:t>“The questioner says (lit., asks): I want to ask a question.</w:t>
      </w:r>
      <w:r w:rsidR="0014624C" w:rsidRPr="00EE6ED7">
        <w:rPr>
          <w:sz w:val="26"/>
          <w:szCs w:val="26"/>
        </w:rPr>
        <w:t xml:space="preserve"> </w:t>
      </w:r>
      <w:r w:rsidRPr="00EE6ED7">
        <w:rPr>
          <w:sz w:val="26"/>
          <w:szCs w:val="26"/>
        </w:rPr>
        <w:t>Why is this night changed (by having) less than or more</w:t>
      </w:r>
      <w:bookmarkStart w:id="13" w:name="_Ref200359210"/>
      <w:r w:rsidRPr="00EE6ED7">
        <w:rPr>
          <w:sz w:val="26"/>
          <w:szCs w:val="26"/>
          <w:vertAlign w:val="superscript"/>
        </w:rPr>
        <w:footnoteReference w:id="106"/>
      </w:r>
      <w:bookmarkEnd w:id="13"/>
      <w:r w:rsidRPr="00EE6ED7">
        <w:rPr>
          <w:sz w:val="26"/>
          <w:szCs w:val="26"/>
        </w:rPr>
        <w:t xml:space="preserve"> than all nights of the whole year.</w:t>
      </w:r>
      <w:r w:rsidR="0014624C" w:rsidRPr="00EE6ED7">
        <w:rPr>
          <w:sz w:val="26"/>
          <w:szCs w:val="26"/>
        </w:rPr>
        <w:t xml:space="preserve"> </w:t>
      </w:r>
      <w:r w:rsidRPr="00EE6ED7">
        <w:rPr>
          <w:sz w:val="26"/>
          <w:szCs w:val="26"/>
        </w:rPr>
        <w:t>All nights of the whole year</w:t>
      </w:r>
      <w:r w:rsidR="000A4652">
        <w:rPr>
          <w:sz w:val="26"/>
          <w:szCs w:val="26"/>
        </w:rPr>
        <w:t xml:space="preserve">... </w:t>
      </w:r>
      <w:r w:rsidRPr="00EE6ED7">
        <w:rPr>
          <w:sz w:val="26"/>
          <w:szCs w:val="26"/>
        </w:rPr>
        <w:t>this night</w:t>
      </w:r>
      <w:r w:rsidR="000A4652">
        <w:rPr>
          <w:sz w:val="26"/>
          <w:szCs w:val="26"/>
        </w:rPr>
        <w:t>...</w:t>
      </w:r>
      <w:r w:rsidRPr="00EE6ED7">
        <w:rPr>
          <w:sz w:val="26"/>
          <w:szCs w:val="26"/>
        </w:rPr>
        <w:t>”</w:t>
      </w:r>
      <w:r w:rsidR="0014624C" w:rsidRPr="00EE6ED7">
        <w:rPr>
          <w:sz w:val="26"/>
          <w:szCs w:val="26"/>
        </w:rPr>
        <w:t xml:space="preserve"> </w:t>
      </w:r>
      <w:r w:rsidRPr="00EE6ED7">
        <w:rPr>
          <w:sz w:val="26"/>
          <w:szCs w:val="26"/>
        </w:rPr>
        <w:t>This translation exhibits several features of interpretation B:</w:t>
      </w:r>
      <w:r w:rsidR="0014624C" w:rsidRPr="00EE6ED7">
        <w:rPr>
          <w:sz w:val="26"/>
          <w:szCs w:val="26"/>
        </w:rPr>
        <w:t xml:space="preserve"> </w:t>
      </w:r>
      <w:r w:rsidRPr="00EE6ED7">
        <w:rPr>
          <w:sz w:val="26"/>
          <w:szCs w:val="26"/>
          <w:rtl/>
        </w:rPr>
        <w:t>מה</w:t>
      </w:r>
      <w:r w:rsidRPr="00EE6ED7">
        <w:rPr>
          <w:sz w:val="26"/>
          <w:szCs w:val="26"/>
        </w:rPr>
        <w:t xml:space="preserve"> is rendered </w:t>
      </w:r>
      <w:r w:rsidRPr="00EE6ED7">
        <w:rPr>
          <w:sz w:val="26"/>
          <w:szCs w:val="26"/>
          <w:rtl/>
        </w:rPr>
        <w:t>װארום</w:t>
      </w:r>
      <w:r w:rsidRPr="00EE6ED7">
        <w:rPr>
          <w:sz w:val="26"/>
          <w:szCs w:val="26"/>
        </w:rPr>
        <w:t xml:space="preserve"> “why” and </w:t>
      </w:r>
      <w:r w:rsidRPr="00EE6ED7">
        <w:rPr>
          <w:sz w:val="26"/>
          <w:szCs w:val="26"/>
          <w:rtl/>
        </w:rPr>
        <w:t>ש-</w:t>
      </w:r>
      <w:r w:rsidRPr="00EE6ED7">
        <w:rPr>
          <w:sz w:val="26"/>
          <w:szCs w:val="26"/>
        </w:rPr>
        <w:t xml:space="preserve"> is left untranslated.</w:t>
      </w:r>
      <w:r w:rsidR="0014624C" w:rsidRPr="00EE6ED7">
        <w:rPr>
          <w:sz w:val="26"/>
          <w:szCs w:val="26"/>
        </w:rPr>
        <w:t xml:space="preserve"> </w:t>
      </w:r>
      <w:r w:rsidRPr="00EE6ED7">
        <w:rPr>
          <w:sz w:val="26"/>
          <w:szCs w:val="26"/>
        </w:rPr>
        <w:t>On the other hand, the introductory sentence speaks of a single question, as in interpretation A; contrast modern introductions like</w:t>
      </w:r>
      <w:r w:rsidRPr="00EE6ED7">
        <w:rPr>
          <w:sz w:val="26"/>
          <w:szCs w:val="26"/>
          <w:rtl/>
        </w:rPr>
        <w:t>איך װיל דיך פֿיר קשיות פֿרעגן</w:t>
      </w:r>
      <w:r w:rsidRPr="00EE6ED7">
        <w:rPr>
          <w:sz w:val="26"/>
          <w:szCs w:val="26"/>
        </w:rPr>
        <w:t xml:space="preserve"> “I want to ask you four questions” and</w:t>
      </w:r>
      <w:r w:rsidRPr="00EE6ED7">
        <w:rPr>
          <w:sz w:val="26"/>
          <w:szCs w:val="26"/>
          <w:rtl/>
        </w:rPr>
        <w:t>איך װיל דיר פֿרעגן די פֿיר קשיות</w:t>
      </w:r>
      <w:r w:rsidRPr="00EE6ED7">
        <w:rPr>
          <w:sz w:val="26"/>
          <w:szCs w:val="26"/>
        </w:rPr>
        <w:t xml:space="preserve"> “I want to ask you the four questions.”</w:t>
      </w:r>
      <w:r w:rsidRPr="00EE6ED7">
        <w:rPr>
          <w:sz w:val="26"/>
          <w:szCs w:val="26"/>
          <w:vertAlign w:val="superscript"/>
        </w:rPr>
        <w:footnoteReference w:id="107"/>
      </w:r>
      <w:r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discussion of A. M. Friedman seems to straddle the same two interpretations: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 </w:t>
      </w:r>
    </w:p>
    <w:p w:rsidR="00105DEE" w:rsidRPr="00EE6ED7" w:rsidRDefault="00105DEE" w:rsidP="00BC1F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rFonts w:hint="cs"/>
          <w:sz w:val="26"/>
          <w:szCs w:val="26"/>
        </w:rPr>
      </w:pPr>
      <w:r w:rsidRPr="00EE6ED7">
        <w:rPr>
          <w:sz w:val="26"/>
          <w:szCs w:val="26"/>
          <w:rtl/>
        </w:rPr>
        <w:t>רגילים לאמר שיש כאן ד' שאלות. אך כשנדקדק נראה שאיננה אלא שאלה אחת המסתעפת לד' סעיפים</w:t>
      </w:r>
      <w:r w:rsidR="00901BA2">
        <w:rPr>
          <w:rFonts w:hint="cs"/>
          <w:sz w:val="26"/>
          <w:szCs w:val="26"/>
          <w:rtl/>
        </w:rPr>
        <w:t>.</w:t>
      </w:r>
      <w:r w:rsidRPr="00EE6ED7">
        <w:rPr>
          <w:sz w:val="26"/>
          <w:szCs w:val="26"/>
          <w:rtl/>
        </w:rPr>
        <w:t xml:space="preserve"> ז. א. השאלה היא "מה נשתנה הלילה הזה מכל הלילות" ועל זה בא פירוש איך נשתנה, דהיינו, שבכל הלילות אנו אוכלין חמץ ומצה וכו'. ואם כן הבן מסביר ומטעים את שאלתו לאביו</w:t>
      </w:r>
      <w:r w:rsidR="000A4652">
        <w:rPr>
          <w:sz w:val="26"/>
          <w:szCs w:val="26"/>
          <w:rtl/>
        </w:rPr>
        <w:t>...</w:t>
      </w:r>
      <w:r w:rsidRPr="00EE6ED7">
        <w:rPr>
          <w:sz w:val="26"/>
          <w:szCs w:val="26"/>
          <w:vertAlign w:val="superscript"/>
        </w:rPr>
        <w:footnoteReference w:id="108"/>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claim that the entire </w:t>
      </w:r>
      <w:r w:rsidRPr="00EE6ED7">
        <w:rPr>
          <w:sz w:val="26"/>
          <w:szCs w:val="26"/>
          <w:rtl/>
        </w:rPr>
        <w:t>מה נשתנה</w:t>
      </w:r>
      <w:r w:rsidRPr="00EE6ED7">
        <w:rPr>
          <w:sz w:val="26"/>
          <w:szCs w:val="26"/>
        </w:rPr>
        <w:t xml:space="preserve"> constitutes a single question is characteristic of interpretation A,</w:t>
      </w:r>
      <w:r w:rsidRPr="00EE6ED7">
        <w:rPr>
          <w:sz w:val="26"/>
          <w:szCs w:val="26"/>
          <w:vertAlign w:val="superscript"/>
        </w:rPr>
        <w:footnoteReference w:id="109"/>
      </w:r>
      <w:r w:rsidRPr="00EE6ED7">
        <w:rPr>
          <w:sz w:val="26"/>
          <w:szCs w:val="26"/>
        </w:rPr>
        <w:t xml:space="preserve"> while the assertion that the </w:t>
      </w:r>
      <w:r w:rsidRPr="00EE6ED7">
        <w:rPr>
          <w:sz w:val="26"/>
          <w:szCs w:val="26"/>
          <w:rtl/>
        </w:rPr>
        <w:t>ש</w:t>
      </w:r>
      <w:r w:rsidRPr="00EE6ED7">
        <w:rPr>
          <w:sz w:val="26"/>
          <w:szCs w:val="26"/>
        </w:rPr>
        <w:t xml:space="preserve">-clauses spell out the referent of </w:t>
      </w:r>
      <w:r w:rsidRPr="00EE6ED7">
        <w:rPr>
          <w:sz w:val="26"/>
          <w:szCs w:val="26"/>
          <w:rtl/>
        </w:rPr>
        <w:t>נשתנה</w:t>
      </w:r>
      <w:r w:rsidRPr="00EE6ED7">
        <w:rPr>
          <w:sz w:val="26"/>
          <w:szCs w:val="26"/>
        </w:rPr>
        <w:t xml:space="preserve"> and explain the question belongs to interpretation B.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A different mixture can be seen in the translation of David and Tamar de Sola Pool:</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How different is this night from all other nights!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on this night why...?</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r w:rsidRPr="00EE6ED7">
        <w:rPr>
          <w:sz w:val="26"/>
          <w:szCs w:val="26"/>
          <w:vertAlign w:val="superscript"/>
        </w:rPr>
        <w:footnoteReference w:id="110"/>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432"/>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This translation and the slightly later translation of Tibor H. Stern</w:t>
      </w:r>
      <w:r w:rsidRPr="00EE6ED7">
        <w:rPr>
          <w:sz w:val="26"/>
          <w:szCs w:val="26"/>
          <w:vertAlign w:val="superscript"/>
        </w:rPr>
        <w:footnoteReference w:id="111"/>
      </w:r>
      <w:r w:rsidRPr="00EE6ED7">
        <w:rPr>
          <w:sz w:val="26"/>
          <w:szCs w:val="26"/>
        </w:rPr>
        <w:t xml:space="preserve"> seem to be a deliberate blend of interpretations B and C.</w:t>
      </w:r>
      <w:r w:rsidRPr="00EE6ED7">
        <w:rPr>
          <w:sz w:val="26"/>
          <w:szCs w:val="26"/>
          <w:vertAlign w:val="superscript"/>
        </w:rPr>
        <w:footnoteReference w:id="112"/>
      </w:r>
    </w:p>
    <w:p w:rsidR="00105DEE" w:rsidRPr="00EE6ED7" w:rsidRDefault="00105DEE" w:rsidP="003D39C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Another interpretation that severs the </w:t>
      </w:r>
      <w:r w:rsidRPr="00EE6ED7">
        <w:rPr>
          <w:sz w:val="26"/>
          <w:szCs w:val="26"/>
          <w:rtl/>
        </w:rPr>
        <w:t>ש</w:t>
      </w:r>
      <w:r w:rsidRPr="00EE6ED7">
        <w:rPr>
          <w:sz w:val="26"/>
          <w:szCs w:val="26"/>
        </w:rPr>
        <w:t xml:space="preserve">-clauses from the </w:t>
      </w:r>
      <w:r w:rsidRPr="00EE6ED7">
        <w:rPr>
          <w:sz w:val="26"/>
          <w:szCs w:val="26"/>
          <w:rtl/>
        </w:rPr>
        <w:t>מה</w:t>
      </w:r>
      <w:r w:rsidRPr="00EE6ED7">
        <w:rPr>
          <w:sz w:val="26"/>
          <w:szCs w:val="26"/>
        </w:rPr>
        <w:t>-clause is recorded by R. Samuel Ehrenfeld (</w:t>
      </w:r>
      <w:r w:rsidR="00F51CCF">
        <w:rPr>
          <w:rFonts w:ascii="CalSemitic" w:hAnsi="CalSemitic"/>
          <w:i/>
          <w:sz w:val="26"/>
          <w:szCs w:val="26"/>
        </w:rPr>
        <w:t>-</w:t>
      </w:r>
      <w:r w:rsidRPr="00EE6ED7">
        <w:rPr>
          <w:i/>
          <w:sz w:val="26"/>
          <w:szCs w:val="26"/>
        </w:rPr>
        <w:t>atan Sofer</w:t>
      </w:r>
      <w:r w:rsidRPr="00EE6ED7">
        <w:rPr>
          <w:sz w:val="26"/>
          <w:szCs w:val="26"/>
        </w:rPr>
        <w:t>):</w:t>
      </w:r>
      <w:r w:rsidRPr="00EE6ED7">
        <w:rPr>
          <w:sz w:val="26"/>
          <w:szCs w:val="26"/>
          <w:rtl/>
        </w:rPr>
        <w:t>וראיתי להרבה מהמפרשים</w:t>
      </w:r>
      <w:r w:rsidR="000A4652">
        <w:rPr>
          <w:sz w:val="26"/>
          <w:szCs w:val="26"/>
          <w:rtl/>
        </w:rPr>
        <w:t xml:space="preserve">... </w:t>
      </w:r>
      <w:r w:rsidRPr="00EE6ED7">
        <w:rPr>
          <w:sz w:val="26"/>
          <w:szCs w:val="26"/>
          <w:rtl/>
        </w:rPr>
        <w:t>שעיקר השאלה הוא מה נשתנה הלילה הזה מכל הלילות ומה שאמר אח"כ שבכל הלילות הוא תשובת השאלה ופירשוהו על אריכת הגלות האחר</w:t>
      </w:r>
      <w:r w:rsidR="00BC1FC9">
        <w:rPr>
          <w:rFonts w:hint="cs"/>
          <w:sz w:val="26"/>
          <w:szCs w:val="26"/>
          <w:rtl/>
        </w:rPr>
        <w:t>ון...</w:t>
      </w:r>
      <w:r w:rsidR="00BC1FC9" w:rsidRPr="00EE6ED7">
        <w:rPr>
          <w:sz w:val="26"/>
          <w:szCs w:val="26"/>
          <w:vertAlign w:val="superscript"/>
          <w:rtl/>
        </w:rPr>
        <w:footnoteReference w:id="113"/>
      </w:r>
      <w:r w:rsidR="000A4652">
        <w:rPr>
          <w:sz w:val="26"/>
          <w:szCs w:val="26"/>
        </w:rPr>
        <w:t xml:space="preserve"> </w:t>
      </w:r>
      <w:r w:rsidRPr="00EE6ED7">
        <w:rPr>
          <w:sz w:val="26"/>
          <w:szCs w:val="26"/>
        </w:rPr>
        <w:t xml:space="preserve">This ingenious homiletical reading takes the </w:t>
      </w:r>
      <w:r w:rsidRPr="00EE6ED7">
        <w:rPr>
          <w:sz w:val="26"/>
          <w:szCs w:val="26"/>
          <w:rtl/>
        </w:rPr>
        <w:t>מה</w:t>
      </w:r>
      <w:r w:rsidRPr="00EE6ED7">
        <w:rPr>
          <w:sz w:val="26"/>
          <w:szCs w:val="26"/>
        </w:rPr>
        <w:t xml:space="preserve">-clause as a question and the </w:t>
      </w:r>
      <w:r w:rsidRPr="00EE6ED7">
        <w:rPr>
          <w:sz w:val="26"/>
          <w:szCs w:val="26"/>
          <w:rtl/>
        </w:rPr>
        <w:t>ש</w:t>
      </w:r>
      <w:r w:rsidRPr="00EE6ED7">
        <w:rPr>
          <w:sz w:val="26"/>
          <w:szCs w:val="26"/>
        </w:rPr>
        <w:t>-clauses as the answer.</w:t>
      </w:r>
      <w:r w:rsidR="0014624C" w:rsidRPr="00EE6ED7">
        <w:rPr>
          <w:sz w:val="26"/>
          <w:szCs w:val="26"/>
        </w:rPr>
        <w:t xml:space="preserve"> </w:t>
      </w:r>
      <w:r w:rsidRPr="00EE6ED7">
        <w:rPr>
          <w:sz w:val="26"/>
          <w:szCs w:val="26"/>
        </w:rPr>
        <w:t xml:space="preserve">It was rediscovered in the </w:t>
      </w:r>
      <w:r w:rsidR="00D3797C" w:rsidRPr="00EE6ED7">
        <w:rPr>
          <w:sz w:val="26"/>
          <w:szCs w:val="26"/>
        </w:rPr>
        <w:t>twentieth</w:t>
      </w:r>
      <w:r w:rsidRPr="00EE6ED7">
        <w:rPr>
          <w:sz w:val="26"/>
          <w:szCs w:val="26"/>
        </w:rPr>
        <w:t xml:space="preserve"> century by S. C. Kook and presented as the plain sense:</w:t>
      </w:r>
      <w:r w:rsidRPr="00EE6ED7">
        <w:rPr>
          <w:sz w:val="26"/>
          <w:szCs w:val="26"/>
          <w:rtl/>
        </w:rPr>
        <w:t>האב פונה להבן ופותח בשאלה כללית: "מה נשתנה הלילה הזה מכל הלילות" והבן אחרי שהאב "פתח לו", עונה לאביו "שבכל הלילות" וכו'</w:t>
      </w:r>
      <w:r w:rsidRPr="00EE6ED7">
        <w:rPr>
          <w:sz w:val="26"/>
          <w:szCs w:val="26"/>
        </w:rPr>
        <w:t>.</w:t>
      </w:r>
      <w:r w:rsidRPr="00EE6ED7">
        <w:rPr>
          <w:sz w:val="26"/>
          <w:szCs w:val="26"/>
          <w:vertAlign w:val="superscript"/>
        </w:rPr>
        <w:footnoteReference w:id="114"/>
      </w:r>
      <w:r w:rsidR="0014624C" w:rsidRPr="00EE6ED7">
        <w:rPr>
          <w:sz w:val="26"/>
          <w:szCs w:val="26"/>
        </w:rPr>
        <w:t xml:space="preserve"> </w:t>
      </w:r>
      <w:r w:rsidRPr="00EE6ED7">
        <w:rPr>
          <w:sz w:val="26"/>
          <w:szCs w:val="26"/>
        </w:rPr>
        <w:t>According to this, the father gives his son a little quiz.</w:t>
      </w:r>
      <w:r w:rsidR="0014624C" w:rsidRPr="00EE6ED7">
        <w:rPr>
          <w:sz w:val="26"/>
          <w:szCs w:val="26"/>
        </w:rPr>
        <w:t xml:space="preserve"> </w:t>
      </w:r>
      <w:r w:rsidRPr="00EE6ED7">
        <w:rPr>
          <w:sz w:val="26"/>
          <w:szCs w:val="26"/>
        </w:rPr>
        <w:t>The son is asked to give a list of things that are different about this night.</w:t>
      </w:r>
      <w:r w:rsidR="0014624C" w:rsidRPr="00EE6ED7">
        <w:rPr>
          <w:sz w:val="26"/>
          <w:szCs w:val="26"/>
        </w:rPr>
        <w:t xml:space="preserve"> </w:t>
      </w:r>
      <w:r w:rsidRPr="00EE6ED7">
        <w:rPr>
          <w:sz w:val="26"/>
          <w:szCs w:val="26"/>
        </w:rPr>
        <w:t>But what is the point of this quiz?</w:t>
      </w:r>
      <w:r w:rsidR="0014624C" w:rsidRPr="00EE6ED7">
        <w:rPr>
          <w:sz w:val="26"/>
          <w:szCs w:val="26"/>
        </w:rPr>
        <w:t xml:space="preserve"> </w:t>
      </w:r>
      <w:r w:rsidRPr="00EE6ED7">
        <w:rPr>
          <w:sz w:val="26"/>
          <w:szCs w:val="26"/>
        </w:rPr>
        <w:t>And how did this interpretation—and the alleged custom of quizzing the children—disappear without a trace?</w:t>
      </w:r>
      <w:r w:rsidR="0014624C" w:rsidRPr="00EE6ED7">
        <w:rPr>
          <w:sz w:val="26"/>
          <w:szCs w:val="26"/>
        </w:rPr>
        <w:t xml:space="preserve"> </w:t>
      </w:r>
      <w:r w:rsidRPr="00EE6ED7">
        <w:rPr>
          <w:sz w:val="26"/>
          <w:szCs w:val="26"/>
        </w:rPr>
        <w:t>To my mind, it is not surprising that this interpretation makes its first appearance in a homiletical context.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Even so, there are a number of ostensible parallels to this reading:</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אמר לו בן עזיי </w:t>
      </w:r>
      <w:r w:rsidRPr="00EE6ED7">
        <w:rPr>
          <w:sz w:val="26"/>
          <w:szCs w:val="26"/>
          <w:u w:val="single"/>
          <w:rtl/>
        </w:rPr>
        <w:t>מה שנה</w:t>
      </w:r>
      <w:r w:rsidRPr="00EE6ED7">
        <w:rPr>
          <w:sz w:val="26"/>
          <w:szCs w:val="26"/>
          <w:rtl/>
        </w:rPr>
        <w:t xml:space="preserve"> זה מן היושב בביתו? </w:t>
      </w:r>
      <w:r w:rsidRPr="00EE6ED7">
        <w:rPr>
          <w:sz w:val="26"/>
          <w:szCs w:val="26"/>
          <w:u w:val="single"/>
          <w:rtl/>
        </w:rPr>
        <w:t>ש</w:t>
      </w:r>
      <w:r w:rsidRPr="00EE6ED7">
        <w:rPr>
          <w:sz w:val="26"/>
          <w:szCs w:val="26"/>
          <w:rtl/>
        </w:rPr>
        <w:t>היושב בביתו איפשר היה לו שישמע וזה לא היה איפשר לו שישמע</w:t>
      </w:r>
      <w:r w:rsidR="00152E4C">
        <w:rPr>
          <w:rFonts w:hint="cs"/>
          <w:sz w:val="26"/>
          <w:szCs w:val="26"/>
          <w:rtl/>
        </w:rPr>
        <w:t xml:space="preserve"> (</w:t>
      </w:r>
      <w:r w:rsidR="00152E4C" w:rsidRPr="00EE6ED7">
        <w:rPr>
          <w:sz w:val="26"/>
          <w:szCs w:val="26"/>
          <w:rtl/>
        </w:rPr>
        <w:t>משנה הוריות א,</w:t>
      </w:r>
      <w:r w:rsidR="00152E4C">
        <w:rPr>
          <w:rFonts w:hint="cs"/>
          <w:sz w:val="26"/>
          <w:szCs w:val="26"/>
          <w:rtl/>
        </w:rPr>
        <w:t xml:space="preserve"> </w:t>
      </w:r>
      <w:r w:rsidR="00152E4C" w:rsidRPr="00EE6ED7">
        <w:rPr>
          <w:sz w:val="26"/>
          <w:szCs w:val="26"/>
          <w:rtl/>
        </w:rPr>
        <w:t>ב</w:t>
      </w:r>
      <w:r w:rsidR="00152E4C">
        <w:rPr>
          <w:rFonts w:hint="cs"/>
          <w:sz w:val="26"/>
          <w:szCs w:val="26"/>
          <w:rtl/>
        </w:rPr>
        <w:t>)</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הקומץ את המנחה</w:t>
      </w:r>
      <w:r w:rsidR="000A4652">
        <w:rPr>
          <w:sz w:val="26"/>
          <w:szCs w:val="26"/>
          <w:rtl/>
        </w:rPr>
        <w:t xml:space="preserve">... </w:t>
      </w:r>
      <w:r w:rsidRPr="00EE6ED7">
        <w:rPr>
          <w:sz w:val="26"/>
          <w:szCs w:val="26"/>
          <w:rtl/>
        </w:rPr>
        <w:t>להקטיר לבונתה למחר ר' יוסה א</w:t>
      </w:r>
      <w:r w:rsidR="00901BA2">
        <w:rPr>
          <w:rFonts w:hint="cs"/>
          <w:sz w:val="26"/>
          <w:szCs w:val="26"/>
          <w:rtl/>
        </w:rPr>
        <w:t>ו</w:t>
      </w:r>
      <w:r w:rsidRPr="00EE6ED7">
        <w:rPr>
          <w:sz w:val="26"/>
          <w:szCs w:val="26"/>
          <w:rtl/>
        </w:rPr>
        <w:t>' פיגול</w:t>
      </w:r>
      <w:r w:rsidRPr="00EE6ED7">
        <w:rPr>
          <w:sz w:val="26"/>
          <w:szCs w:val="26"/>
          <w:vertAlign w:val="superscript"/>
          <w:rtl/>
        </w:rPr>
        <w:footnoteReference w:id="115"/>
      </w:r>
      <w:r w:rsidRPr="00EE6ED7">
        <w:rPr>
          <w:sz w:val="26"/>
          <w:szCs w:val="26"/>
          <w:rtl/>
        </w:rPr>
        <w:t xml:space="preserve"> ואין בו כרת, וחכמ' א</w:t>
      </w:r>
      <w:r w:rsidR="00901BA2">
        <w:rPr>
          <w:rFonts w:hint="cs"/>
          <w:sz w:val="26"/>
          <w:szCs w:val="26"/>
          <w:rtl/>
        </w:rPr>
        <w:t>ו</w:t>
      </w:r>
      <w:r w:rsidRPr="00EE6ED7">
        <w:rPr>
          <w:sz w:val="26"/>
          <w:szCs w:val="26"/>
          <w:rtl/>
        </w:rPr>
        <w:t xml:space="preserve">' פיגול וחייבין עליו כרת. אמרו לו </w:t>
      </w:r>
      <w:r w:rsidRPr="00EE6ED7">
        <w:rPr>
          <w:sz w:val="26"/>
          <w:szCs w:val="26"/>
          <w:u w:val="single"/>
          <w:rtl/>
        </w:rPr>
        <w:t>מה שנת</w:t>
      </w:r>
      <w:r w:rsidRPr="00EE6ED7">
        <w:rPr>
          <w:sz w:val="26"/>
          <w:szCs w:val="26"/>
          <w:rtl/>
        </w:rPr>
        <w:t xml:space="preserve"> מן הזבח? אמ' להם </w:t>
      </w:r>
      <w:r w:rsidRPr="00EE6ED7">
        <w:rPr>
          <w:sz w:val="26"/>
          <w:szCs w:val="26"/>
          <w:u w:val="single"/>
          <w:rtl/>
        </w:rPr>
        <w:t>ש</w:t>
      </w:r>
      <w:r w:rsidRPr="00EE6ED7">
        <w:rPr>
          <w:sz w:val="26"/>
          <w:szCs w:val="26"/>
          <w:rtl/>
        </w:rPr>
        <w:t>הזבח דמו ובשרו ואמוריו אחד ולבונה אינה מן המנחה</w:t>
      </w:r>
      <w:r w:rsidR="00152E4C">
        <w:rPr>
          <w:rFonts w:hint="cs"/>
          <w:sz w:val="26"/>
          <w:szCs w:val="26"/>
          <w:rtl/>
        </w:rPr>
        <w:t xml:space="preserve"> (</w:t>
      </w:r>
      <w:r w:rsidR="00152E4C" w:rsidRPr="00EE6ED7">
        <w:rPr>
          <w:sz w:val="26"/>
          <w:szCs w:val="26"/>
          <w:rtl/>
        </w:rPr>
        <w:t>משנה מנחות ב,</w:t>
      </w:r>
      <w:r w:rsidR="00152E4C">
        <w:rPr>
          <w:rFonts w:hint="cs"/>
          <w:sz w:val="26"/>
          <w:szCs w:val="26"/>
          <w:rtl/>
        </w:rPr>
        <w:t xml:space="preserve"> </w:t>
      </w:r>
      <w:r w:rsidR="00152E4C" w:rsidRPr="00EE6ED7">
        <w:rPr>
          <w:sz w:val="26"/>
          <w:szCs w:val="26"/>
          <w:rtl/>
        </w:rPr>
        <w:t>א</w:t>
      </w:r>
      <w:r w:rsidR="00152E4C">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152E4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 xml:space="preserve">ואשא אתכם על כנפי נשרים </w:t>
      </w:r>
      <w:r w:rsidR="0047465A" w:rsidRPr="00EE6ED7">
        <w:rPr>
          <w:sz w:val="26"/>
          <w:szCs w:val="26"/>
          <w:rtl/>
        </w:rPr>
        <w:t>(</w:t>
      </w:r>
      <w:r w:rsidRPr="00EE6ED7">
        <w:rPr>
          <w:sz w:val="26"/>
          <w:szCs w:val="26"/>
          <w:rtl/>
        </w:rPr>
        <w:t>שמות יט, ד</w:t>
      </w:r>
      <w:r w:rsidR="0047465A" w:rsidRPr="00EE6ED7">
        <w:rPr>
          <w:sz w:val="26"/>
          <w:szCs w:val="26"/>
          <w:rtl/>
        </w:rPr>
        <w:t>)</w:t>
      </w:r>
      <w:r w:rsidRPr="00EE6ED7">
        <w:rPr>
          <w:sz w:val="26"/>
          <w:szCs w:val="26"/>
          <w:rtl/>
        </w:rPr>
        <w:t xml:space="preserve">. </w:t>
      </w:r>
      <w:r w:rsidRPr="00EE6ED7">
        <w:rPr>
          <w:sz w:val="26"/>
          <w:szCs w:val="26"/>
          <w:u w:val="single"/>
          <w:rtl/>
        </w:rPr>
        <w:t>מה נשתנה</w:t>
      </w:r>
      <w:r w:rsidRPr="00EE6ED7">
        <w:rPr>
          <w:sz w:val="26"/>
          <w:szCs w:val="26"/>
          <w:rtl/>
        </w:rPr>
        <w:t xml:space="preserve"> הנשר הזה </w:t>
      </w:r>
      <w:r w:rsidRPr="00EE6ED7">
        <w:rPr>
          <w:sz w:val="26"/>
          <w:szCs w:val="26"/>
          <w:u w:val="single"/>
          <w:rtl/>
        </w:rPr>
        <w:t>מכל</w:t>
      </w:r>
      <w:r w:rsidRPr="00EE6ED7">
        <w:rPr>
          <w:sz w:val="26"/>
          <w:szCs w:val="26"/>
          <w:rtl/>
        </w:rPr>
        <w:t xml:space="preserve"> העופות? </w:t>
      </w:r>
      <w:r w:rsidRPr="00EE6ED7">
        <w:rPr>
          <w:sz w:val="26"/>
          <w:szCs w:val="26"/>
          <w:u w:val="single"/>
          <w:rtl/>
        </w:rPr>
        <w:t>שכל</w:t>
      </w:r>
      <w:r w:rsidRPr="00EE6ED7">
        <w:rPr>
          <w:sz w:val="26"/>
          <w:szCs w:val="26"/>
          <w:rtl/>
        </w:rPr>
        <w:t xml:space="preserve"> העופות כלם נותנין את בניהם ביני רגליהן מפני שהן מתיראין מעוף אחר שהוא פורח על גביהן. אבל הנשר הזה אינו מתירא אלא מאדם הזה בלבד שמא יזרק בו חץ. אומר מוטב שיכנס בי ולא בבני</w:t>
      </w:r>
      <w:r w:rsidR="00152E4C">
        <w:rPr>
          <w:rFonts w:hint="cs"/>
          <w:sz w:val="26"/>
          <w:szCs w:val="26"/>
          <w:rtl/>
        </w:rPr>
        <w:t xml:space="preserve"> (</w:t>
      </w:r>
      <w:r w:rsidR="00152E4C" w:rsidRPr="00EE6ED7">
        <w:rPr>
          <w:sz w:val="26"/>
          <w:szCs w:val="26"/>
          <w:rtl/>
        </w:rPr>
        <w:t>מכילתא יתרו</w:t>
      </w:r>
      <w:r w:rsidR="00152E4C">
        <w:rPr>
          <w:rFonts w:hint="cs"/>
          <w:sz w:val="26"/>
          <w:szCs w:val="26"/>
          <w:rtl/>
        </w:rPr>
        <w:t xml:space="preserve">, </w:t>
      </w:r>
      <w:r w:rsidR="00152E4C" w:rsidRPr="00EE6ED7">
        <w:rPr>
          <w:sz w:val="26"/>
          <w:szCs w:val="26"/>
          <w:rtl/>
        </w:rPr>
        <w:t>בחדש</w:t>
      </w:r>
      <w:r w:rsidR="00152E4C">
        <w:rPr>
          <w:rFonts w:hint="cs"/>
          <w:sz w:val="26"/>
          <w:szCs w:val="26"/>
          <w:rtl/>
        </w:rPr>
        <w:t>,</w:t>
      </w:r>
      <w:r w:rsidR="00152E4C" w:rsidRPr="00EE6ED7">
        <w:rPr>
          <w:sz w:val="26"/>
          <w:szCs w:val="26"/>
          <w:rtl/>
        </w:rPr>
        <w:t xml:space="preserve"> ב</w:t>
      </w:r>
      <w:r w:rsidR="00C8257A">
        <w:rPr>
          <w:rFonts w:hint="cs"/>
          <w:sz w:val="26"/>
          <w:szCs w:val="26"/>
          <w:rtl/>
        </w:rPr>
        <w:t>, מהדורת הורוביץ-רבין, עמ' 207</w:t>
      </w:r>
      <w:r w:rsidR="00C8257A">
        <w:rPr>
          <w:rFonts w:hint="eastAsia"/>
          <w:sz w:val="26"/>
          <w:szCs w:val="26"/>
          <w:rtl/>
        </w:rPr>
        <w:t>–</w:t>
      </w:r>
      <w:r w:rsidR="00C8257A">
        <w:rPr>
          <w:rFonts w:hint="cs"/>
          <w:sz w:val="26"/>
          <w:szCs w:val="26"/>
          <w:rtl/>
        </w:rPr>
        <w:t>208</w:t>
      </w:r>
      <w:r w:rsidR="00152E4C">
        <w:rPr>
          <w:rFonts w:hint="cs"/>
          <w:sz w:val="26"/>
          <w:szCs w:val="26"/>
          <w:rtl/>
        </w:rPr>
        <w:t>)</w:t>
      </w:r>
      <w:r w:rsidRPr="00EE6ED7">
        <w:rPr>
          <w:sz w:val="26"/>
          <w:szCs w:val="26"/>
          <w:rtl/>
        </w:rPr>
        <w:t>.</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C825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u w:val="single"/>
          <w:rtl/>
        </w:rPr>
        <w:t>מה נשתנה</w:t>
      </w:r>
      <w:r w:rsidRPr="00EE6ED7">
        <w:rPr>
          <w:sz w:val="26"/>
          <w:szCs w:val="26"/>
          <w:rtl/>
        </w:rPr>
        <w:t xml:space="preserve"> תכלת </w:t>
      </w:r>
      <w:r w:rsidRPr="00EE6ED7">
        <w:rPr>
          <w:sz w:val="26"/>
          <w:szCs w:val="26"/>
          <w:u w:val="single"/>
          <w:rtl/>
        </w:rPr>
        <w:t>מכל</w:t>
      </w:r>
      <w:r w:rsidR="00C8257A">
        <w:rPr>
          <w:sz w:val="26"/>
          <w:szCs w:val="26"/>
          <w:rtl/>
        </w:rPr>
        <w:t xml:space="preserve"> מיני צבעים</w:t>
      </w:r>
      <w:r w:rsidRPr="00EE6ED7">
        <w:rPr>
          <w:sz w:val="26"/>
          <w:szCs w:val="26"/>
          <w:rtl/>
        </w:rPr>
        <w:t xml:space="preserve">? </w:t>
      </w:r>
      <w:r w:rsidRPr="00EE6ED7">
        <w:rPr>
          <w:sz w:val="26"/>
          <w:szCs w:val="26"/>
          <w:u w:val="single"/>
          <w:rtl/>
        </w:rPr>
        <w:t>ש</w:t>
      </w:r>
      <w:r w:rsidRPr="00EE6ED7">
        <w:rPr>
          <w:sz w:val="26"/>
          <w:szCs w:val="26"/>
          <w:rtl/>
        </w:rPr>
        <w:t>התכלת דומה לים, וים דומה לרקיע, וכו'</w:t>
      </w:r>
      <w:r w:rsidR="00152E4C">
        <w:rPr>
          <w:rFonts w:hint="cs"/>
          <w:sz w:val="26"/>
          <w:szCs w:val="26"/>
          <w:rtl/>
        </w:rPr>
        <w:t xml:space="preserve"> (בבלי סוטה יז ע"א)</w:t>
      </w:r>
      <w:r w:rsidRPr="00EE6ED7">
        <w:rPr>
          <w:sz w:val="26"/>
          <w:szCs w:val="26"/>
          <w:rtl/>
        </w:rPr>
        <w:t>.</w:t>
      </w:r>
      <w:r w:rsidRPr="00EE6ED7">
        <w:rPr>
          <w:sz w:val="26"/>
          <w:szCs w:val="26"/>
          <w:vertAlign w:val="superscript"/>
        </w:rPr>
        <w:footnoteReference w:id="116"/>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FF56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In all of these examples, the </w:t>
      </w:r>
      <w:r w:rsidRPr="00EE6ED7">
        <w:rPr>
          <w:sz w:val="26"/>
          <w:szCs w:val="26"/>
          <w:rtl/>
        </w:rPr>
        <w:t>ש</w:t>
      </w:r>
      <w:r w:rsidRPr="00EE6ED7">
        <w:rPr>
          <w:sz w:val="26"/>
          <w:szCs w:val="26"/>
        </w:rPr>
        <w:t>-clause introduces the answer to</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 xml:space="preserve">This is most obvious in the example from m.Men 2:1, where the </w:t>
      </w:r>
      <w:r w:rsidRPr="00EE6ED7">
        <w:rPr>
          <w:sz w:val="26"/>
          <w:szCs w:val="26"/>
          <w:rtl/>
        </w:rPr>
        <w:t>ש</w:t>
      </w:r>
      <w:r w:rsidRPr="00EE6ED7">
        <w:rPr>
          <w:sz w:val="26"/>
          <w:szCs w:val="26"/>
        </w:rPr>
        <w:t xml:space="preserve">-clause is preceded by </w:t>
      </w:r>
      <w:r w:rsidRPr="00EE6ED7">
        <w:rPr>
          <w:sz w:val="26"/>
          <w:szCs w:val="26"/>
          <w:rtl/>
        </w:rPr>
        <w:t>אמר להם</w:t>
      </w:r>
      <w:r w:rsidRPr="00EE6ED7">
        <w:rPr>
          <w:sz w:val="26"/>
          <w:szCs w:val="26"/>
        </w:rPr>
        <w:t>.</w:t>
      </w:r>
    </w:p>
    <w:p w:rsidR="00105DEE" w:rsidRPr="00EE6ED7" w:rsidRDefault="00105DEE" w:rsidP="00FF56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Closer analysis, however, reveals that these examples differ from ours in a crucial respect.</w:t>
      </w:r>
      <w:r w:rsidR="0014624C" w:rsidRPr="00EE6ED7">
        <w:rPr>
          <w:sz w:val="26"/>
          <w:szCs w:val="26"/>
        </w:rPr>
        <w:t xml:space="preserve"> </w:t>
      </w:r>
      <w:r w:rsidRPr="00EE6ED7">
        <w:rPr>
          <w:sz w:val="26"/>
          <w:szCs w:val="26"/>
        </w:rPr>
        <w:t>Let us begin with the last example and its two parallels.</w:t>
      </w:r>
      <w:r w:rsidR="0014624C" w:rsidRPr="00EE6ED7">
        <w:rPr>
          <w:sz w:val="26"/>
          <w:szCs w:val="26"/>
        </w:rPr>
        <w:t xml:space="preserve"> </w:t>
      </w:r>
      <w:r w:rsidRPr="00EE6ED7">
        <w:rPr>
          <w:sz w:val="26"/>
          <w:szCs w:val="26"/>
        </w:rPr>
        <w:t xml:space="preserve">In all three places, Rashi inserts an understood </w:t>
      </w:r>
      <w:r w:rsidRPr="00EE6ED7">
        <w:rPr>
          <w:sz w:val="26"/>
          <w:szCs w:val="26"/>
          <w:rtl/>
        </w:rPr>
        <w:t>ש</w:t>
      </w:r>
      <w:r w:rsidRPr="00EE6ED7">
        <w:rPr>
          <w:sz w:val="26"/>
          <w:szCs w:val="26"/>
        </w:rPr>
        <w:t>-clause at the end of the question:</w:t>
      </w:r>
      <w:r w:rsidR="0014624C" w:rsidRPr="00EE6ED7">
        <w:rPr>
          <w:sz w:val="26"/>
          <w:szCs w:val="26"/>
        </w:rPr>
        <w:t xml:space="preserve"> </w:t>
      </w:r>
      <w:r w:rsidRPr="00EE6ED7">
        <w:rPr>
          <w:sz w:val="26"/>
          <w:szCs w:val="26"/>
        </w:rPr>
        <w:t>b.So</w:t>
      </w:r>
      <w:r w:rsidR="00F51CCF" w:rsidRPr="00152E4C">
        <w:rPr>
          <w:rFonts w:ascii="CalSemitic" w:hAnsi="CalSemitic"/>
          <w:sz w:val="28"/>
          <w:szCs w:val="26"/>
        </w:rPr>
        <w:t>T</w:t>
      </w:r>
      <w:r w:rsidRPr="00EE6ED7">
        <w:rPr>
          <w:sz w:val="26"/>
          <w:szCs w:val="26"/>
        </w:rPr>
        <w:t>a</w:t>
      </w:r>
      <w:r w:rsidR="00215869">
        <w:rPr>
          <w:sz w:val="26"/>
          <w:szCs w:val="26"/>
        </w:rPr>
        <w:t>h</w:t>
      </w:r>
      <w:r w:rsidRPr="00EE6ED7">
        <w:rPr>
          <w:sz w:val="26"/>
          <w:szCs w:val="26"/>
        </w:rPr>
        <w:t xml:space="preserve"> 17a</w:t>
      </w:r>
      <w:r w:rsidRPr="00EE6ED7">
        <w:rPr>
          <w:sz w:val="26"/>
          <w:szCs w:val="26"/>
          <w:rtl/>
        </w:rPr>
        <w:t>מה נשתנה תכלת - שהזקיקו הכתוב לציצית</w:t>
      </w:r>
      <w:r w:rsidRPr="00EE6ED7">
        <w:rPr>
          <w:sz w:val="26"/>
          <w:szCs w:val="26"/>
        </w:rPr>
        <w:t xml:space="preserve">, b.Men 43b </w:t>
      </w:r>
      <w:r w:rsidRPr="00EE6ED7">
        <w:rPr>
          <w:sz w:val="26"/>
          <w:szCs w:val="26"/>
          <w:rtl/>
        </w:rPr>
        <w:t>מה נשתנה תכלת - שיחדו הקב"ה למצוה זו</w:t>
      </w:r>
      <w:r w:rsidRPr="00EE6ED7">
        <w:rPr>
          <w:sz w:val="26"/>
          <w:szCs w:val="26"/>
        </w:rPr>
        <w:t>, b.</w:t>
      </w:r>
      <w:r w:rsidR="007D7A02">
        <w:rPr>
          <w:rFonts w:ascii="CalSemitic" w:hAnsi="CalSemitic"/>
          <w:sz w:val="26"/>
          <w:szCs w:val="26"/>
        </w:rPr>
        <w:t>-</w:t>
      </w:r>
      <w:r w:rsidRPr="00EE6ED7">
        <w:rPr>
          <w:sz w:val="26"/>
          <w:szCs w:val="26"/>
        </w:rPr>
        <w:t>ul 89a</w:t>
      </w:r>
      <w:r w:rsidRPr="00EE6ED7">
        <w:rPr>
          <w:sz w:val="26"/>
          <w:szCs w:val="26"/>
          <w:rtl/>
        </w:rPr>
        <w:t>מה נשתנה תכלת - שהזקיקתה תורה לציצית</w:t>
      </w:r>
      <w:r w:rsidRPr="00EE6ED7">
        <w:rPr>
          <w:sz w:val="26"/>
          <w:szCs w:val="26"/>
        </w:rPr>
        <w:t>.</w:t>
      </w:r>
      <w:r w:rsidR="0014624C" w:rsidRPr="00EE6ED7">
        <w:rPr>
          <w:sz w:val="26"/>
          <w:szCs w:val="26"/>
        </w:rPr>
        <w:t xml:space="preserve"> </w:t>
      </w:r>
      <w:r w:rsidRPr="00EE6ED7">
        <w:rPr>
          <w:sz w:val="26"/>
          <w:szCs w:val="26"/>
        </w:rPr>
        <w:t xml:space="preserve">In the other </w:t>
      </w:r>
      <w:r w:rsidR="00046A43" w:rsidRPr="00EE6ED7">
        <w:rPr>
          <w:sz w:val="26"/>
          <w:szCs w:val="26"/>
        </w:rPr>
        <w:t>examples,</w:t>
      </w:r>
      <w:r w:rsidRPr="00EE6ED7">
        <w:rPr>
          <w:sz w:val="26"/>
          <w:szCs w:val="26"/>
        </w:rPr>
        <w:t xml:space="preserve"> too</w:t>
      </w:r>
      <w:r w:rsidR="00046A43" w:rsidRPr="00EE6ED7">
        <w:rPr>
          <w:sz w:val="26"/>
          <w:szCs w:val="26"/>
        </w:rPr>
        <w:t>,</w:t>
      </w:r>
      <w:r w:rsidRPr="00EE6ED7">
        <w:rPr>
          <w:sz w:val="26"/>
          <w:szCs w:val="26"/>
        </w:rPr>
        <w:t xml:space="preserve"> there is an understood </w:t>
      </w:r>
      <w:r w:rsidRPr="00EE6ED7">
        <w:rPr>
          <w:sz w:val="26"/>
          <w:szCs w:val="26"/>
          <w:rtl/>
        </w:rPr>
        <w:t>ש</w:t>
      </w:r>
      <w:r w:rsidRPr="00EE6ED7">
        <w:rPr>
          <w:sz w:val="26"/>
          <w:szCs w:val="26"/>
        </w:rPr>
        <w:t>-clause at the end of the question.</w:t>
      </w:r>
      <w:r w:rsidR="0014624C" w:rsidRPr="00EE6ED7">
        <w:rPr>
          <w:sz w:val="26"/>
          <w:szCs w:val="26"/>
        </w:rPr>
        <w:t xml:space="preserve"> </w:t>
      </w:r>
      <w:r w:rsidRPr="00EE6ED7">
        <w:rPr>
          <w:sz w:val="26"/>
          <w:szCs w:val="26"/>
        </w:rPr>
        <w:t xml:space="preserve">In the Mekhilta, for example, the understood clause </w:t>
      </w:r>
      <w:r w:rsidR="007D7A02">
        <w:rPr>
          <w:sz w:val="26"/>
          <w:szCs w:val="26"/>
        </w:rPr>
        <w:t xml:space="preserve">is supplied </w:t>
      </w:r>
      <w:r w:rsidRPr="00EE6ED7">
        <w:rPr>
          <w:sz w:val="26"/>
          <w:szCs w:val="26"/>
        </w:rPr>
        <w:t>from the lemma:</w:t>
      </w:r>
      <w:r w:rsidR="00203486" w:rsidRPr="00EE6ED7">
        <w:rPr>
          <w:sz w:val="26"/>
          <w:szCs w:val="26"/>
          <w:rtl/>
        </w:rPr>
        <w:t xml:space="preserve">ואשא אתכם על כנפי נשרים </w:t>
      </w:r>
      <w:r w:rsidR="00203486">
        <w:rPr>
          <w:rFonts w:hint="cs"/>
          <w:sz w:val="26"/>
          <w:szCs w:val="26"/>
          <w:rtl/>
        </w:rPr>
        <w:t xml:space="preserve">- </w:t>
      </w:r>
      <w:r w:rsidRPr="00EE6ED7">
        <w:rPr>
          <w:sz w:val="26"/>
          <w:szCs w:val="26"/>
          <w:u w:val="single"/>
          <w:rtl/>
        </w:rPr>
        <w:t>מה נשתנה</w:t>
      </w:r>
      <w:r w:rsidRPr="00EE6ED7">
        <w:rPr>
          <w:sz w:val="26"/>
          <w:szCs w:val="26"/>
          <w:rtl/>
        </w:rPr>
        <w:t xml:space="preserve"> נשר זה </w:t>
      </w:r>
      <w:r w:rsidRPr="00EE6ED7">
        <w:rPr>
          <w:sz w:val="26"/>
          <w:szCs w:val="26"/>
          <w:u w:val="single"/>
          <w:rtl/>
        </w:rPr>
        <w:t>מכל</w:t>
      </w:r>
      <w:r w:rsidRPr="00EE6ED7">
        <w:rPr>
          <w:sz w:val="26"/>
          <w:szCs w:val="26"/>
          <w:rtl/>
        </w:rPr>
        <w:t xml:space="preserve"> העופות כולם </w:t>
      </w:r>
      <w:r w:rsidR="00046A43" w:rsidRPr="00EE6ED7">
        <w:rPr>
          <w:sz w:val="26"/>
          <w:szCs w:val="26"/>
          <w:rtl/>
        </w:rPr>
        <w:t>(</w:t>
      </w:r>
      <w:r w:rsidRPr="00EE6ED7">
        <w:rPr>
          <w:sz w:val="26"/>
          <w:szCs w:val="26"/>
          <w:u w:val="single"/>
          <w:rtl/>
        </w:rPr>
        <w:t>ש</w:t>
      </w:r>
      <w:r w:rsidRPr="00EE6ED7">
        <w:rPr>
          <w:sz w:val="26"/>
          <w:szCs w:val="26"/>
          <w:rtl/>
        </w:rPr>
        <w:t>נאמר בו ואשא אתכם על כנפי נשרים</w:t>
      </w:r>
      <w:r w:rsidR="00046A43" w:rsidRPr="00EE6ED7">
        <w:rPr>
          <w:sz w:val="26"/>
          <w:szCs w:val="26"/>
          <w:rtl/>
        </w:rPr>
        <w:t>)</w:t>
      </w:r>
      <w:r w:rsidRPr="00EE6ED7">
        <w:rPr>
          <w:sz w:val="26"/>
          <w:szCs w:val="26"/>
        </w:rPr>
        <w:t>.</w:t>
      </w:r>
      <w:r w:rsidRPr="00EE6ED7">
        <w:rPr>
          <w:sz w:val="26"/>
          <w:szCs w:val="26"/>
          <w:vertAlign w:val="superscript"/>
        </w:rPr>
        <w:footnoteReference w:id="117"/>
      </w:r>
      <w:r w:rsidRPr="00EE6ED7">
        <w:rPr>
          <w:sz w:val="26"/>
          <w:szCs w:val="26"/>
        </w:rPr>
        <w:t xml:space="preserve"> </w:t>
      </w:r>
      <w:r w:rsidR="00203486">
        <w:rPr>
          <w:sz w:val="26"/>
          <w:szCs w:val="26"/>
        </w:rPr>
        <w:t>I</w:t>
      </w:r>
      <w:r w:rsidRPr="00EE6ED7">
        <w:rPr>
          <w:sz w:val="26"/>
          <w:szCs w:val="26"/>
        </w:rPr>
        <w:t xml:space="preserve">n m.Hor 1:2, </w:t>
      </w:r>
      <w:r w:rsidR="00203486">
        <w:rPr>
          <w:sz w:val="26"/>
          <w:szCs w:val="26"/>
        </w:rPr>
        <w:t>the understood clause</w:t>
      </w:r>
      <w:r w:rsidRPr="00EE6ED7">
        <w:rPr>
          <w:sz w:val="26"/>
          <w:szCs w:val="26"/>
        </w:rPr>
        <w:t xml:space="preserve"> </w:t>
      </w:r>
      <w:r w:rsidR="00203486">
        <w:rPr>
          <w:sz w:val="26"/>
          <w:szCs w:val="26"/>
        </w:rPr>
        <w:t>is supplied from the answer:</w:t>
      </w:r>
      <w:r w:rsidRPr="00EE6ED7">
        <w:rPr>
          <w:sz w:val="26"/>
          <w:szCs w:val="26"/>
          <w:u w:val="single"/>
          <w:rtl/>
        </w:rPr>
        <w:t>מה שנה</w:t>
      </w:r>
      <w:r w:rsidRPr="00EE6ED7">
        <w:rPr>
          <w:sz w:val="26"/>
          <w:szCs w:val="26"/>
          <w:rtl/>
        </w:rPr>
        <w:t xml:space="preserve"> זה מן היושב בביתו </w:t>
      </w:r>
      <w:r w:rsidR="00046A43" w:rsidRPr="00EE6ED7">
        <w:rPr>
          <w:sz w:val="26"/>
          <w:szCs w:val="26"/>
          <w:rtl/>
        </w:rPr>
        <w:t>(</w:t>
      </w:r>
      <w:r w:rsidRPr="00EE6ED7">
        <w:rPr>
          <w:sz w:val="26"/>
          <w:szCs w:val="26"/>
          <w:u w:val="single"/>
          <w:rtl/>
        </w:rPr>
        <w:t>ש</w:t>
      </w:r>
      <w:r w:rsidRPr="00EE6ED7">
        <w:rPr>
          <w:sz w:val="26"/>
          <w:szCs w:val="26"/>
          <w:rtl/>
        </w:rPr>
        <w:t>זה קרוב לפטור מן החובה והיושב בביתו חייב</w:t>
      </w:r>
      <w:r w:rsidR="00FA0543" w:rsidRPr="00EE6ED7">
        <w:rPr>
          <w:sz w:val="26"/>
          <w:szCs w:val="26"/>
          <w:rtl/>
        </w:rPr>
        <w:t>)</w:t>
      </w:r>
      <w:r w:rsidRPr="00EE6ED7">
        <w:rPr>
          <w:sz w:val="26"/>
          <w:szCs w:val="26"/>
        </w:rPr>
        <w:t>.</w:t>
      </w:r>
      <w:r w:rsidR="0014624C" w:rsidRPr="00EE6ED7">
        <w:rPr>
          <w:sz w:val="26"/>
          <w:szCs w:val="26"/>
        </w:rPr>
        <w:t xml:space="preserve"> </w:t>
      </w:r>
      <w:r w:rsidRPr="00EE6ED7">
        <w:rPr>
          <w:sz w:val="26"/>
          <w:szCs w:val="26"/>
        </w:rPr>
        <w:t>In the Haggadah, on the other hand, there is little possibility of an understood clause.</w:t>
      </w:r>
      <w:r w:rsidR="0014624C" w:rsidRPr="00EE6ED7">
        <w:rPr>
          <w:sz w:val="26"/>
          <w:szCs w:val="26"/>
        </w:rPr>
        <w:t xml:space="preserve"> </w:t>
      </w:r>
      <w:r w:rsidRPr="00EE6ED7">
        <w:rPr>
          <w:sz w:val="26"/>
          <w:szCs w:val="26"/>
        </w:rPr>
        <w:t xml:space="preserve">Thus the </w:t>
      </w:r>
      <w:r w:rsidRPr="00EE6ED7">
        <w:rPr>
          <w:sz w:val="26"/>
          <w:szCs w:val="26"/>
          <w:rtl/>
        </w:rPr>
        <w:t>ש-</w:t>
      </w:r>
      <w:r w:rsidRPr="00EE6ED7">
        <w:rPr>
          <w:sz w:val="26"/>
          <w:szCs w:val="26"/>
        </w:rPr>
        <w:t xml:space="preserve"> of </w:t>
      </w:r>
      <w:r w:rsidRPr="00EE6ED7">
        <w:rPr>
          <w:sz w:val="26"/>
          <w:szCs w:val="26"/>
          <w:rtl/>
        </w:rPr>
        <w:t>שכל העופות</w:t>
      </w:r>
      <w:r w:rsidRPr="00EE6ED7">
        <w:rPr>
          <w:sz w:val="26"/>
          <w:szCs w:val="26"/>
        </w:rPr>
        <w:t xml:space="preserve"> in the Mekhilta is not parallel to the </w:t>
      </w:r>
      <w:r w:rsidRPr="00EE6ED7">
        <w:rPr>
          <w:sz w:val="26"/>
          <w:szCs w:val="26"/>
          <w:rtl/>
        </w:rPr>
        <w:t>ש-</w:t>
      </w:r>
      <w:r w:rsidRPr="00EE6ED7">
        <w:rPr>
          <w:sz w:val="26"/>
          <w:szCs w:val="26"/>
        </w:rPr>
        <w:t xml:space="preserve"> of </w:t>
      </w:r>
      <w:r w:rsidRPr="00EE6ED7">
        <w:rPr>
          <w:sz w:val="26"/>
          <w:szCs w:val="26"/>
          <w:rtl/>
        </w:rPr>
        <w:t>שבכל הלילות</w:t>
      </w:r>
      <w:r w:rsidRPr="00EE6ED7">
        <w:rPr>
          <w:sz w:val="26"/>
          <w:szCs w:val="26"/>
        </w:rPr>
        <w:t xml:space="preserve">, because there is an understood </w:t>
      </w:r>
      <w:r w:rsidRPr="00EE6ED7">
        <w:rPr>
          <w:sz w:val="26"/>
          <w:szCs w:val="26"/>
          <w:rtl/>
        </w:rPr>
        <w:t>ש</w:t>
      </w:r>
      <w:r w:rsidRPr="00EE6ED7">
        <w:rPr>
          <w:sz w:val="26"/>
          <w:szCs w:val="26"/>
        </w:rPr>
        <w:t>-clause before the former but not before the latter.</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VII. HOW MANY ANSWERS? A NEW </w:t>
      </w:r>
      <w:smartTag w:uri="urn:schemas-microsoft-com:office:smarttags" w:element="place">
        <w:smartTag w:uri="urn:schemas-microsoft-com:office:smarttags" w:element="City">
          <w:r w:rsidRPr="00EE6ED7">
            <w:rPr>
              <w:sz w:val="26"/>
              <w:szCs w:val="26"/>
            </w:rPr>
            <w:t>READING</w:t>
          </w:r>
        </w:smartTag>
      </w:smartTag>
      <w:r w:rsidRPr="00EE6ED7">
        <w:rPr>
          <w:sz w:val="26"/>
          <w:szCs w:val="26"/>
        </w:rPr>
        <w:t xml:space="preserve"> OF THE MISHNAH</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FF56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How many answers does </w:t>
      </w:r>
      <w:r w:rsidRPr="00EE6ED7">
        <w:rPr>
          <w:sz w:val="26"/>
          <w:szCs w:val="26"/>
          <w:rtl/>
        </w:rPr>
        <w:t>מה נשתנה</w:t>
      </w:r>
      <w:r w:rsidRPr="00EE6ED7">
        <w:rPr>
          <w:sz w:val="26"/>
          <w:szCs w:val="26"/>
        </w:rPr>
        <w:t xml:space="preserve"> require?</w:t>
      </w:r>
      <w:r w:rsidR="0014624C" w:rsidRPr="00EE6ED7">
        <w:rPr>
          <w:sz w:val="26"/>
          <w:szCs w:val="26"/>
        </w:rPr>
        <w:t xml:space="preserve"> </w:t>
      </w:r>
      <w:r w:rsidRPr="00EE6ED7">
        <w:rPr>
          <w:sz w:val="26"/>
          <w:szCs w:val="26"/>
        </w:rPr>
        <w:t xml:space="preserve">Is it sufficient to give a single answer corresponding to the </w:t>
      </w:r>
      <w:r w:rsidRPr="00EE6ED7">
        <w:rPr>
          <w:sz w:val="26"/>
          <w:szCs w:val="26"/>
          <w:rtl/>
        </w:rPr>
        <w:t>מה</w:t>
      </w:r>
      <w:r w:rsidRPr="00EE6ED7">
        <w:rPr>
          <w:sz w:val="26"/>
          <w:szCs w:val="26"/>
        </w:rPr>
        <w:t xml:space="preserve">-clause, or does each </w:t>
      </w:r>
      <w:r w:rsidRPr="00EE6ED7">
        <w:rPr>
          <w:sz w:val="26"/>
          <w:szCs w:val="26"/>
          <w:rtl/>
        </w:rPr>
        <w:t>ש</w:t>
      </w:r>
      <w:r w:rsidRPr="00EE6ED7">
        <w:rPr>
          <w:sz w:val="26"/>
          <w:szCs w:val="26"/>
        </w:rPr>
        <w:t>-clause need to be addressed separately?</w:t>
      </w:r>
      <w:r w:rsidR="0014624C" w:rsidRPr="00EE6ED7">
        <w:rPr>
          <w:sz w:val="26"/>
          <w:szCs w:val="26"/>
        </w:rPr>
        <w:t xml:space="preserve"> </w:t>
      </w:r>
      <w:r w:rsidRPr="00EE6ED7">
        <w:rPr>
          <w:sz w:val="26"/>
          <w:szCs w:val="26"/>
        </w:rPr>
        <w:t xml:space="preserve">The prevalent view in the Middle Ages is that </w:t>
      </w:r>
      <w:r w:rsidRPr="00EE6ED7">
        <w:rPr>
          <w:sz w:val="26"/>
          <w:szCs w:val="26"/>
          <w:rtl/>
        </w:rPr>
        <w:t>עבדים היינו</w:t>
      </w:r>
      <w:r w:rsidRPr="00EE6ED7">
        <w:rPr>
          <w:sz w:val="26"/>
          <w:szCs w:val="26"/>
        </w:rPr>
        <w:t xml:space="preserve"> (based on the answer to the question of the wise son in Deut 6:21) is the answer—the complete answer—to</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 xml:space="preserve">In </w:t>
      </w:r>
      <w:r w:rsidRPr="00EE6ED7">
        <w:rPr>
          <w:i/>
          <w:sz w:val="26"/>
          <w:szCs w:val="26"/>
        </w:rPr>
        <w:t>Tanya Rabbati</w:t>
      </w:r>
      <w:r w:rsidRPr="00EE6ED7">
        <w:rPr>
          <w:sz w:val="26"/>
          <w:szCs w:val="26"/>
        </w:rPr>
        <w:t>, cited in section V above, we find a good formulation of this view:</w:t>
      </w:r>
      <w:r w:rsidRPr="00EE6ED7">
        <w:rPr>
          <w:sz w:val="26"/>
          <w:szCs w:val="26"/>
          <w:rtl/>
        </w:rPr>
        <w:t>עבדים היינו לפרעה במצרים - היא תשובת מה נשתנה. הבן שואל מה נשתנה, ואביו משיבו עבדים היינו, ולפיכך נשתנה הלילה הזה באכילת מצה ומרור והסיבה מכל שאר הלילות</w:t>
      </w:r>
      <w:r w:rsidRPr="00EE6ED7">
        <w:rPr>
          <w:sz w:val="26"/>
          <w:szCs w:val="26"/>
        </w:rPr>
        <w:t>.</w:t>
      </w:r>
      <w:r w:rsidR="0014624C" w:rsidRPr="00EE6ED7">
        <w:rPr>
          <w:sz w:val="26"/>
          <w:szCs w:val="26"/>
        </w:rPr>
        <w:t xml:space="preserve"> </w:t>
      </w:r>
      <w:r w:rsidRPr="00EE6ED7">
        <w:rPr>
          <w:sz w:val="26"/>
          <w:szCs w:val="26"/>
        </w:rPr>
        <w:t>What, then, is/was special about this night?</w:t>
      </w:r>
      <w:r w:rsidR="0014624C" w:rsidRPr="00EE6ED7">
        <w:rPr>
          <w:sz w:val="26"/>
          <w:szCs w:val="26"/>
        </w:rPr>
        <w:t xml:space="preserve"> </w:t>
      </w:r>
      <w:r w:rsidRPr="00EE6ED7">
        <w:rPr>
          <w:sz w:val="26"/>
          <w:szCs w:val="26"/>
        </w:rPr>
        <w:t xml:space="preserve">It is/was on this night that God took us out of </w:t>
      </w:r>
      <w:smartTag w:uri="urn:schemas-microsoft-com:office:smarttags" w:element="place">
        <w:smartTag w:uri="urn:schemas-microsoft-com:office:smarttags" w:element="country-region">
          <w:r w:rsidRPr="00EE6ED7">
            <w:rPr>
              <w:sz w:val="26"/>
              <w:szCs w:val="26"/>
            </w:rPr>
            <w:t>Egypt</w:t>
          </w:r>
        </w:smartTag>
      </w:smartTag>
      <w:r w:rsidRPr="00EE6ED7">
        <w:rPr>
          <w:sz w:val="26"/>
          <w:szCs w:val="26"/>
        </w:rPr>
        <w:t xml:space="preserve"> and freed us from slavery.</w:t>
      </w:r>
      <w:r w:rsidR="0014624C" w:rsidRPr="00EE6ED7">
        <w:rPr>
          <w:sz w:val="26"/>
          <w:szCs w:val="26"/>
        </w:rPr>
        <w:t xml:space="preserve"> </w:t>
      </w:r>
    </w:p>
    <w:p w:rsidR="00105DEE" w:rsidRPr="00EE6ED7" w:rsidRDefault="00105DEE" w:rsidP="00FF56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Nevertheless, we find a few dissenting voices.</w:t>
      </w:r>
      <w:r w:rsidR="0014624C" w:rsidRPr="00EE6ED7">
        <w:rPr>
          <w:sz w:val="26"/>
          <w:szCs w:val="26"/>
        </w:rPr>
        <w:t xml:space="preserve"> </w:t>
      </w:r>
      <w:r w:rsidRPr="00EE6ED7">
        <w:rPr>
          <w:sz w:val="26"/>
          <w:szCs w:val="26"/>
        </w:rPr>
        <w:t>In the commentary of R. Eliezer b. Nathan of Mainz, we read:</w:t>
      </w:r>
      <w:r w:rsidRPr="00EE6ED7">
        <w:rPr>
          <w:sz w:val="26"/>
          <w:szCs w:val="26"/>
          <w:rtl/>
        </w:rPr>
        <w:t>עבדים היינו -</w:t>
      </w:r>
      <w:r w:rsidR="000A4652">
        <w:rPr>
          <w:sz w:val="26"/>
          <w:szCs w:val="26"/>
          <w:rtl/>
        </w:rPr>
        <w:t xml:space="preserve">... </w:t>
      </w:r>
      <w:r w:rsidRPr="00EE6ED7">
        <w:rPr>
          <w:sz w:val="26"/>
          <w:szCs w:val="26"/>
          <w:rtl/>
        </w:rPr>
        <w:t>כלומר, מה שאנו מסובין דרך חירות הלילה, זהו מפני שעבדים היינו לפרעה במצרים ויוציאנו ה' משם לחירות</w:t>
      </w:r>
      <w:r w:rsidRPr="00EE6ED7">
        <w:rPr>
          <w:sz w:val="26"/>
          <w:szCs w:val="26"/>
        </w:rPr>
        <w:t>.</w:t>
      </w:r>
      <w:r w:rsidRPr="00EE6ED7">
        <w:rPr>
          <w:sz w:val="26"/>
          <w:szCs w:val="26"/>
          <w:vertAlign w:val="superscript"/>
        </w:rPr>
        <w:footnoteReference w:id="118"/>
      </w:r>
      <w:r w:rsidR="0014624C" w:rsidRPr="00EE6ED7">
        <w:rPr>
          <w:sz w:val="26"/>
          <w:szCs w:val="26"/>
        </w:rPr>
        <w:t xml:space="preserve"> </w:t>
      </w:r>
      <w:r w:rsidRPr="00EE6ED7">
        <w:rPr>
          <w:sz w:val="26"/>
          <w:szCs w:val="26"/>
        </w:rPr>
        <w:t>As noted by the editor, M. L. Katz</w:t>
      </w:r>
      <w:r w:rsidR="001B1A8B">
        <w:rPr>
          <w:sz w:val="26"/>
          <w:szCs w:val="26"/>
        </w:rPr>
        <w:t>e</w:t>
      </w:r>
      <w:r w:rsidRPr="00EE6ED7">
        <w:rPr>
          <w:sz w:val="26"/>
          <w:szCs w:val="26"/>
        </w:rPr>
        <w:t xml:space="preserve">nellenbogen, this seems to imply that </w:t>
      </w:r>
      <w:r w:rsidRPr="00EE6ED7">
        <w:rPr>
          <w:sz w:val="26"/>
          <w:szCs w:val="26"/>
          <w:rtl/>
        </w:rPr>
        <w:t>עבדים היינו</w:t>
      </w:r>
      <w:r w:rsidRPr="00EE6ED7">
        <w:rPr>
          <w:sz w:val="26"/>
          <w:szCs w:val="26"/>
        </w:rPr>
        <w:t xml:space="preserve"> is only a partial answer to </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 xml:space="preserve">So too in the closely related commentary from the </w:t>
      </w:r>
      <w:smartTag w:uri="urn:schemas-microsoft-com:office:smarttags" w:element="PlaceType">
        <w:r w:rsidRPr="00EE6ED7">
          <w:rPr>
            <w:sz w:val="26"/>
            <w:szCs w:val="26"/>
          </w:rPr>
          <w:t>school</w:t>
        </w:r>
      </w:smartTag>
      <w:r w:rsidR="00C8257A">
        <w:rPr>
          <w:sz w:val="26"/>
          <w:szCs w:val="26"/>
        </w:rPr>
        <w:t xml:space="preserve"> of R. Isaac H</w:t>
      </w:r>
      <w:r w:rsidRPr="00EE6ED7">
        <w:rPr>
          <w:sz w:val="26"/>
          <w:szCs w:val="26"/>
        </w:rPr>
        <w:t>a-Kohen:</w:t>
      </w:r>
      <w:r w:rsidR="0014624C" w:rsidRPr="00EE6ED7">
        <w:rPr>
          <w:sz w:val="26"/>
          <w:szCs w:val="26"/>
        </w:rPr>
        <w:t xml:space="preserve"> </w:t>
      </w:r>
      <w:r w:rsidRPr="00EE6ED7">
        <w:rPr>
          <w:sz w:val="26"/>
          <w:szCs w:val="26"/>
          <w:rtl/>
        </w:rPr>
        <w:t>עבדים היינו</w:t>
      </w:r>
      <w:r w:rsidR="00C8257A">
        <w:rPr>
          <w:rFonts w:hint="cs"/>
          <w:sz w:val="26"/>
          <w:szCs w:val="26"/>
          <w:rtl/>
        </w:rPr>
        <w:t xml:space="preserve"> לפרעה</w:t>
      </w:r>
      <w:r w:rsidRPr="00EE6ED7">
        <w:rPr>
          <w:sz w:val="26"/>
          <w:szCs w:val="26"/>
          <w:rtl/>
        </w:rPr>
        <w:t xml:space="preserve"> -</w:t>
      </w:r>
      <w:r w:rsidR="000A4652">
        <w:rPr>
          <w:sz w:val="26"/>
          <w:szCs w:val="26"/>
          <w:rtl/>
        </w:rPr>
        <w:t xml:space="preserve">... </w:t>
      </w:r>
      <w:r w:rsidRPr="00EE6ED7">
        <w:rPr>
          <w:sz w:val="26"/>
          <w:szCs w:val="26"/>
          <w:rtl/>
        </w:rPr>
        <w:t xml:space="preserve">וזהו תשובה למה אנו אוכלין בהיסבה </w:t>
      </w:r>
      <w:r w:rsidR="00215869">
        <w:rPr>
          <w:rFonts w:hint="cs"/>
          <w:sz w:val="26"/>
          <w:szCs w:val="26"/>
          <w:rtl/>
        </w:rPr>
        <w:t xml:space="preserve">[!] </w:t>
      </w:r>
      <w:r w:rsidRPr="00EE6ED7">
        <w:rPr>
          <w:sz w:val="26"/>
          <w:szCs w:val="26"/>
          <w:rtl/>
        </w:rPr>
        <w:t>דרך חירות</w:t>
      </w:r>
      <w:r w:rsidRPr="00EE6ED7">
        <w:rPr>
          <w:sz w:val="26"/>
          <w:szCs w:val="26"/>
        </w:rPr>
        <w:t>.</w:t>
      </w:r>
      <w:r w:rsidRPr="00EE6ED7">
        <w:rPr>
          <w:sz w:val="26"/>
          <w:szCs w:val="26"/>
          <w:vertAlign w:val="superscript"/>
        </w:rPr>
        <w:footnoteReference w:id="119"/>
      </w:r>
    </w:p>
    <w:p w:rsidR="00105DEE" w:rsidRPr="00EE6ED7" w:rsidRDefault="00105DEE" w:rsidP="00F51C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clearest dissent from the traditional view comes from R. Benjamin b. Abraham Anav, as quoted by his brother, R. Zedekiah, in </w:t>
      </w:r>
      <w:r w:rsidRPr="00EE6ED7">
        <w:rPr>
          <w:i/>
          <w:sz w:val="26"/>
          <w:szCs w:val="26"/>
        </w:rPr>
        <w:t>Shibbolei ha-Leqe</w:t>
      </w:r>
      <w:r w:rsidR="00F51CCF" w:rsidRPr="00215869">
        <w:rPr>
          <w:rFonts w:ascii="CalSemitic" w:hAnsi="CalSemitic"/>
          <w:i/>
          <w:sz w:val="28"/>
          <w:szCs w:val="26"/>
        </w:rPr>
        <w:t>T</w:t>
      </w:r>
      <w:r w:rsidRPr="00EE6ED7">
        <w:rPr>
          <w:sz w:val="26"/>
          <w:szCs w:val="26"/>
        </w:rPr>
        <w:t>:</w:t>
      </w:r>
      <w:r w:rsidRPr="00EE6ED7">
        <w:rPr>
          <w:sz w:val="26"/>
          <w:szCs w:val="26"/>
          <w:vertAlign w:val="superscript"/>
        </w:rPr>
        <w:footnoteReference w:id="120"/>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כתב אחי ר' בנימין נר"ו שאלת מה נשתנה סדורה על יסוד הפסוק והגדת לבנך</w:t>
      </w:r>
      <w:r w:rsidR="000A4652">
        <w:rPr>
          <w:sz w:val="26"/>
          <w:szCs w:val="26"/>
          <w:rtl/>
        </w:rPr>
        <w:t xml:space="preserve">... </w:t>
      </w:r>
      <w:r w:rsidRPr="00EE6ED7">
        <w:rPr>
          <w:sz w:val="26"/>
          <w:szCs w:val="26"/>
          <w:rtl/>
        </w:rPr>
        <w:t xml:space="preserve">ועוד שואל על ההסיבה הצריכה לכל אלו השאלות ועליה משיבין תחילה שאומרים </w:t>
      </w:r>
      <w:r w:rsidRPr="00EE6ED7">
        <w:rPr>
          <w:sz w:val="26"/>
          <w:szCs w:val="26"/>
          <w:u w:val="single"/>
          <w:rtl/>
        </w:rPr>
        <w:t>עבדים היינו כו' היא תשובת ההסיבה לבד</w:t>
      </w:r>
      <w:r w:rsidRPr="00EE6ED7">
        <w:rPr>
          <w:sz w:val="26"/>
          <w:szCs w:val="26"/>
          <w:rtl/>
        </w:rPr>
        <w:t xml:space="preserve">, שיצאנו מעבדות לחירות, וההסיבה היא סימן לבני חורין. ולפי שהיא זקוקה לכל השאלות משיבין עליה תחילה. </w:t>
      </w:r>
      <w:r w:rsidRPr="00EE6ED7">
        <w:rPr>
          <w:sz w:val="26"/>
          <w:szCs w:val="26"/>
          <w:u w:val="single"/>
          <w:rtl/>
        </w:rPr>
        <w:t>ותשובת השאלות האחרות בסוף ההגדה: רבן גמליאל היה אומר כל שלא אמר שלשה דברים אלו בפסח לא יצא ידי חובתו פסח מצה ומרורים. ומפרש והולך: פסח שהיו אבותינו אוכלין בזמן שבית המקדש קיים על שום מה, וכן למצה וכן למרור</w:t>
      </w:r>
      <w:r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So far as I know, R. Benjamin is the only medieval commentator to assert explicitly that the main answer to </w:t>
      </w:r>
      <w:r w:rsidRPr="00EE6ED7">
        <w:rPr>
          <w:sz w:val="26"/>
          <w:szCs w:val="26"/>
          <w:rtl/>
        </w:rPr>
        <w:t>מה נשתנה</w:t>
      </w:r>
      <w:r w:rsidRPr="00EE6ED7">
        <w:rPr>
          <w:sz w:val="26"/>
          <w:szCs w:val="26"/>
        </w:rPr>
        <w:t xml:space="preserve"> comes at the end of the Haggadah in the three explanations of Rabban Gamaliel.</w:t>
      </w:r>
      <w:r w:rsidRPr="00EE6ED7">
        <w:rPr>
          <w:sz w:val="26"/>
          <w:szCs w:val="26"/>
          <w:vertAlign w:val="superscript"/>
        </w:rPr>
        <w:footnoteReference w:id="121"/>
      </w:r>
    </w:p>
    <w:p w:rsidR="00DF6EF5" w:rsidRDefault="00DF6EF5" w:rsidP="00BE3A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DF6EF5">
        <w:rPr>
          <w:sz w:val="26"/>
          <w:szCs w:val="26"/>
        </w:rPr>
        <w:t>A rare attempt to combine these two medieval views is found in the writings of J. E. Bombach:</w:t>
      </w:r>
      <w:r w:rsidRPr="00EE6ED7">
        <w:rPr>
          <w:sz w:val="26"/>
          <w:szCs w:val="26"/>
          <w:vertAlign w:val="superscript"/>
        </w:rPr>
        <w:footnoteReference w:id="122"/>
      </w:r>
    </w:p>
    <w:p w:rsidR="00DF6EF5" w:rsidRDefault="00DF6EF5" w:rsidP="00DF6E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p>
    <w:p w:rsidR="00BE3A4E" w:rsidRPr="00EE6ED7" w:rsidRDefault="00BE3A4E" w:rsidP="00BE3A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BE3A4E">
        <w:rPr>
          <w:sz w:val="26"/>
          <w:szCs w:val="26"/>
          <w:rtl/>
        </w:rPr>
        <w:t>אלא הוא שואל כתינוק על השתנות הזמן מפני מה זמן זה משונה מן כל הזמנים והכל הו</w:t>
      </w:r>
      <w:r w:rsidR="00267AD4">
        <w:rPr>
          <w:sz w:val="26"/>
          <w:szCs w:val="26"/>
          <w:rtl/>
        </w:rPr>
        <w:t xml:space="preserve">א אינו רק שאלה אחת... </w:t>
      </w:r>
      <w:r w:rsidRPr="00BE3A4E">
        <w:rPr>
          <w:sz w:val="26"/>
          <w:szCs w:val="26"/>
          <w:rtl/>
        </w:rPr>
        <w:t>וע"ז באה לו התשובה עבדים היינו לפרעה במצרים ויוציאנו ד' משם בלילה הזה, ע"כ ציונו לעשות בלילה הזה כל החוקים האלה כי ע"מ כן העלה אותנו ממצרים. ובזה מיושב קושית המפרשים האיך יתורץ מעבדים היינו כל שאלות הבן, ולפמ"ש ניחא דשאלת הבן לא בא על הפרטים רק על הזמן וחושב השינויים שי</w:t>
      </w:r>
      <w:r w:rsidR="00267AD4">
        <w:rPr>
          <w:sz w:val="26"/>
          <w:szCs w:val="26"/>
          <w:rtl/>
        </w:rPr>
        <w:t xml:space="preserve">ש בו וע"ז שפיר בא התשובה כנ"ל. </w:t>
      </w:r>
      <w:r w:rsidRPr="00BE3A4E">
        <w:rPr>
          <w:sz w:val="26"/>
          <w:szCs w:val="26"/>
          <w:rtl/>
        </w:rPr>
        <w:t>וע"ז</w:t>
      </w:r>
      <w:r w:rsidR="00C8257A">
        <w:rPr>
          <w:sz w:val="26"/>
          <w:szCs w:val="26"/>
          <w:rtl/>
        </w:rPr>
        <w:t xml:space="preserve"> בא ר"ג ואמר דעדיין לא יצא י"ח </w:t>
      </w:r>
      <w:r w:rsidR="00C8257A">
        <w:rPr>
          <w:rFonts w:hint="cs"/>
          <w:sz w:val="26"/>
          <w:szCs w:val="26"/>
          <w:rtl/>
        </w:rPr>
        <w:t>ע</w:t>
      </w:r>
      <w:r w:rsidRPr="00BE3A4E">
        <w:rPr>
          <w:sz w:val="26"/>
          <w:szCs w:val="26"/>
          <w:rtl/>
        </w:rPr>
        <w:t>ד שיאמר טעם על כל מצוה ומצוה בפ"ע פסח ע"ש מה וכן מצה ומרור, משום שהתורה הקפידה לומר טעם מצות הללו בפה דוקא כמ"ש התוס</w:t>
      </w:r>
      <w:r>
        <w:rPr>
          <w:rFonts w:hint="cs"/>
          <w:sz w:val="26"/>
          <w:szCs w:val="26"/>
          <w:rtl/>
        </w:rPr>
        <w:t>'</w:t>
      </w:r>
      <w:r w:rsidRPr="00BE3A4E">
        <w:rPr>
          <w:sz w:val="26"/>
          <w:szCs w:val="26"/>
          <w:rtl/>
        </w:rPr>
        <w:t xml:space="preserve">. </w:t>
      </w:r>
    </w:p>
    <w:p w:rsidR="00DF6EF5" w:rsidRPr="00BE3A4E" w:rsidRDefault="00DF6EF5" w:rsidP="00BE3A4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firstLine="284"/>
        <w:jc w:val="both"/>
        <w:rPr>
          <w:sz w:val="26"/>
          <w:szCs w:val="26"/>
        </w:rPr>
      </w:pPr>
    </w:p>
    <w:p w:rsidR="00105DEE" w:rsidRPr="00EE6ED7" w:rsidRDefault="00105DEE" w:rsidP="00162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Neither the traditional view nor the view of R. Benjamin Anav is free of problems.</w:t>
      </w:r>
      <w:r w:rsidR="0014624C" w:rsidRPr="00EE6ED7">
        <w:rPr>
          <w:sz w:val="26"/>
          <w:szCs w:val="26"/>
        </w:rPr>
        <w:t xml:space="preserve"> </w:t>
      </w:r>
      <w:r w:rsidRPr="00EE6ED7">
        <w:rPr>
          <w:sz w:val="26"/>
          <w:szCs w:val="26"/>
        </w:rPr>
        <w:t xml:space="preserve">Some modern scholars argue that since </w:t>
      </w:r>
      <w:r w:rsidRPr="00EE6ED7">
        <w:rPr>
          <w:sz w:val="26"/>
          <w:szCs w:val="26"/>
          <w:rtl/>
        </w:rPr>
        <w:t>עבדים היינו</w:t>
      </w:r>
      <w:r w:rsidRPr="00EE6ED7">
        <w:rPr>
          <w:sz w:val="26"/>
          <w:szCs w:val="26"/>
        </w:rPr>
        <w:t xml:space="preserve"> is found neither in the Mishnah nor in Palestinian </w:t>
      </w:r>
      <w:r w:rsidR="00FA0543" w:rsidRPr="00EE6ED7">
        <w:rPr>
          <w:sz w:val="26"/>
          <w:szCs w:val="26"/>
        </w:rPr>
        <w:t xml:space="preserve">Haggadot </w:t>
      </w:r>
      <w:r w:rsidRPr="00EE6ED7">
        <w:rPr>
          <w:sz w:val="26"/>
          <w:szCs w:val="26"/>
        </w:rPr>
        <w:t>from the Cairo Genizah, it cannot be the original answer.</w:t>
      </w:r>
      <w:r w:rsidR="0014624C" w:rsidRPr="00EE6ED7">
        <w:rPr>
          <w:sz w:val="26"/>
          <w:szCs w:val="26"/>
        </w:rPr>
        <w:t xml:space="preserve"> </w:t>
      </w:r>
      <w:r w:rsidRPr="00EE6ED7">
        <w:rPr>
          <w:sz w:val="26"/>
          <w:szCs w:val="26"/>
        </w:rPr>
        <w:t xml:space="preserve">As for Rabban Gamaliel’s explanations, they are certainly not formulated as an answer to </w:t>
      </w:r>
      <w:r w:rsidRPr="00EE6ED7">
        <w:rPr>
          <w:sz w:val="26"/>
          <w:szCs w:val="26"/>
          <w:rtl/>
        </w:rPr>
        <w:t>מה נשתנה</w:t>
      </w:r>
      <w:r w:rsidRPr="00EE6ED7">
        <w:rPr>
          <w:sz w:val="26"/>
          <w:szCs w:val="26"/>
        </w:rPr>
        <w:t>.</w:t>
      </w:r>
      <w:r w:rsidR="0014624C" w:rsidRPr="00EE6ED7">
        <w:rPr>
          <w:sz w:val="26"/>
          <w:szCs w:val="26"/>
        </w:rPr>
        <w:t xml:space="preserve"> </w:t>
      </w:r>
      <w:r w:rsidRPr="00EE6ED7">
        <w:rPr>
          <w:sz w:val="26"/>
          <w:szCs w:val="26"/>
        </w:rPr>
        <w:t xml:space="preserve">It is true that the original version of </w:t>
      </w:r>
      <w:r w:rsidRPr="00EE6ED7">
        <w:rPr>
          <w:sz w:val="26"/>
          <w:szCs w:val="26"/>
          <w:rtl/>
        </w:rPr>
        <w:t>מה נשתנה</w:t>
      </w:r>
      <w:r w:rsidRPr="00EE6ED7">
        <w:rPr>
          <w:sz w:val="26"/>
          <w:szCs w:val="26"/>
        </w:rPr>
        <w:t xml:space="preserve"> in the Mishnah contains precisely three </w:t>
      </w:r>
      <w:r w:rsidRPr="00EE6ED7">
        <w:rPr>
          <w:sz w:val="26"/>
          <w:szCs w:val="26"/>
          <w:rtl/>
        </w:rPr>
        <w:t>ש</w:t>
      </w:r>
      <w:r w:rsidRPr="00EE6ED7">
        <w:rPr>
          <w:sz w:val="26"/>
          <w:szCs w:val="26"/>
        </w:rPr>
        <w:t xml:space="preserve">-clauses, which correspond in content (albeit not in arrangement) to Rabban Gamaliel’s three explanations of </w:t>
      </w:r>
      <w:r w:rsidRPr="00EE6ED7">
        <w:rPr>
          <w:sz w:val="26"/>
          <w:szCs w:val="26"/>
          <w:rtl/>
        </w:rPr>
        <w:t>פסח מצה ומרור</w:t>
      </w:r>
      <w:r w:rsidR="00FA0543" w:rsidRPr="00EE6ED7">
        <w:rPr>
          <w:sz w:val="26"/>
          <w:szCs w:val="26"/>
          <w:rtl/>
        </w:rPr>
        <w:t>(</w:t>
      </w:r>
      <w:r w:rsidRPr="00EE6ED7">
        <w:rPr>
          <w:sz w:val="26"/>
          <w:szCs w:val="26"/>
          <w:rtl/>
        </w:rPr>
        <w:t>ים</w:t>
      </w:r>
      <w:r w:rsidR="00FA0543" w:rsidRPr="00EE6ED7">
        <w:rPr>
          <w:sz w:val="26"/>
          <w:szCs w:val="26"/>
          <w:rtl/>
        </w:rPr>
        <w:t>)</w:t>
      </w:r>
      <w:r w:rsidRPr="00EE6ED7">
        <w:rPr>
          <w:sz w:val="26"/>
          <w:szCs w:val="26"/>
        </w:rPr>
        <w:t>,</w:t>
      </w:r>
      <w:r w:rsidRPr="00EE6ED7">
        <w:rPr>
          <w:sz w:val="26"/>
          <w:szCs w:val="26"/>
          <w:vertAlign w:val="superscript"/>
        </w:rPr>
        <w:footnoteReference w:id="123"/>
      </w:r>
      <w:r w:rsidRPr="00EE6ED7">
        <w:rPr>
          <w:sz w:val="26"/>
          <w:szCs w:val="26"/>
        </w:rPr>
        <w:t xml:space="preserve"> but those three clauses never mention </w:t>
      </w:r>
      <w:r w:rsidRPr="00EE6ED7">
        <w:rPr>
          <w:sz w:val="26"/>
          <w:szCs w:val="26"/>
          <w:rtl/>
        </w:rPr>
        <w:t>פסח</w:t>
      </w:r>
      <w:r w:rsidRPr="00EE6ED7">
        <w:rPr>
          <w:sz w:val="26"/>
          <w:szCs w:val="26"/>
        </w:rPr>
        <w:t xml:space="preserve"> or </w:t>
      </w:r>
      <w:r w:rsidRPr="00EE6ED7">
        <w:rPr>
          <w:sz w:val="26"/>
          <w:szCs w:val="26"/>
          <w:rtl/>
        </w:rPr>
        <w:t>מרור</w:t>
      </w:r>
      <w:r w:rsidRPr="00EE6ED7">
        <w:rPr>
          <w:sz w:val="26"/>
          <w:szCs w:val="26"/>
        </w:rPr>
        <w:t xml:space="preserve"> by name.</w:t>
      </w:r>
      <w:r w:rsidRPr="00EE6ED7">
        <w:rPr>
          <w:sz w:val="26"/>
          <w:szCs w:val="26"/>
          <w:vertAlign w:val="superscript"/>
        </w:rPr>
        <w:footnoteReference w:id="124"/>
      </w:r>
      <w:r w:rsidR="0014624C" w:rsidRPr="00EE6ED7">
        <w:rPr>
          <w:sz w:val="26"/>
          <w:szCs w:val="26"/>
        </w:rPr>
        <w:t xml:space="preserve"> </w:t>
      </w:r>
      <w:r w:rsidR="00FA0543" w:rsidRPr="00EE6ED7">
        <w:rPr>
          <w:sz w:val="26"/>
          <w:szCs w:val="26"/>
        </w:rPr>
        <w:t>Instead,</w:t>
      </w:r>
      <w:r w:rsidRPr="00EE6ED7">
        <w:rPr>
          <w:sz w:val="26"/>
          <w:szCs w:val="26"/>
        </w:rPr>
        <w:t xml:space="preserve"> they speak of eating roast meat and of dipping a second time.</w:t>
      </w:r>
      <w:r w:rsidR="0014624C" w:rsidRPr="00EE6ED7">
        <w:rPr>
          <w:sz w:val="26"/>
          <w:szCs w:val="26"/>
        </w:rPr>
        <w:t xml:space="preserve"> </w:t>
      </w:r>
      <w:r w:rsidRPr="00EE6ED7">
        <w:rPr>
          <w:sz w:val="26"/>
          <w:szCs w:val="26"/>
        </w:rPr>
        <w:t>In other words, Rabban Gamaliel’s explanations do not constitute an adequate answer to the original</w:t>
      </w:r>
      <w:r w:rsidRPr="00EE6ED7">
        <w:rPr>
          <w:sz w:val="26"/>
          <w:szCs w:val="26"/>
          <w:rtl/>
        </w:rPr>
        <w:t>מה נשתנה</w:t>
      </w:r>
      <w:r w:rsidRPr="00EE6ED7">
        <w:rPr>
          <w:sz w:val="26"/>
          <w:szCs w:val="26"/>
        </w:rPr>
        <w:t xml:space="preserve"> of the Mishnah, because they assume too much knowledge on the part of the questioner.</w:t>
      </w:r>
      <w:r w:rsidR="0014624C" w:rsidRPr="00EE6ED7">
        <w:rPr>
          <w:sz w:val="26"/>
          <w:szCs w:val="26"/>
        </w:rPr>
        <w:t xml:space="preserve"> </w:t>
      </w:r>
      <w:r w:rsidRPr="00EE6ED7">
        <w:rPr>
          <w:sz w:val="26"/>
          <w:szCs w:val="26"/>
        </w:rPr>
        <w:t xml:space="preserve">They do not make clear that the roasted meat is the </w:t>
      </w:r>
      <w:r w:rsidRPr="00EE6ED7">
        <w:rPr>
          <w:sz w:val="26"/>
          <w:szCs w:val="26"/>
          <w:rtl/>
        </w:rPr>
        <w:t>קרבן פסח</w:t>
      </w:r>
      <w:r w:rsidRPr="00EE6ED7">
        <w:rPr>
          <w:sz w:val="26"/>
          <w:szCs w:val="26"/>
        </w:rPr>
        <w:t xml:space="preserve"> (or a commemoration of it) and that the second dipped vegetable is </w:t>
      </w:r>
      <w:r w:rsidRPr="00EE6ED7">
        <w:rPr>
          <w:sz w:val="26"/>
          <w:szCs w:val="26"/>
          <w:rtl/>
        </w:rPr>
        <w:t>מרור</w:t>
      </w:r>
      <w:r w:rsidRPr="00EE6ED7">
        <w:rPr>
          <w:sz w:val="26"/>
          <w:szCs w:val="26"/>
        </w:rPr>
        <w:t>.</w:t>
      </w:r>
      <w:r w:rsidR="0014624C" w:rsidRPr="00EE6ED7">
        <w:rPr>
          <w:sz w:val="26"/>
          <w:szCs w:val="26"/>
        </w:rPr>
        <w:t xml:space="preserve"> </w:t>
      </w:r>
      <w:r w:rsidRPr="00EE6ED7">
        <w:rPr>
          <w:sz w:val="26"/>
          <w:szCs w:val="26"/>
        </w:rPr>
        <w:t>These are technical terms that the son for whom the Mishnah’s question is intended (</w:t>
      </w:r>
      <w:r w:rsidRPr="00EE6ED7">
        <w:rPr>
          <w:sz w:val="26"/>
          <w:szCs w:val="26"/>
          <w:rtl/>
        </w:rPr>
        <w:t>אם אין דעת בבן</w:t>
      </w:r>
      <w:r w:rsidRPr="00EE6ED7">
        <w:rPr>
          <w:sz w:val="26"/>
          <w:szCs w:val="26"/>
        </w:rPr>
        <w:t>) could not be expected to know.</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To find the original answer to </w:t>
      </w:r>
      <w:r w:rsidRPr="00EE6ED7">
        <w:rPr>
          <w:sz w:val="26"/>
          <w:szCs w:val="26"/>
          <w:rtl/>
        </w:rPr>
        <w:t>מה נשתנה</w:t>
      </w:r>
      <w:r w:rsidRPr="00EE6ED7">
        <w:rPr>
          <w:sz w:val="26"/>
          <w:szCs w:val="26"/>
        </w:rPr>
        <w:t>, we must turn to the Mishnah (in its most original extant form) and read it according to Interpretation A.</w:t>
      </w:r>
      <w:r w:rsidR="0014624C" w:rsidRPr="00EE6ED7">
        <w:rPr>
          <w:sz w:val="26"/>
          <w:szCs w:val="26"/>
        </w:rPr>
        <w:t xml:space="preserve"> </w:t>
      </w:r>
      <w:r w:rsidRPr="00EE6ED7">
        <w:rPr>
          <w:sz w:val="26"/>
          <w:szCs w:val="26"/>
        </w:rPr>
        <w:t xml:space="preserve">Close reading of the text reveals that it records two conflicting opinions concerning </w:t>
      </w:r>
      <w:r w:rsidRPr="00EE6ED7">
        <w:rPr>
          <w:sz w:val="26"/>
          <w:szCs w:val="26"/>
          <w:rtl/>
        </w:rPr>
        <w:t>מה נשתנה</w:t>
      </w:r>
      <w:r w:rsidRPr="00EE6ED7">
        <w:rPr>
          <w:sz w:val="26"/>
          <w:szCs w:val="26"/>
        </w:rPr>
        <w:t xml:space="preserve"> and its answer.</w:t>
      </w:r>
    </w:p>
    <w:p w:rsidR="00105DEE" w:rsidRPr="00EE6ED7" w:rsidRDefault="00105DEE" w:rsidP="00241C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first opinion is that, for a son with no understanding, both the question and the answer can be simplified to a great extent.</w:t>
      </w:r>
      <w:r w:rsidR="0014624C" w:rsidRPr="00EE6ED7">
        <w:rPr>
          <w:sz w:val="26"/>
          <w:szCs w:val="26"/>
        </w:rPr>
        <w:t xml:space="preserve"> </w:t>
      </w:r>
      <w:r w:rsidRPr="00EE6ED7">
        <w:rPr>
          <w:sz w:val="26"/>
          <w:szCs w:val="26"/>
        </w:rPr>
        <w:t xml:space="preserve">Neither the question nor its answer need mention </w:t>
      </w:r>
      <w:r w:rsidRPr="00EE6ED7">
        <w:rPr>
          <w:sz w:val="26"/>
          <w:szCs w:val="26"/>
          <w:rtl/>
        </w:rPr>
        <w:t>פסח</w:t>
      </w:r>
      <w:r w:rsidRPr="00EE6ED7">
        <w:rPr>
          <w:sz w:val="26"/>
          <w:szCs w:val="26"/>
        </w:rPr>
        <w:t xml:space="preserve"> or </w:t>
      </w:r>
      <w:r w:rsidRPr="00EE6ED7">
        <w:rPr>
          <w:sz w:val="26"/>
          <w:szCs w:val="26"/>
          <w:rtl/>
        </w:rPr>
        <w:t>מרור</w:t>
      </w:r>
      <w:r w:rsidRPr="00EE6ED7">
        <w:rPr>
          <w:sz w:val="26"/>
          <w:szCs w:val="26"/>
        </w:rPr>
        <w:t xml:space="preserve"> by name.</w:t>
      </w:r>
      <w:r w:rsidR="0014624C" w:rsidRPr="00EE6ED7">
        <w:rPr>
          <w:sz w:val="26"/>
          <w:szCs w:val="26"/>
        </w:rPr>
        <w:t xml:space="preserve"> </w:t>
      </w:r>
      <w:r w:rsidRPr="00EE6ED7">
        <w:rPr>
          <w:sz w:val="26"/>
          <w:szCs w:val="26"/>
        </w:rPr>
        <w:t>In the question, it is enough to speak of eating roast meat and of dipping a second time.</w:t>
      </w:r>
      <w:r w:rsidR="0014624C" w:rsidRPr="00EE6ED7">
        <w:rPr>
          <w:sz w:val="26"/>
          <w:szCs w:val="26"/>
        </w:rPr>
        <w:t xml:space="preserve"> </w:t>
      </w:r>
      <w:r w:rsidRPr="00EE6ED7">
        <w:rPr>
          <w:sz w:val="26"/>
          <w:szCs w:val="26"/>
        </w:rPr>
        <w:t>In the answer, it is enough to tell the story of this night, “beginning with the negative and ending with the positive,” using the capsule history in the declaration of the first-fruits (Deut 26:5</w:t>
      </w:r>
      <w:r w:rsidR="00241CF9">
        <w:rPr>
          <w:sz w:val="26"/>
          <w:szCs w:val="26"/>
        </w:rPr>
        <w:t xml:space="preserve"> </w:t>
      </w:r>
      <w:r w:rsidRPr="00EE6ED7">
        <w:rPr>
          <w:sz w:val="26"/>
          <w:szCs w:val="26"/>
        </w:rPr>
        <w:t>ff</w:t>
      </w:r>
      <w:r w:rsidR="00241CF9">
        <w:rPr>
          <w:sz w:val="26"/>
          <w:szCs w:val="26"/>
        </w:rPr>
        <w:t>.</w:t>
      </w:r>
      <w:r w:rsidRPr="00EE6ED7">
        <w:rPr>
          <w:sz w:val="26"/>
          <w:szCs w:val="26"/>
        </w:rPr>
        <w:t>) as a basis.</w:t>
      </w:r>
      <w:r w:rsidRPr="00EE6ED7">
        <w:rPr>
          <w:sz w:val="26"/>
          <w:szCs w:val="26"/>
          <w:vertAlign w:val="superscript"/>
        </w:rPr>
        <w:footnoteReference w:id="125"/>
      </w:r>
      <w:r w:rsidR="0014624C" w:rsidRPr="00EE6ED7">
        <w:rPr>
          <w:sz w:val="26"/>
          <w:szCs w:val="26"/>
        </w:rPr>
        <w:t xml:space="preserve"> </w:t>
      </w:r>
      <w:r w:rsidRPr="00EE6ED7">
        <w:rPr>
          <w:sz w:val="26"/>
          <w:szCs w:val="26"/>
        </w:rPr>
        <w:t xml:space="preserve">For our purposes, it does not matter whether the Mishnah considered the declaration of the first-fruits to be a sufficient answer by itself or intended for it to be accompanied by another text, such as </w:t>
      </w:r>
      <w:r w:rsidRPr="00EE6ED7">
        <w:rPr>
          <w:sz w:val="26"/>
          <w:szCs w:val="26"/>
          <w:rtl/>
        </w:rPr>
        <w:t>עבדים היינו</w:t>
      </w:r>
      <w:r w:rsidRPr="00EE6ED7">
        <w:rPr>
          <w:sz w:val="26"/>
          <w:szCs w:val="26"/>
        </w:rPr>
        <w:t>.</w:t>
      </w:r>
      <w:r w:rsidR="0014624C" w:rsidRPr="00EE6ED7">
        <w:rPr>
          <w:sz w:val="26"/>
          <w:szCs w:val="26"/>
        </w:rPr>
        <w:t xml:space="preserve"> </w:t>
      </w:r>
      <w:r w:rsidRPr="00EE6ED7">
        <w:rPr>
          <w:sz w:val="26"/>
          <w:szCs w:val="26"/>
        </w:rPr>
        <w:t xml:space="preserve">Either way it is clear that the answer need address only the underlying difference expressed by the verb </w:t>
      </w:r>
      <w:r w:rsidRPr="00EE6ED7">
        <w:rPr>
          <w:sz w:val="26"/>
          <w:szCs w:val="26"/>
          <w:rtl/>
        </w:rPr>
        <w:t>נשתנה</w:t>
      </w:r>
      <w:r w:rsidRPr="00EE6ED7">
        <w:rPr>
          <w:sz w:val="26"/>
          <w:szCs w:val="26"/>
        </w:rPr>
        <w:t xml:space="preserve"> in the first half of the question; there is no need to explain how that difference engenders the surface differences expressed by the </w:t>
      </w:r>
      <w:r w:rsidRPr="00EE6ED7">
        <w:rPr>
          <w:sz w:val="26"/>
          <w:szCs w:val="26"/>
          <w:rtl/>
        </w:rPr>
        <w:t>ש</w:t>
      </w:r>
      <w:r w:rsidRPr="00EE6ED7">
        <w:rPr>
          <w:sz w:val="26"/>
          <w:szCs w:val="26"/>
        </w:rPr>
        <w:t>-clauses in the second half.</w:t>
      </w:r>
      <w:r w:rsidR="0014624C" w:rsidRPr="00EE6ED7">
        <w:rPr>
          <w:sz w:val="26"/>
          <w:szCs w:val="26"/>
        </w:rPr>
        <w:t xml:space="preserve"> </w:t>
      </w:r>
      <w:r w:rsidRPr="00EE6ED7">
        <w:rPr>
          <w:sz w:val="26"/>
          <w:szCs w:val="26"/>
        </w:rPr>
        <w:t xml:space="preserve">In short, </w:t>
      </w:r>
      <w:r w:rsidRPr="00EE6ED7">
        <w:rPr>
          <w:sz w:val="26"/>
          <w:szCs w:val="26"/>
          <w:rtl/>
        </w:rPr>
        <w:t>מה נשתנה</w:t>
      </w:r>
      <w:r w:rsidRPr="00EE6ED7">
        <w:rPr>
          <w:sz w:val="26"/>
          <w:szCs w:val="26"/>
        </w:rPr>
        <w:t xml:space="preserve"> can be answered simply by relating what happened on this night and explaining why it is important to us.</w:t>
      </w:r>
      <w:r w:rsidR="0014624C" w:rsidRPr="00EE6ED7">
        <w:rPr>
          <w:sz w:val="26"/>
          <w:szCs w:val="26"/>
        </w:rPr>
        <w:t xml:space="preserve"> </w:t>
      </w:r>
      <w:r w:rsidRPr="00EE6ED7">
        <w:rPr>
          <w:sz w:val="26"/>
          <w:szCs w:val="26"/>
        </w:rPr>
        <w:t>In answering a son who knows nothing, it is not necessary to go further, according to the first opinion in the Mishnah.</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 second opinion is that of Rabban Gamaliel.</w:t>
      </w:r>
      <w:r w:rsidR="0014624C" w:rsidRPr="00EE6ED7">
        <w:rPr>
          <w:sz w:val="26"/>
          <w:szCs w:val="26"/>
        </w:rPr>
        <w:t xml:space="preserve"> </w:t>
      </w:r>
      <w:r w:rsidR="001B1A8B">
        <w:rPr>
          <w:sz w:val="26"/>
          <w:szCs w:val="26"/>
        </w:rPr>
        <w:t>Although in our editions, this</w:t>
      </w:r>
      <w:r w:rsidRPr="00EE6ED7">
        <w:rPr>
          <w:sz w:val="26"/>
          <w:szCs w:val="26"/>
        </w:rPr>
        <w:t xml:space="preserve"> opinion is introduced by the words </w:t>
      </w:r>
      <w:r w:rsidRPr="00EE6ED7">
        <w:rPr>
          <w:sz w:val="26"/>
          <w:szCs w:val="26"/>
          <w:rtl/>
        </w:rPr>
        <w:t>רבן גמליאל היה אומר</w:t>
      </w:r>
      <w:r w:rsidRPr="00EE6ED7">
        <w:rPr>
          <w:sz w:val="26"/>
          <w:szCs w:val="26"/>
        </w:rPr>
        <w:t xml:space="preserve">, the word </w:t>
      </w:r>
      <w:r w:rsidRPr="00EE6ED7">
        <w:rPr>
          <w:sz w:val="26"/>
          <w:szCs w:val="26"/>
          <w:rtl/>
        </w:rPr>
        <w:t>היה</w:t>
      </w:r>
      <w:r w:rsidRPr="00EE6ED7">
        <w:rPr>
          <w:sz w:val="26"/>
          <w:szCs w:val="26"/>
        </w:rPr>
        <w:t xml:space="preserve"> is missing in most manuscripts of the Mishnah and Talmud (and even in many manuscripts of the Haggadah) and appears to be a later addition.</w:t>
      </w:r>
      <w:bookmarkStart w:id="14" w:name="_Ref200358982"/>
      <w:r w:rsidRPr="00EE6ED7">
        <w:rPr>
          <w:sz w:val="26"/>
          <w:szCs w:val="26"/>
          <w:vertAlign w:val="superscript"/>
        </w:rPr>
        <w:footnoteReference w:id="126"/>
      </w:r>
      <w:bookmarkEnd w:id="14"/>
      <w:r w:rsidR="0014624C" w:rsidRPr="00EE6ED7">
        <w:rPr>
          <w:sz w:val="26"/>
          <w:szCs w:val="26"/>
        </w:rPr>
        <w:t xml:space="preserve"> </w:t>
      </w:r>
      <w:r w:rsidRPr="00EE6ED7">
        <w:rPr>
          <w:sz w:val="26"/>
          <w:szCs w:val="26"/>
        </w:rPr>
        <w:t xml:space="preserve">That addition had the effect of disguising the connection between Rabban Gamaliel’s ruling and the preceding </w:t>
      </w:r>
      <w:r w:rsidRPr="00EE6ED7">
        <w:rPr>
          <w:i/>
          <w:iCs/>
          <w:sz w:val="26"/>
          <w:szCs w:val="26"/>
        </w:rPr>
        <w:t>mishnah</w:t>
      </w:r>
      <w:r w:rsidRPr="00EE6ED7">
        <w:rPr>
          <w:sz w:val="26"/>
          <w:szCs w:val="26"/>
        </w:rPr>
        <w:t>.</w:t>
      </w:r>
      <w:r w:rsidR="0014624C" w:rsidRPr="00EE6ED7">
        <w:rPr>
          <w:sz w:val="26"/>
          <w:szCs w:val="26"/>
        </w:rPr>
        <w:t xml:space="preserve"> </w:t>
      </w:r>
      <w:r w:rsidRPr="00EE6ED7">
        <w:rPr>
          <w:sz w:val="26"/>
          <w:szCs w:val="26"/>
        </w:rPr>
        <w:t xml:space="preserve">The original introduction, </w:t>
      </w:r>
      <w:r w:rsidRPr="00EE6ED7">
        <w:rPr>
          <w:sz w:val="26"/>
          <w:szCs w:val="26"/>
          <w:rtl/>
        </w:rPr>
        <w:t>רבן גמליאל אומר</w:t>
      </w:r>
      <w:r w:rsidRPr="00EE6ED7">
        <w:rPr>
          <w:sz w:val="26"/>
          <w:szCs w:val="26"/>
        </w:rPr>
        <w:t xml:space="preserve"> (as opposed to, say, </w:t>
      </w:r>
      <w:r w:rsidRPr="00EE6ED7">
        <w:rPr>
          <w:sz w:val="26"/>
          <w:szCs w:val="26"/>
          <w:rtl/>
        </w:rPr>
        <w:t>אמר רבן גמליאל</w:t>
      </w:r>
      <w:r w:rsidRPr="00EE6ED7">
        <w:rPr>
          <w:sz w:val="26"/>
          <w:szCs w:val="26"/>
        </w:rPr>
        <w:t xml:space="preserve">), exhibits word order that signals contrast; in other words, Rabban Gamaliel disagrees with the previous </w:t>
      </w:r>
      <w:r w:rsidRPr="00EE6ED7">
        <w:rPr>
          <w:i/>
          <w:sz w:val="26"/>
          <w:szCs w:val="26"/>
        </w:rPr>
        <w:t>mishnah</w:t>
      </w:r>
      <w:r w:rsidRPr="00EE6ED7">
        <w:rPr>
          <w:sz w:val="26"/>
          <w:szCs w:val="26"/>
        </w:rPr>
        <w:t>.</w:t>
      </w:r>
      <w:r w:rsidRPr="00EE6ED7">
        <w:rPr>
          <w:sz w:val="26"/>
          <w:szCs w:val="26"/>
          <w:vertAlign w:val="superscript"/>
        </w:rPr>
        <w:footnoteReference w:id="127"/>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I suggest that the disagreement concerns the sentence</w:t>
      </w:r>
      <w:r w:rsidRPr="00EE6ED7">
        <w:rPr>
          <w:sz w:val="26"/>
          <w:szCs w:val="26"/>
          <w:rtl/>
        </w:rPr>
        <w:t>לפי דעתו שלבן אביו מלמדו</w:t>
      </w:r>
      <w:r w:rsidRPr="00EE6ED7">
        <w:rPr>
          <w:sz w:val="26"/>
          <w:szCs w:val="26"/>
        </w:rPr>
        <w:t>.</w:t>
      </w:r>
      <w:r w:rsidR="0014624C" w:rsidRPr="00EE6ED7">
        <w:rPr>
          <w:sz w:val="26"/>
          <w:szCs w:val="26"/>
        </w:rPr>
        <w:t xml:space="preserve"> </w:t>
      </w:r>
      <w:r w:rsidRPr="00EE6ED7">
        <w:rPr>
          <w:sz w:val="26"/>
          <w:szCs w:val="26"/>
        </w:rPr>
        <w:t xml:space="preserve">At first glance, one wonders what that sentence adds, coming so soon after </w:t>
      </w:r>
      <w:r w:rsidRPr="00EE6ED7">
        <w:rPr>
          <w:sz w:val="26"/>
          <w:szCs w:val="26"/>
          <w:rtl/>
        </w:rPr>
        <w:t>אם אין דעת בבן אביו מלמדו</w:t>
      </w:r>
      <w:r w:rsidRPr="00EE6ED7">
        <w:rPr>
          <w:sz w:val="26"/>
          <w:szCs w:val="26"/>
        </w:rPr>
        <w:t>.</w:t>
      </w:r>
      <w:r w:rsidR="0014624C" w:rsidRPr="00EE6ED7">
        <w:rPr>
          <w:sz w:val="26"/>
          <w:szCs w:val="26"/>
        </w:rPr>
        <w:t xml:space="preserve"> </w:t>
      </w:r>
      <w:r w:rsidRPr="00EE6ED7">
        <w:rPr>
          <w:sz w:val="26"/>
          <w:szCs w:val="26"/>
        </w:rPr>
        <w:t>However, upon closer examination, it becomes clear that it is the key to understanding the entire passage.</w:t>
      </w:r>
      <w:r w:rsidR="0014624C" w:rsidRPr="00EE6ED7">
        <w:rPr>
          <w:sz w:val="26"/>
          <w:szCs w:val="26"/>
        </w:rPr>
        <w:t xml:space="preserve"> </w:t>
      </w:r>
      <w:r w:rsidRPr="00EE6ED7">
        <w:rPr>
          <w:sz w:val="26"/>
          <w:szCs w:val="26"/>
        </w:rPr>
        <w:t>The subject of the passage is the extent to which a son with no understanding can be accommodated.</w:t>
      </w:r>
    </w:p>
    <w:p w:rsidR="00105DEE" w:rsidRPr="00EE6ED7" w:rsidRDefault="00105DEE" w:rsidP="001628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Rabban Gamaliel does not completely reject the principle of</w:t>
      </w:r>
      <w:r w:rsidRPr="00EE6ED7">
        <w:rPr>
          <w:sz w:val="26"/>
          <w:szCs w:val="26"/>
          <w:rtl/>
        </w:rPr>
        <w:t>לפי דעתו שלבן אביו מלמדו</w:t>
      </w:r>
      <w:r w:rsidRPr="00EE6ED7">
        <w:rPr>
          <w:sz w:val="26"/>
          <w:szCs w:val="26"/>
        </w:rPr>
        <w:t>, but he does restrict its application.</w:t>
      </w:r>
      <w:r w:rsidR="0014624C" w:rsidRPr="00EE6ED7">
        <w:rPr>
          <w:sz w:val="26"/>
          <w:szCs w:val="26"/>
        </w:rPr>
        <w:t xml:space="preserve"> </w:t>
      </w:r>
      <w:r w:rsidRPr="00EE6ED7">
        <w:rPr>
          <w:sz w:val="26"/>
          <w:szCs w:val="26"/>
        </w:rPr>
        <w:t xml:space="preserve">He maintains that the previous </w:t>
      </w:r>
      <w:r w:rsidRPr="00EE6ED7">
        <w:rPr>
          <w:i/>
          <w:sz w:val="26"/>
          <w:szCs w:val="26"/>
        </w:rPr>
        <w:t>mishnah</w:t>
      </w:r>
      <w:r w:rsidRPr="00EE6ED7">
        <w:rPr>
          <w:sz w:val="26"/>
          <w:szCs w:val="26"/>
        </w:rPr>
        <w:t xml:space="preserve"> carries the principle too far.</w:t>
      </w:r>
      <w:r w:rsidR="0014624C" w:rsidRPr="00EE6ED7">
        <w:rPr>
          <w:sz w:val="26"/>
          <w:szCs w:val="26"/>
        </w:rPr>
        <w:t xml:space="preserve"> </w:t>
      </w:r>
      <w:r w:rsidRPr="00EE6ED7">
        <w:rPr>
          <w:sz w:val="26"/>
          <w:szCs w:val="26"/>
        </w:rPr>
        <w:t xml:space="preserve">In his view, there is a limit to the amount of simplification that is possible, because the central theme of the </w:t>
      </w:r>
      <w:r w:rsidR="007F603E" w:rsidRPr="00EE6ED7">
        <w:rPr>
          <w:iCs/>
          <w:sz w:val="26"/>
          <w:szCs w:val="26"/>
        </w:rPr>
        <w:t>Seder</w:t>
      </w:r>
      <w:r w:rsidR="007F603E" w:rsidRPr="00EE6ED7">
        <w:rPr>
          <w:sz w:val="26"/>
          <w:szCs w:val="26"/>
        </w:rPr>
        <w:t xml:space="preserve"> </w:t>
      </w:r>
      <w:r w:rsidRPr="00EE6ED7">
        <w:rPr>
          <w:sz w:val="26"/>
          <w:szCs w:val="26"/>
        </w:rPr>
        <w:t xml:space="preserve">night is not the story of the </w:t>
      </w:r>
      <w:r w:rsidR="007F603E" w:rsidRPr="00EE6ED7">
        <w:rPr>
          <w:sz w:val="26"/>
          <w:szCs w:val="26"/>
        </w:rPr>
        <w:t xml:space="preserve">Exodus </w:t>
      </w:r>
      <w:r w:rsidRPr="00EE6ED7">
        <w:rPr>
          <w:sz w:val="26"/>
          <w:szCs w:val="26"/>
        </w:rPr>
        <w:t>but the laws of Passover.</w:t>
      </w:r>
      <w:r w:rsidR="0014624C" w:rsidRPr="00EE6ED7">
        <w:rPr>
          <w:sz w:val="26"/>
          <w:szCs w:val="26"/>
        </w:rPr>
        <w:t xml:space="preserve"> </w:t>
      </w:r>
      <w:r w:rsidRPr="00EE6ED7">
        <w:rPr>
          <w:sz w:val="26"/>
          <w:szCs w:val="26"/>
        </w:rPr>
        <w:t xml:space="preserve">His version of </w:t>
      </w:r>
      <w:r w:rsidRPr="00EE6ED7">
        <w:rPr>
          <w:sz w:val="26"/>
          <w:szCs w:val="26"/>
          <w:rtl/>
        </w:rPr>
        <w:t>מה נשתנה</w:t>
      </w:r>
      <w:r w:rsidRPr="00EE6ED7">
        <w:rPr>
          <w:sz w:val="26"/>
          <w:szCs w:val="26"/>
        </w:rPr>
        <w:t>, if indeed he required such a question,</w:t>
      </w:r>
      <w:r w:rsidRPr="00EE6ED7">
        <w:rPr>
          <w:sz w:val="26"/>
          <w:szCs w:val="26"/>
          <w:vertAlign w:val="superscript"/>
        </w:rPr>
        <w:footnoteReference w:id="128"/>
      </w:r>
      <w:r w:rsidRPr="00EE6ED7">
        <w:rPr>
          <w:sz w:val="26"/>
          <w:szCs w:val="26"/>
        </w:rPr>
        <w:t xml:space="preserve"> would presumably have mentioned the </w:t>
      </w:r>
      <w:r w:rsidRPr="00EE6ED7">
        <w:rPr>
          <w:sz w:val="26"/>
          <w:szCs w:val="26"/>
          <w:rtl/>
        </w:rPr>
        <w:t>פסח</w:t>
      </w:r>
      <w:r w:rsidRPr="00EE6ED7">
        <w:rPr>
          <w:sz w:val="26"/>
          <w:szCs w:val="26"/>
        </w:rPr>
        <w:t xml:space="preserve"> and the </w:t>
      </w:r>
      <w:r w:rsidRPr="00EE6ED7">
        <w:rPr>
          <w:sz w:val="26"/>
          <w:szCs w:val="26"/>
          <w:rtl/>
        </w:rPr>
        <w:t>מרור</w:t>
      </w:r>
      <w:r w:rsidRPr="00EE6ED7">
        <w:rPr>
          <w:sz w:val="26"/>
          <w:szCs w:val="26"/>
        </w:rPr>
        <w:t xml:space="preserve"> by name in the </w:t>
      </w:r>
      <w:r w:rsidRPr="00EE6ED7">
        <w:rPr>
          <w:sz w:val="26"/>
          <w:szCs w:val="26"/>
          <w:rtl/>
        </w:rPr>
        <w:t>ש</w:t>
      </w:r>
      <w:r w:rsidRPr="00EE6ED7">
        <w:rPr>
          <w:sz w:val="26"/>
          <w:szCs w:val="26"/>
        </w:rPr>
        <w:t>-clauses.</w:t>
      </w:r>
      <w:r w:rsidRPr="00EE6ED7">
        <w:rPr>
          <w:sz w:val="26"/>
          <w:szCs w:val="26"/>
          <w:vertAlign w:val="superscript"/>
        </w:rPr>
        <w:footnoteReference w:id="129"/>
      </w:r>
      <w:r w:rsidR="0014624C" w:rsidRPr="00EE6ED7">
        <w:rPr>
          <w:sz w:val="26"/>
          <w:szCs w:val="26"/>
        </w:rPr>
        <w:t xml:space="preserve"> </w:t>
      </w:r>
      <w:r w:rsidRPr="00EE6ED7">
        <w:rPr>
          <w:sz w:val="26"/>
          <w:szCs w:val="26"/>
        </w:rPr>
        <w:t>The explanations that come after his ruling in the Mishnah, whether they were composed by him or not,</w:t>
      </w:r>
      <w:r w:rsidRPr="00EE6ED7">
        <w:rPr>
          <w:sz w:val="26"/>
          <w:szCs w:val="26"/>
          <w:vertAlign w:val="superscript"/>
        </w:rPr>
        <w:footnoteReference w:id="130"/>
      </w:r>
      <w:r w:rsidRPr="00EE6ED7">
        <w:rPr>
          <w:sz w:val="26"/>
          <w:szCs w:val="26"/>
        </w:rPr>
        <w:t xml:space="preserve"> address the </w:t>
      </w:r>
      <w:r w:rsidRPr="00EE6ED7">
        <w:rPr>
          <w:sz w:val="26"/>
          <w:szCs w:val="26"/>
          <w:rtl/>
        </w:rPr>
        <w:t>ש</w:t>
      </w:r>
      <w:r w:rsidRPr="00EE6ED7">
        <w:rPr>
          <w:sz w:val="26"/>
          <w:szCs w:val="26"/>
        </w:rPr>
        <w:t xml:space="preserve">-clauses as well as the </w:t>
      </w:r>
      <w:r w:rsidRPr="00EE6ED7">
        <w:rPr>
          <w:sz w:val="26"/>
          <w:szCs w:val="26"/>
          <w:rtl/>
        </w:rPr>
        <w:t>מה</w:t>
      </w:r>
      <w:r w:rsidRPr="00EE6ED7">
        <w:rPr>
          <w:sz w:val="26"/>
          <w:szCs w:val="26"/>
        </w:rPr>
        <w:t>-clause.</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Safrai </w:t>
      </w:r>
      <w:r w:rsidR="0022741D">
        <w:rPr>
          <w:sz w:val="26"/>
          <w:szCs w:val="26"/>
        </w:rPr>
        <w:t>and</w:t>
      </w:r>
      <w:r w:rsidRPr="00EE6ED7">
        <w:rPr>
          <w:sz w:val="26"/>
          <w:szCs w:val="26"/>
        </w:rPr>
        <w:t xml:space="preserve"> Safrai suggest that Rabban Gamaliel’s ruling in the Mishnah is related to the account of his practice in the Tosefta (Pes </w:t>
      </w:r>
      <w:smartTag w:uri="urn:schemas-microsoft-com:office:smarttags" w:element="time">
        <w:smartTagPr>
          <w:attr w:name="Minute" w:val="12"/>
          <w:attr w:name="Hour" w:val="10"/>
        </w:smartTagPr>
        <w:r w:rsidRPr="00EE6ED7">
          <w:rPr>
            <w:sz w:val="26"/>
            <w:szCs w:val="26"/>
          </w:rPr>
          <w:t>10:12</w:t>
        </w:r>
      </w:smartTag>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267AD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מעשה ברבן גמליאל וזקנים שהיו מסובין בבית ביתוס בן זונין בלוד והיו עסוקין בהלכות הפסח כל הלילה עד קרות הגבר</w:t>
      </w:r>
      <w:r w:rsidR="000A4652">
        <w:rPr>
          <w:sz w:val="26"/>
          <w:szCs w:val="26"/>
          <w:rtl/>
        </w:rPr>
        <w:t>...</w:t>
      </w:r>
      <w:r w:rsidRPr="00EE6ED7">
        <w:rPr>
          <w:sz w:val="26"/>
          <w:szCs w:val="26"/>
          <w:rtl/>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E574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They note that Rabban Gamaliel and his companions were immersed in </w:t>
      </w:r>
      <w:r w:rsidR="00E574B4">
        <w:rPr>
          <w:sz w:val="26"/>
          <w:szCs w:val="26"/>
        </w:rPr>
        <w:t>h</w:t>
      </w:r>
      <w:r w:rsidR="008D2CB7">
        <w:rPr>
          <w:sz w:val="26"/>
          <w:szCs w:val="26"/>
        </w:rPr>
        <w:t xml:space="preserve">alakhah </w:t>
      </w:r>
      <w:r w:rsidRPr="00EE6ED7">
        <w:rPr>
          <w:sz w:val="26"/>
          <w:szCs w:val="26"/>
        </w:rPr>
        <w:t>the entire night of Passover (</w:t>
      </w:r>
      <w:r w:rsidRPr="00EE6ED7">
        <w:rPr>
          <w:sz w:val="26"/>
          <w:szCs w:val="26"/>
          <w:rtl/>
        </w:rPr>
        <w:t>היו עסוקין בהלכות הפסח כל</w:t>
      </w:r>
      <w:r w:rsidR="008D2CB7">
        <w:rPr>
          <w:sz w:val="26"/>
          <w:szCs w:val="26"/>
        </w:rPr>
        <w:br/>
      </w:r>
      <w:r w:rsidRPr="00EE6ED7">
        <w:rPr>
          <w:sz w:val="26"/>
          <w:szCs w:val="26"/>
          <w:rtl/>
        </w:rPr>
        <w:t>הלילה</w:t>
      </w:r>
      <w:r w:rsidRPr="00EE6ED7">
        <w:rPr>
          <w:sz w:val="26"/>
          <w:szCs w:val="26"/>
        </w:rPr>
        <w:t>), as opposed to the Sages in the Haggadah, whose nocturnal discussions were aggadic in nature (</w:t>
      </w:r>
      <w:r w:rsidRPr="00EE6ED7">
        <w:rPr>
          <w:sz w:val="26"/>
          <w:szCs w:val="26"/>
          <w:rtl/>
        </w:rPr>
        <w:t>היו מספרים ביציאת מצרים כל אותו</w:t>
      </w:r>
      <w:r w:rsidR="008D2CB7">
        <w:rPr>
          <w:sz w:val="26"/>
          <w:szCs w:val="26"/>
        </w:rPr>
        <w:br/>
      </w:r>
      <w:r w:rsidRPr="00EE6ED7">
        <w:rPr>
          <w:sz w:val="26"/>
          <w:szCs w:val="26"/>
          <w:rtl/>
        </w:rPr>
        <w:t>הלילה</w:t>
      </w:r>
      <w:r w:rsidRPr="00EE6ED7">
        <w:rPr>
          <w:sz w:val="26"/>
          <w:szCs w:val="26"/>
        </w:rPr>
        <w:t>).</w:t>
      </w:r>
      <w:r w:rsidR="0014624C" w:rsidRPr="00EE6ED7">
        <w:rPr>
          <w:sz w:val="26"/>
          <w:szCs w:val="26"/>
        </w:rPr>
        <w:t xml:space="preserve"> </w:t>
      </w:r>
      <w:r w:rsidRPr="00EE6ED7">
        <w:rPr>
          <w:sz w:val="26"/>
          <w:szCs w:val="26"/>
        </w:rPr>
        <w:t>They conclude that in this matter as in others (e.g., selection of disciples)</w:t>
      </w:r>
      <w:r w:rsidRPr="00EE6ED7">
        <w:rPr>
          <w:sz w:val="26"/>
          <w:szCs w:val="26"/>
          <w:rtl/>
        </w:rPr>
        <w:t>,</w:t>
      </w:r>
      <w:r w:rsidRPr="00EE6ED7">
        <w:rPr>
          <w:sz w:val="26"/>
          <w:szCs w:val="26"/>
        </w:rPr>
        <w:t xml:space="preserve"> Rabban Gamaliel was more of an elitist than the other Sages.</w:t>
      </w:r>
      <w:r w:rsidRPr="00EE6ED7">
        <w:rPr>
          <w:sz w:val="26"/>
          <w:szCs w:val="26"/>
          <w:vertAlign w:val="superscript"/>
        </w:rPr>
        <w:footnoteReference w:id="131"/>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There are two problems with this discussion.</w:t>
      </w:r>
      <w:r w:rsidR="0014624C" w:rsidRPr="00EE6ED7">
        <w:rPr>
          <w:sz w:val="26"/>
          <w:szCs w:val="26"/>
        </w:rPr>
        <w:t xml:space="preserve"> </w:t>
      </w:r>
      <w:r w:rsidRPr="00EE6ED7">
        <w:rPr>
          <w:sz w:val="26"/>
          <w:szCs w:val="26"/>
        </w:rPr>
        <w:t xml:space="preserve">First, the authors themselves go on to cite tannaitic statements suggesting that Rabban Gamaliel’s </w:t>
      </w:r>
      <w:r w:rsidR="005E3B35" w:rsidRPr="00EE6ED7">
        <w:rPr>
          <w:sz w:val="26"/>
          <w:szCs w:val="26"/>
        </w:rPr>
        <w:t xml:space="preserve">Seder </w:t>
      </w:r>
      <w:r w:rsidRPr="00EE6ED7">
        <w:rPr>
          <w:sz w:val="26"/>
          <w:szCs w:val="26"/>
        </w:rPr>
        <w:t>practice was by no means unusual in Rabbinic circles:</w:t>
      </w:r>
      <w:r w:rsidRPr="00EE6ED7">
        <w:rPr>
          <w:sz w:val="26"/>
          <w:szCs w:val="26"/>
          <w:vertAlign w:val="superscript"/>
        </w:rPr>
        <w:footnoteReference w:id="132"/>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r w:rsidRPr="00EE6ED7">
        <w:rPr>
          <w:sz w:val="26"/>
          <w:szCs w:val="26"/>
          <w:rtl/>
        </w:rPr>
        <w:t>חייב אדם לעסוק בהלכות הפסח כל הלילה אפלו בינו לבין בנו אפלו בינו לבין עצמו אפלו בינו לבין תלמידו</w:t>
      </w:r>
      <w:r w:rsidR="008D2CB7">
        <w:rPr>
          <w:rFonts w:hint="cs"/>
          <w:sz w:val="26"/>
          <w:szCs w:val="26"/>
          <w:rtl/>
        </w:rPr>
        <w:t xml:space="preserve"> (תוספתא פסחים י, יא)</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tl/>
        </w:rPr>
      </w:pPr>
    </w:p>
    <w:p w:rsidR="00105DEE" w:rsidRPr="00EE6ED7" w:rsidRDefault="00105DEE" w:rsidP="00362A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ר' אליע</w:t>
      </w:r>
      <w:r w:rsidR="003350CD">
        <w:rPr>
          <w:rFonts w:hint="cs"/>
          <w:sz w:val="26"/>
          <w:szCs w:val="26"/>
          <w:rtl/>
        </w:rPr>
        <w:t>'</w:t>
      </w:r>
      <w:r w:rsidRPr="00EE6ED7">
        <w:rPr>
          <w:sz w:val="26"/>
          <w:szCs w:val="26"/>
          <w:rtl/>
        </w:rPr>
        <w:t xml:space="preserve"> או</w:t>
      </w:r>
      <w:r w:rsidR="003350CD">
        <w:rPr>
          <w:rFonts w:hint="cs"/>
          <w:sz w:val="26"/>
          <w:szCs w:val="26"/>
          <w:rtl/>
        </w:rPr>
        <w:t>'</w:t>
      </w:r>
      <w:r w:rsidRPr="00EE6ED7">
        <w:rPr>
          <w:sz w:val="26"/>
          <w:szCs w:val="26"/>
          <w:rtl/>
        </w:rPr>
        <w:t xml:space="preserve"> מנין את</w:t>
      </w:r>
      <w:r w:rsidR="003350CD">
        <w:rPr>
          <w:rFonts w:hint="cs"/>
          <w:sz w:val="26"/>
          <w:szCs w:val="26"/>
          <w:rtl/>
        </w:rPr>
        <w:t>'</w:t>
      </w:r>
      <w:r w:rsidRPr="00EE6ED7">
        <w:rPr>
          <w:sz w:val="26"/>
          <w:szCs w:val="26"/>
          <w:rtl/>
        </w:rPr>
        <w:t xml:space="preserve"> או</w:t>
      </w:r>
      <w:r w:rsidR="003350CD">
        <w:rPr>
          <w:rFonts w:hint="cs"/>
          <w:sz w:val="26"/>
          <w:szCs w:val="26"/>
          <w:rtl/>
        </w:rPr>
        <w:t>מ'</w:t>
      </w:r>
      <w:r w:rsidRPr="00EE6ED7">
        <w:rPr>
          <w:sz w:val="26"/>
          <w:szCs w:val="26"/>
          <w:rtl/>
        </w:rPr>
        <w:t xml:space="preserve"> שאם היתה חבורה של חכמ</w:t>
      </w:r>
      <w:r w:rsidR="003350CD">
        <w:rPr>
          <w:rFonts w:hint="cs"/>
          <w:sz w:val="26"/>
          <w:szCs w:val="26"/>
          <w:rtl/>
        </w:rPr>
        <w:t>'</w:t>
      </w:r>
      <w:r w:rsidRPr="00EE6ED7">
        <w:rPr>
          <w:sz w:val="26"/>
          <w:szCs w:val="26"/>
          <w:rtl/>
        </w:rPr>
        <w:t xml:space="preserve"> או של תלמי</w:t>
      </w:r>
      <w:r w:rsidR="003350CD">
        <w:rPr>
          <w:rFonts w:hint="cs"/>
          <w:sz w:val="26"/>
          <w:szCs w:val="26"/>
          <w:rtl/>
        </w:rPr>
        <w:t>'</w:t>
      </w:r>
      <w:r w:rsidRPr="00EE6ED7">
        <w:rPr>
          <w:sz w:val="26"/>
          <w:szCs w:val="26"/>
          <w:rtl/>
        </w:rPr>
        <w:t xml:space="preserve"> </w:t>
      </w:r>
      <w:r w:rsidR="003350CD">
        <w:rPr>
          <w:rFonts w:hint="cs"/>
          <w:sz w:val="26"/>
          <w:szCs w:val="26"/>
          <w:rtl/>
        </w:rPr>
        <w:t xml:space="preserve">חכמ' </w:t>
      </w:r>
      <w:r w:rsidRPr="00EE6ED7">
        <w:rPr>
          <w:sz w:val="26"/>
          <w:szCs w:val="26"/>
          <w:rtl/>
        </w:rPr>
        <w:t>צריכי</w:t>
      </w:r>
      <w:r w:rsidR="003350CD">
        <w:rPr>
          <w:rFonts w:hint="cs"/>
          <w:sz w:val="26"/>
          <w:szCs w:val="26"/>
          <w:rtl/>
        </w:rPr>
        <w:t>ן</w:t>
      </w:r>
      <w:r w:rsidRPr="00EE6ED7">
        <w:rPr>
          <w:sz w:val="26"/>
          <w:szCs w:val="26"/>
          <w:rtl/>
        </w:rPr>
        <w:t xml:space="preserve"> </w:t>
      </w:r>
      <w:r w:rsidR="003350CD">
        <w:rPr>
          <w:rFonts w:hint="cs"/>
          <w:sz w:val="26"/>
          <w:szCs w:val="26"/>
          <w:rtl/>
        </w:rPr>
        <w:t xml:space="preserve">להיות יושבין ועוסקין </w:t>
      </w:r>
      <w:r w:rsidRPr="00EE6ED7">
        <w:rPr>
          <w:sz w:val="26"/>
          <w:szCs w:val="26"/>
          <w:rtl/>
        </w:rPr>
        <w:t xml:space="preserve">בהלכות </w:t>
      </w:r>
      <w:r w:rsidR="003350CD">
        <w:rPr>
          <w:rFonts w:hint="cs"/>
          <w:sz w:val="26"/>
          <w:szCs w:val="26"/>
          <w:rtl/>
        </w:rPr>
        <w:t>ה</w:t>
      </w:r>
      <w:r w:rsidRPr="00EE6ED7">
        <w:rPr>
          <w:sz w:val="26"/>
          <w:szCs w:val="26"/>
          <w:rtl/>
        </w:rPr>
        <w:t xml:space="preserve">פסח עד חצות לכך </w:t>
      </w:r>
      <w:r w:rsidR="003350CD">
        <w:rPr>
          <w:rFonts w:hint="cs"/>
          <w:sz w:val="26"/>
          <w:szCs w:val="26"/>
          <w:rtl/>
        </w:rPr>
        <w:t>נא'</w:t>
      </w:r>
      <w:r w:rsidRPr="00EE6ED7">
        <w:rPr>
          <w:sz w:val="26"/>
          <w:szCs w:val="26"/>
          <w:rtl/>
        </w:rPr>
        <w:t xml:space="preserve"> מה העדות </w:t>
      </w:r>
      <w:r w:rsidR="003350CD">
        <w:rPr>
          <w:rFonts w:hint="cs"/>
          <w:sz w:val="26"/>
          <w:szCs w:val="26"/>
          <w:rtl/>
        </w:rPr>
        <w:t xml:space="preserve">והחקי' </w:t>
      </w:r>
      <w:r w:rsidRPr="00EE6ED7">
        <w:rPr>
          <w:sz w:val="26"/>
          <w:szCs w:val="26"/>
          <w:rtl/>
        </w:rPr>
        <w:t>וגו'</w:t>
      </w:r>
      <w:r w:rsidR="000D69A8">
        <w:rPr>
          <w:rFonts w:hint="cs"/>
          <w:sz w:val="26"/>
          <w:szCs w:val="26"/>
          <w:rtl/>
        </w:rPr>
        <w:t xml:space="preserve"> (מכילתא בא, פסחא, יח</w:t>
      </w:r>
      <w:r w:rsidR="00E41BE8">
        <w:rPr>
          <w:rFonts w:hint="cs"/>
          <w:sz w:val="26"/>
          <w:szCs w:val="26"/>
          <w:rtl/>
        </w:rPr>
        <w:t>, מהדורת</w:t>
      </w:r>
      <w:r w:rsidR="00C76B6A">
        <w:rPr>
          <w:rFonts w:hint="cs"/>
          <w:sz w:val="26"/>
          <w:szCs w:val="26"/>
          <w:rtl/>
        </w:rPr>
        <w:t xml:space="preserve"> הורוביץ-</w:t>
      </w:r>
      <w:r w:rsidR="00E41BE8">
        <w:rPr>
          <w:rFonts w:hint="cs"/>
          <w:sz w:val="26"/>
          <w:szCs w:val="26"/>
          <w:rtl/>
        </w:rPr>
        <w:t xml:space="preserve">רבין, עמ' </w:t>
      </w:r>
      <w:r w:rsidR="00515A8D">
        <w:rPr>
          <w:rFonts w:hint="cs"/>
          <w:sz w:val="26"/>
          <w:szCs w:val="26"/>
          <w:rtl/>
        </w:rPr>
        <w:t>74</w:t>
      </w:r>
      <w:r w:rsidR="000D69A8">
        <w:rPr>
          <w:rFonts w:hint="cs"/>
          <w:sz w:val="26"/>
          <w:szCs w:val="26"/>
          <w:rtl/>
        </w:rPr>
        <w:t>)</w:t>
      </w:r>
      <w:r w:rsidRPr="00EE6ED7">
        <w:rPr>
          <w:sz w:val="26"/>
          <w:szCs w:val="26"/>
          <w:rtl/>
        </w:rPr>
        <w:t xml:space="preserve">. </w:t>
      </w: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p>
    <w:p w:rsidR="00105DEE" w:rsidRPr="00EE6ED7" w:rsidRDefault="00105DEE" w:rsidP="00125E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Second, the remarks concerning</w:t>
      </w:r>
      <w:r w:rsidRPr="00EE6ED7">
        <w:rPr>
          <w:sz w:val="26"/>
          <w:szCs w:val="26"/>
          <w:rtl/>
        </w:rPr>
        <w:t>פסח מצה ומרור</w:t>
      </w:r>
      <w:r w:rsidR="005E3B35" w:rsidRPr="00EE6ED7">
        <w:rPr>
          <w:sz w:val="26"/>
          <w:szCs w:val="26"/>
          <w:rtl/>
        </w:rPr>
        <w:t>(</w:t>
      </w:r>
      <w:r w:rsidRPr="00EE6ED7">
        <w:rPr>
          <w:sz w:val="26"/>
          <w:szCs w:val="26"/>
          <w:rtl/>
        </w:rPr>
        <w:t>ים</w:t>
      </w:r>
      <w:r w:rsidR="005E3B35" w:rsidRPr="00EE6ED7">
        <w:rPr>
          <w:sz w:val="26"/>
          <w:szCs w:val="26"/>
          <w:rtl/>
        </w:rPr>
        <w:t xml:space="preserve">) </w:t>
      </w:r>
      <w:r w:rsidR="005E3B35" w:rsidRPr="00EE6ED7">
        <w:rPr>
          <w:sz w:val="26"/>
          <w:szCs w:val="26"/>
        </w:rPr>
        <w:t xml:space="preserve"> a</w:t>
      </w:r>
      <w:r w:rsidRPr="00EE6ED7">
        <w:rPr>
          <w:sz w:val="26"/>
          <w:szCs w:val="26"/>
        </w:rPr>
        <w:t>ttributed to Rabban Gamaliel in the Mishnah have as much to do w</w:t>
      </w:r>
      <w:r w:rsidR="00DB1EBF">
        <w:rPr>
          <w:sz w:val="26"/>
          <w:szCs w:val="26"/>
        </w:rPr>
        <w:t>ith biblical narrative as with h</w:t>
      </w:r>
      <w:r w:rsidRPr="00EE6ED7">
        <w:rPr>
          <w:sz w:val="26"/>
          <w:szCs w:val="26"/>
        </w:rPr>
        <w:t>ala</w:t>
      </w:r>
      <w:r w:rsidR="00DB1EBF">
        <w:rPr>
          <w:sz w:val="26"/>
          <w:szCs w:val="26"/>
        </w:rPr>
        <w:t>k</w:t>
      </w:r>
      <w:r w:rsidRPr="00EE6ED7">
        <w:rPr>
          <w:sz w:val="26"/>
          <w:szCs w:val="26"/>
        </w:rPr>
        <w:t>hah.</w:t>
      </w:r>
      <w:r w:rsidRPr="00EE6ED7">
        <w:rPr>
          <w:sz w:val="26"/>
          <w:szCs w:val="26"/>
          <w:vertAlign w:val="superscript"/>
        </w:rPr>
        <w:footnoteReference w:id="133"/>
      </w:r>
      <w:r w:rsidR="0014624C" w:rsidRPr="00EE6ED7">
        <w:rPr>
          <w:sz w:val="26"/>
          <w:szCs w:val="26"/>
        </w:rPr>
        <w:t xml:space="preserve"> </w:t>
      </w:r>
      <w:r w:rsidRPr="00EE6ED7">
        <w:rPr>
          <w:sz w:val="26"/>
          <w:szCs w:val="26"/>
        </w:rPr>
        <w:t xml:space="preserve">For example, instead of teaching a </w:t>
      </w:r>
      <w:r w:rsidR="00DB1EBF">
        <w:rPr>
          <w:sz w:val="26"/>
          <w:szCs w:val="26"/>
        </w:rPr>
        <w:t xml:space="preserve">halakhah </w:t>
      </w:r>
      <w:r w:rsidRPr="00EE6ED7">
        <w:rPr>
          <w:sz w:val="26"/>
          <w:szCs w:val="26"/>
        </w:rPr>
        <w:t xml:space="preserve">of the paschal sacrifice such as </w:t>
      </w:r>
      <w:r w:rsidRPr="00EE6ED7">
        <w:rPr>
          <w:sz w:val="26"/>
          <w:szCs w:val="26"/>
          <w:rtl/>
        </w:rPr>
        <w:t>אין מפטירים אחר הפסח אפיקימון</w:t>
      </w:r>
      <w:r w:rsidRPr="00EE6ED7">
        <w:rPr>
          <w:sz w:val="26"/>
          <w:szCs w:val="26"/>
        </w:rPr>
        <w:t>, Rabban Gamali</w:t>
      </w:r>
      <w:r w:rsidR="00241CF9">
        <w:rPr>
          <w:sz w:val="26"/>
          <w:szCs w:val="26"/>
        </w:rPr>
        <w:t>el offers a narrative etiology:</w:t>
      </w:r>
      <w:r w:rsidRPr="00EE6ED7">
        <w:rPr>
          <w:sz w:val="26"/>
          <w:szCs w:val="26"/>
          <w:rtl/>
        </w:rPr>
        <w:t>פסח על שפסח המקום על בתי אבותינו במצרים</w:t>
      </w:r>
      <w:r w:rsidRPr="00EE6ED7">
        <w:rPr>
          <w:sz w:val="26"/>
          <w:szCs w:val="26"/>
        </w:rPr>
        <w:t>.</w:t>
      </w:r>
    </w:p>
    <w:p w:rsidR="00105DEE" w:rsidRPr="00EE6ED7" w:rsidRDefault="00105DEE" w:rsidP="003350C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It may therefore be more accurate to say that the </w:t>
      </w:r>
      <w:r w:rsidR="005E3B35" w:rsidRPr="00EE6ED7">
        <w:rPr>
          <w:sz w:val="26"/>
          <w:szCs w:val="26"/>
        </w:rPr>
        <w:t xml:space="preserve">Seder </w:t>
      </w:r>
      <w:r w:rsidRPr="00EE6ED7">
        <w:rPr>
          <w:sz w:val="26"/>
          <w:szCs w:val="26"/>
        </w:rPr>
        <w:t xml:space="preserve">of both the Mishnah and the Haggadah is intended to appeal to the lowest common denominator; it is a popular </w:t>
      </w:r>
      <w:r w:rsidR="005E3B35" w:rsidRPr="00EE6ED7">
        <w:rPr>
          <w:sz w:val="26"/>
          <w:szCs w:val="26"/>
        </w:rPr>
        <w:t xml:space="preserve">Seder </w:t>
      </w:r>
      <w:r w:rsidRPr="00EE6ED7">
        <w:rPr>
          <w:sz w:val="26"/>
          <w:szCs w:val="26"/>
        </w:rPr>
        <w:t>geared to the son with no understanding, who is not even capable of coming up with his own question.</w:t>
      </w:r>
      <w:r w:rsidR="0014624C" w:rsidRPr="00EE6ED7">
        <w:rPr>
          <w:sz w:val="26"/>
          <w:szCs w:val="26"/>
        </w:rPr>
        <w:t xml:space="preserve"> </w:t>
      </w:r>
      <w:r w:rsidRPr="00EE6ED7">
        <w:rPr>
          <w:sz w:val="26"/>
          <w:szCs w:val="26"/>
        </w:rPr>
        <w:t xml:space="preserve">For such a son, aggadah is the appropriate vehicle of instruction; </w:t>
      </w:r>
      <w:r w:rsidR="00DB1EBF">
        <w:rPr>
          <w:sz w:val="26"/>
          <w:szCs w:val="26"/>
        </w:rPr>
        <w:t>halakhah</w:t>
      </w:r>
      <w:r w:rsidRPr="00EE6ED7">
        <w:rPr>
          <w:sz w:val="26"/>
          <w:szCs w:val="26"/>
        </w:rPr>
        <w:t xml:space="preserve"> is meant for the wise son—at least according to the Haggadah (</w:t>
      </w:r>
      <w:r w:rsidRPr="00EE6ED7">
        <w:rPr>
          <w:sz w:val="26"/>
          <w:szCs w:val="26"/>
          <w:rtl/>
        </w:rPr>
        <w:t>אף אתה אמר לו כהלכות הפסח</w:t>
      </w:r>
      <w:r w:rsidRPr="00EE6ED7">
        <w:rPr>
          <w:sz w:val="26"/>
          <w:szCs w:val="26"/>
        </w:rPr>
        <w:t>) and the Mekhilta (</w:t>
      </w:r>
      <w:r w:rsidRPr="00EE6ED7">
        <w:rPr>
          <w:sz w:val="26"/>
          <w:szCs w:val="26"/>
          <w:rtl/>
        </w:rPr>
        <w:t>אף אתה</w:t>
      </w:r>
      <w:r w:rsidR="003350CD">
        <w:rPr>
          <w:sz w:val="26"/>
          <w:szCs w:val="26"/>
        </w:rPr>
        <w:br/>
      </w:r>
      <w:r w:rsidRPr="00EE6ED7">
        <w:rPr>
          <w:sz w:val="26"/>
          <w:szCs w:val="26"/>
          <w:rtl/>
        </w:rPr>
        <w:t xml:space="preserve">פתח לו </w:t>
      </w:r>
      <w:r w:rsidR="003350CD">
        <w:rPr>
          <w:rFonts w:hint="cs"/>
          <w:sz w:val="26"/>
          <w:szCs w:val="26"/>
          <w:rtl/>
        </w:rPr>
        <w:t>כ</w:t>
      </w:r>
      <w:r w:rsidRPr="00EE6ED7">
        <w:rPr>
          <w:sz w:val="26"/>
          <w:szCs w:val="26"/>
          <w:rtl/>
        </w:rPr>
        <w:t>ה</w:t>
      </w:r>
      <w:r w:rsidR="00362ABF">
        <w:rPr>
          <w:rFonts w:hint="cs"/>
          <w:sz w:val="26"/>
          <w:szCs w:val="26"/>
          <w:rtl/>
        </w:rPr>
        <w:t>י</w:t>
      </w:r>
      <w:r w:rsidRPr="00EE6ED7">
        <w:rPr>
          <w:sz w:val="26"/>
          <w:szCs w:val="26"/>
          <w:rtl/>
        </w:rPr>
        <w:t>לכות הפסח</w:t>
      </w:r>
      <w:r w:rsidRPr="00EE6ED7">
        <w:rPr>
          <w:sz w:val="26"/>
          <w:szCs w:val="26"/>
        </w:rPr>
        <w:t>).</w:t>
      </w:r>
      <w:r w:rsidR="0014624C" w:rsidRPr="00EE6ED7">
        <w:rPr>
          <w:sz w:val="26"/>
          <w:szCs w:val="26"/>
        </w:rPr>
        <w:t xml:space="preserve"> </w:t>
      </w:r>
      <w:r w:rsidRPr="00EE6ED7">
        <w:rPr>
          <w:sz w:val="26"/>
          <w:szCs w:val="26"/>
        </w:rPr>
        <w:t xml:space="preserve">Even Rabban Gamaliel does not dispute that; what he insists on adding to the </w:t>
      </w:r>
      <w:r w:rsidR="005E3B35" w:rsidRPr="00EE6ED7">
        <w:rPr>
          <w:sz w:val="26"/>
          <w:szCs w:val="26"/>
        </w:rPr>
        <w:t xml:space="preserve">Seder </w:t>
      </w:r>
      <w:r w:rsidR="00125E8B">
        <w:rPr>
          <w:sz w:val="26"/>
          <w:szCs w:val="26"/>
        </w:rPr>
        <w:t>designed for the masses is halak</w:t>
      </w:r>
      <w:r w:rsidRPr="00EE6ED7">
        <w:rPr>
          <w:sz w:val="26"/>
          <w:szCs w:val="26"/>
        </w:rPr>
        <w:t xml:space="preserve">hic flavoring, not real </w:t>
      </w:r>
      <w:r w:rsidR="00DB1EBF">
        <w:rPr>
          <w:sz w:val="26"/>
          <w:szCs w:val="26"/>
        </w:rPr>
        <w:t>halakhah</w:t>
      </w:r>
      <w:r w:rsidRPr="00EE6ED7">
        <w:rPr>
          <w:sz w:val="26"/>
          <w:szCs w:val="26"/>
        </w:rPr>
        <w:t>.</w:t>
      </w:r>
      <w:r w:rsidR="0014624C" w:rsidRPr="00EE6ED7">
        <w:rPr>
          <w:sz w:val="26"/>
          <w:szCs w:val="26"/>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VIII. HISTORY OF INTERPRETATION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3867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Most medieval commentators knew that the </w:t>
      </w:r>
      <w:r w:rsidRPr="00EE6ED7">
        <w:rPr>
          <w:sz w:val="26"/>
          <w:szCs w:val="26"/>
          <w:rtl/>
        </w:rPr>
        <w:t>מה נשתנה</w:t>
      </w:r>
      <w:r w:rsidRPr="00EE6ED7">
        <w:rPr>
          <w:sz w:val="26"/>
          <w:szCs w:val="26"/>
        </w:rPr>
        <w:t xml:space="preserve"> of the Haggadah was one long sentence constituting a single question, because they were familiar with the</w:t>
      </w:r>
      <w:r w:rsidR="0014624C" w:rsidRPr="00EE6ED7">
        <w:rPr>
          <w:sz w:val="26"/>
          <w:szCs w:val="26"/>
        </w:rPr>
        <w:t xml:space="preserve"> </w:t>
      </w:r>
      <w:r w:rsidRPr="00EE6ED7">
        <w:rPr>
          <w:sz w:val="26"/>
          <w:szCs w:val="26"/>
          <w:rtl/>
        </w:rPr>
        <w:t>מה נשתנה...</w:t>
      </w:r>
      <w:r w:rsidR="00BC1FC9">
        <w:rPr>
          <w:rFonts w:hint="cs"/>
          <w:sz w:val="26"/>
          <w:szCs w:val="26"/>
          <w:rtl/>
        </w:rPr>
        <w:t xml:space="preserve"> </w:t>
      </w:r>
      <w:r w:rsidRPr="00EE6ED7">
        <w:rPr>
          <w:sz w:val="26"/>
          <w:szCs w:val="26"/>
          <w:rtl/>
        </w:rPr>
        <w:t>ש-...</w:t>
      </w:r>
      <w:r w:rsidRPr="00EE6ED7">
        <w:rPr>
          <w:sz w:val="26"/>
          <w:szCs w:val="26"/>
        </w:rPr>
        <w:t xml:space="preserve"> formula in other contexts.</w:t>
      </w:r>
      <w:r w:rsidR="0014624C" w:rsidRPr="00EE6ED7">
        <w:rPr>
          <w:sz w:val="26"/>
          <w:szCs w:val="26"/>
        </w:rPr>
        <w:t xml:space="preserve"> </w:t>
      </w:r>
      <w:r w:rsidRPr="00EE6ED7">
        <w:rPr>
          <w:sz w:val="26"/>
          <w:szCs w:val="26"/>
        </w:rPr>
        <w:t>Indeed, they were able to imitate it successfully in their own writing.</w:t>
      </w:r>
      <w:r w:rsidR="0014624C" w:rsidRPr="00EE6ED7">
        <w:rPr>
          <w:sz w:val="26"/>
          <w:szCs w:val="26"/>
        </w:rPr>
        <w:t xml:space="preserve"> </w:t>
      </w:r>
      <w:r w:rsidRPr="00EE6ED7">
        <w:rPr>
          <w:sz w:val="26"/>
          <w:szCs w:val="26"/>
        </w:rPr>
        <w:t>We see this already in Rashi’s formulation of the question prompted by the pouring of the second cup (b.Pes 116a):</w:t>
      </w:r>
      <w:r w:rsidRPr="00EE6ED7">
        <w:rPr>
          <w:sz w:val="26"/>
          <w:szCs w:val="26"/>
          <w:rtl/>
        </w:rPr>
        <w:t xml:space="preserve">כאן במזיגת כוס שני </w:t>
      </w:r>
      <w:r w:rsidR="003350CD">
        <w:rPr>
          <w:rFonts w:hint="cs"/>
          <w:sz w:val="26"/>
          <w:szCs w:val="26"/>
          <w:rtl/>
        </w:rPr>
        <w:t xml:space="preserve">הבן </w:t>
      </w:r>
      <w:r w:rsidRPr="00EE6ED7">
        <w:rPr>
          <w:sz w:val="26"/>
          <w:szCs w:val="26"/>
          <w:rtl/>
        </w:rPr>
        <w:t xml:space="preserve">שואל את אביו </w:t>
      </w:r>
      <w:r w:rsidRPr="00EE6ED7">
        <w:rPr>
          <w:sz w:val="26"/>
          <w:szCs w:val="26"/>
          <w:u w:val="single"/>
          <w:rtl/>
        </w:rPr>
        <w:t>מה נשתנה</w:t>
      </w:r>
      <w:r w:rsidRPr="00EE6ED7">
        <w:rPr>
          <w:sz w:val="26"/>
          <w:szCs w:val="26"/>
          <w:rtl/>
        </w:rPr>
        <w:t xml:space="preserve"> עכשיו </w:t>
      </w:r>
      <w:r w:rsidRPr="00EE6ED7">
        <w:rPr>
          <w:sz w:val="26"/>
          <w:szCs w:val="26"/>
          <w:u w:val="single"/>
          <w:rtl/>
        </w:rPr>
        <w:t>ש</w:t>
      </w:r>
      <w:r w:rsidRPr="00EE6ED7">
        <w:rPr>
          <w:sz w:val="26"/>
          <w:szCs w:val="26"/>
          <w:rtl/>
        </w:rPr>
        <w:t>מוזגין כוס שני קודם אכילה</w:t>
      </w:r>
      <w:r w:rsidRPr="00EE6ED7">
        <w:rPr>
          <w:sz w:val="26"/>
          <w:szCs w:val="26"/>
        </w:rPr>
        <w:t>.</w:t>
      </w:r>
      <w:r w:rsidR="0014624C" w:rsidRPr="00EE6ED7">
        <w:rPr>
          <w:sz w:val="26"/>
          <w:szCs w:val="26"/>
        </w:rPr>
        <w:t xml:space="preserve"> </w:t>
      </w:r>
      <w:r w:rsidRPr="00EE6ED7">
        <w:rPr>
          <w:sz w:val="26"/>
          <w:szCs w:val="26"/>
        </w:rPr>
        <w:t xml:space="preserve">R. Eliezer b. Nathan of Mainz, in his commentary on the Haggadah, explains that </w:t>
      </w:r>
      <w:r w:rsidRPr="00EE6ED7">
        <w:rPr>
          <w:sz w:val="26"/>
          <w:szCs w:val="26"/>
          <w:rtl/>
        </w:rPr>
        <w:t>הא לחמא</w:t>
      </w:r>
      <w:r w:rsidRPr="00EE6ED7">
        <w:rPr>
          <w:sz w:val="26"/>
          <w:szCs w:val="26"/>
        </w:rPr>
        <w:t xml:space="preserve"> is in Aramaic so that everyone, including women and children, should understand and ask </w:t>
      </w:r>
      <w:r w:rsidRPr="00EE6ED7">
        <w:rPr>
          <w:sz w:val="26"/>
          <w:szCs w:val="26"/>
          <w:u w:val="single"/>
          <w:rtl/>
        </w:rPr>
        <w:t>מה נשתנה</w:t>
      </w:r>
      <w:r w:rsidRPr="00EE6ED7">
        <w:rPr>
          <w:sz w:val="26"/>
          <w:szCs w:val="26"/>
          <w:rtl/>
        </w:rPr>
        <w:t xml:space="preserve"> הלילה </w:t>
      </w:r>
      <w:r w:rsidRPr="00EE6ED7">
        <w:rPr>
          <w:sz w:val="26"/>
          <w:szCs w:val="26"/>
          <w:u w:val="single"/>
          <w:rtl/>
        </w:rPr>
        <w:t>ל</w:t>
      </w:r>
      <w:r w:rsidRPr="00EE6ED7">
        <w:rPr>
          <w:sz w:val="26"/>
          <w:szCs w:val="26"/>
          <w:rtl/>
        </w:rPr>
        <w:t>אכול מצה</w:t>
      </w:r>
      <w:r w:rsidRPr="00EE6ED7">
        <w:rPr>
          <w:sz w:val="26"/>
          <w:szCs w:val="26"/>
        </w:rPr>
        <w:t>.</w:t>
      </w:r>
      <w:r w:rsidRPr="00EE6ED7">
        <w:rPr>
          <w:sz w:val="26"/>
          <w:szCs w:val="26"/>
          <w:vertAlign w:val="superscript"/>
        </w:rPr>
        <w:footnoteReference w:id="134"/>
      </w:r>
      <w:r w:rsidR="0014624C" w:rsidRPr="00EE6ED7">
        <w:rPr>
          <w:sz w:val="26"/>
          <w:szCs w:val="26"/>
        </w:rPr>
        <w:t xml:space="preserve"> </w:t>
      </w:r>
      <w:r w:rsidRPr="00EE6ED7">
        <w:rPr>
          <w:sz w:val="26"/>
          <w:szCs w:val="26"/>
        </w:rPr>
        <w:t xml:space="preserve">In this paraphrase of </w:t>
      </w:r>
      <w:r w:rsidRPr="00EE6ED7">
        <w:rPr>
          <w:sz w:val="26"/>
          <w:szCs w:val="26"/>
          <w:rtl/>
        </w:rPr>
        <w:t>מה נשתנה</w:t>
      </w:r>
      <w:r w:rsidRPr="00EE6ED7">
        <w:rPr>
          <w:sz w:val="26"/>
          <w:szCs w:val="26"/>
        </w:rPr>
        <w:t xml:space="preserve">, it is obviously impossible to put a period or question mark before the words </w:t>
      </w:r>
      <w:r w:rsidRPr="00EE6ED7">
        <w:rPr>
          <w:sz w:val="26"/>
          <w:szCs w:val="26"/>
          <w:rtl/>
        </w:rPr>
        <w:t>לאכול מצה</w:t>
      </w:r>
      <w:r w:rsidRPr="00EE6ED7">
        <w:rPr>
          <w:sz w:val="26"/>
          <w:szCs w:val="26"/>
        </w:rPr>
        <w:t>.</w:t>
      </w:r>
      <w:r w:rsidR="0014624C" w:rsidRPr="00EE6ED7">
        <w:rPr>
          <w:sz w:val="26"/>
          <w:szCs w:val="26"/>
        </w:rPr>
        <w:t xml:space="preserve"> </w:t>
      </w:r>
      <w:r w:rsidRPr="00EE6ED7">
        <w:rPr>
          <w:sz w:val="26"/>
          <w:szCs w:val="26"/>
        </w:rPr>
        <w:t>The long version of the formula is employed by R. Simeon b. Zemah Duran in paraphrasing the question of the wise son:</w:t>
      </w:r>
      <w:r w:rsidRPr="00EE6ED7">
        <w:rPr>
          <w:sz w:val="26"/>
          <w:szCs w:val="26"/>
          <w:rtl/>
        </w:rPr>
        <w:t xml:space="preserve">וזאת היא שאלת החכם שאומר מה העדות וכו' כי הוא מתעורר לשאול </w:t>
      </w:r>
      <w:r w:rsidRPr="00EE6ED7">
        <w:rPr>
          <w:sz w:val="26"/>
          <w:szCs w:val="26"/>
          <w:u w:val="single"/>
          <w:rtl/>
        </w:rPr>
        <w:t>מה נשתנה</w:t>
      </w:r>
      <w:r w:rsidRPr="00EE6ED7">
        <w:rPr>
          <w:sz w:val="26"/>
          <w:szCs w:val="26"/>
          <w:rtl/>
        </w:rPr>
        <w:t xml:space="preserve"> הלילה הזה </w:t>
      </w:r>
      <w:r w:rsidRPr="00EE6ED7">
        <w:rPr>
          <w:sz w:val="26"/>
          <w:szCs w:val="26"/>
          <w:u w:val="single"/>
          <w:rtl/>
        </w:rPr>
        <w:t>ש</w:t>
      </w:r>
      <w:r w:rsidRPr="00EE6ED7">
        <w:rPr>
          <w:sz w:val="26"/>
          <w:szCs w:val="26"/>
          <w:rtl/>
        </w:rPr>
        <w:t xml:space="preserve">אנו אוכלין פרפראות קודם סעודה </w:t>
      </w:r>
      <w:r w:rsidRPr="00EE6ED7">
        <w:rPr>
          <w:sz w:val="26"/>
          <w:szCs w:val="26"/>
          <w:u w:val="single"/>
          <w:rtl/>
        </w:rPr>
        <w:t>ו</w:t>
      </w:r>
      <w:r w:rsidRPr="00EE6ED7">
        <w:rPr>
          <w:sz w:val="26"/>
          <w:szCs w:val="26"/>
          <w:rtl/>
        </w:rPr>
        <w:t>אין מנהג לאוכלם אלא אחר סעודה</w:t>
      </w:r>
      <w:r w:rsidRPr="00EE6ED7">
        <w:rPr>
          <w:sz w:val="26"/>
          <w:szCs w:val="26"/>
        </w:rPr>
        <w:t>.</w:t>
      </w:r>
      <w:r w:rsidRPr="00EE6ED7">
        <w:rPr>
          <w:sz w:val="26"/>
          <w:szCs w:val="26"/>
          <w:vertAlign w:val="superscript"/>
        </w:rPr>
        <w:footnoteReference w:id="135"/>
      </w:r>
      <w:r w:rsidR="0014624C" w:rsidRPr="00EE6ED7">
        <w:rPr>
          <w:sz w:val="26"/>
          <w:szCs w:val="26"/>
        </w:rPr>
        <w:t xml:space="preserve"> </w:t>
      </w:r>
      <w:r w:rsidRPr="00EE6ED7">
        <w:rPr>
          <w:sz w:val="26"/>
          <w:szCs w:val="26"/>
        </w:rPr>
        <w:t>R. David b. Solomon Ibn Abi Zimra uses both the short version and the long one in paraphrasing Passover-related inquiries that were addressed to him.</w:t>
      </w:r>
      <w:r w:rsidR="0014624C" w:rsidRPr="00EE6ED7">
        <w:rPr>
          <w:sz w:val="26"/>
          <w:szCs w:val="26"/>
        </w:rPr>
        <w:t xml:space="preserve"> </w:t>
      </w:r>
      <w:r w:rsidRPr="00EE6ED7">
        <w:rPr>
          <w:sz w:val="26"/>
          <w:szCs w:val="26"/>
        </w:rPr>
        <w:t>An example of the former is:</w:t>
      </w:r>
      <w:r w:rsidRPr="00EE6ED7">
        <w:rPr>
          <w:sz w:val="26"/>
          <w:szCs w:val="26"/>
          <w:rtl/>
        </w:rPr>
        <w:t xml:space="preserve">שאלת ממני אם יש אצלי טעם </w:t>
      </w:r>
      <w:r w:rsidRPr="00EE6ED7">
        <w:rPr>
          <w:sz w:val="26"/>
          <w:szCs w:val="26"/>
          <w:u w:val="single"/>
          <w:rtl/>
        </w:rPr>
        <w:t>מה נשתנה</w:t>
      </w:r>
      <w:r w:rsidRPr="00EE6ED7">
        <w:rPr>
          <w:sz w:val="26"/>
          <w:szCs w:val="26"/>
          <w:rtl/>
        </w:rPr>
        <w:t xml:space="preserve"> כבש העומר </w:t>
      </w:r>
      <w:r w:rsidRPr="00EE6ED7">
        <w:rPr>
          <w:sz w:val="26"/>
          <w:szCs w:val="26"/>
          <w:u w:val="single"/>
          <w:rtl/>
        </w:rPr>
        <w:t>מכל</w:t>
      </w:r>
      <w:r w:rsidRPr="00EE6ED7">
        <w:rPr>
          <w:sz w:val="26"/>
          <w:szCs w:val="26"/>
          <w:rtl/>
        </w:rPr>
        <w:t xml:space="preserve"> שאר כבשים הקרבים </w:t>
      </w:r>
      <w:r w:rsidRPr="00EE6ED7">
        <w:rPr>
          <w:sz w:val="26"/>
          <w:szCs w:val="26"/>
          <w:u w:val="single"/>
          <w:rtl/>
        </w:rPr>
        <w:t>ש</w:t>
      </w:r>
      <w:r w:rsidRPr="00EE6ED7">
        <w:rPr>
          <w:sz w:val="26"/>
          <w:szCs w:val="26"/>
          <w:rtl/>
        </w:rPr>
        <w:t>הוכפל מנחתו</w:t>
      </w:r>
      <w:r w:rsidRPr="00EE6ED7">
        <w:rPr>
          <w:sz w:val="26"/>
          <w:szCs w:val="26"/>
        </w:rPr>
        <w:t>.</w:t>
      </w:r>
      <w:r w:rsidRPr="00EE6ED7">
        <w:rPr>
          <w:sz w:val="26"/>
          <w:szCs w:val="26"/>
          <w:vertAlign w:val="superscript"/>
        </w:rPr>
        <w:footnoteReference w:id="136"/>
      </w:r>
      <w:r w:rsidR="0014624C" w:rsidRPr="00EE6ED7">
        <w:rPr>
          <w:sz w:val="26"/>
          <w:szCs w:val="26"/>
        </w:rPr>
        <w:t xml:space="preserve"> </w:t>
      </w:r>
      <w:r w:rsidRPr="00EE6ED7">
        <w:rPr>
          <w:sz w:val="26"/>
          <w:szCs w:val="26"/>
        </w:rPr>
        <w:t>His use of the long version is a tour de force:</w:t>
      </w:r>
      <w:r w:rsidRPr="00EE6ED7">
        <w:rPr>
          <w:sz w:val="26"/>
          <w:szCs w:val="26"/>
          <w:rtl/>
        </w:rPr>
        <w:t xml:space="preserve">שאלת ממני אודיעך דעתי </w:t>
      </w:r>
      <w:r w:rsidRPr="00EE6ED7">
        <w:rPr>
          <w:sz w:val="26"/>
          <w:szCs w:val="26"/>
          <w:u w:val="single"/>
          <w:rtl/>
        </w:rPr>
        <w:t>מה נשתנה</w:t>
      </w:r>
      <w:r w:rsidRPr="00EE6ED7">
        <w:rPr>
          <w:sz w:val="26"/>
          <w:szCs w:val="26"/>
          <w:rtl/>
        </w:rPr>
        <w:t xml:space="preserve"> חמץ בפסח </w:t>
      </w:r>
      <w:r w:rsidRPr="00EE6ED7">
        <w:rPr>
          <w:sz w:val="26"/>
          <w:szCs w:val="26"/>
          <w:u w:val="single"/>
          <w:rtl/>
        </w:rPr>
        <w:t>מכל</w:t>
      </w:r>
      <w:r w:rsidRPr="00EE6ED7">
        <w:rPr>
          <w:sz w:val="26"/>
          <w:szCs w:val="26"/>
          <w:rtl/>
        </w:rPr>
        <w:t xml:space="preserve"> איסורין שבתורה </w:t>
      </w:r>
      <w:r w:rsidRPr="00EE6ED7">
        <w:rPr>
          <w:sz w:val="26"/>
          <w:szCs w:val="26"/>
          <w:u w:val="single"/>
          <w:rtl/>
        </w:rPr>
        <w:t>ש</w:t>
      </w:r>
      <w:r w:rsidRPr="00EE6ED7">
        <w:rPr>
          <w:sz w:val="26"/>
          <w:szCs w:val="26"/>
          <w:rtl/>
        </w:rPr>
        <w:t xml:space="preserve">החמירה עליו תורה להצריכו בדיקה ושרוף וכלה וגם ביטול והוסיפו חכמים להצריכו בדיקה בחורין ובסדקין ולחפש אחריו ולשרש אותו מכל גבוליו ועבר עליו בבל יראה ובל ימצא ואסרוהו בכל שהוא ואינו מתבטל כלל </w:t>
      </w:r>
      <w:r w:rsidRPr="00EE6ED7">
        <w:rPr>
          <w:sz w:val="26"/>
          <w:szCs w:val="26"/>
          <w:u w:val="single"/>
          <w:rtl/>
        </w:rPr>
        <w:t>ו</w:t>
      </w:r>
      <w:r w:rsidRPr="00EE6ED7">
        <w:rPr>
          <w:sz w:val="26"/>
          <w:szCs w:val="26"/>
          <w:rtl/>
        </w:rPr>
        <w:t>חומרות כאלו לא נמצאו בכל האיסורין שבתורה</w:t>
      </w:r>
      <w:r w:rsidRPr="00EE6ED7">
        <w:rPr>
          <w:sz w:val="26"/>
          <w:szCs w:val="26"/>
        </w:rPr>
        <w:t>.</w:t>
      </w:r>
      <w:r w:rsidRPr="00EE6ED7">
        <w:rPr>
          <w:sz w:val="26"/>
          <w:szCs w:val="26"/>
          <w:vertAlign w:val="superscript"/>
        </w:rPr>
        <w:footnoteReference w:id="137"/>
      </w:r>
    </w:p>
    <w:p w:rsidR="00105DEE" w:rsidRPr="00EE6ED7" w:rsidRDefault="00105DEE" w:rsidP="004565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first clear sign of change appears in </w:t>
      </w:r>
      <w:r w:rsidRPr="00EE6ED7">
        <w:rPr>
          <w:i/>
          <w:sz w:val="26"/>
          <w:szCs w:val="26"/>
        </w:rPr>
        <w:t>Shibbolei ha-Leqe</w:t>
      </w:r>
      <w:r w:rsidR="00F51CCF" w:rsidRPr="000D69A8">
        <w:rPr>
          <w:rFonts w:ascii="CalSemitic" w:hAnsi="CalSemitic"/>
          <w:i/>
          <w:sz w:val="28"/>
          <w:szCs w:val="26"/>
        </w:rPr>
        <w:t>T</w:t>
      </w:r>
      <w:r w:rsidRPr="00EE6ED7">
        <w:rPr>
          <w:sz w:val="26"/>
          <w:szCs w:val="26"/>
        </w:rPr>
        <w:t>, where R. Zedekiah b. Abraham Anav quotes a passage written by his brother, R. Benjamin:</w:t>
      </w:r>
      <w:r w:rsidR="00456516" w:rsidRPr="00EE6ED7">
        <w:rPr>
          <w:sz w:val="26"/>
          <w:szCs w:val="26"/>
          <w:vertAlign w:val="superscript"/>
        </w:rPr>
        <w:footnoteReference w:id="138"/>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כתב אחי ר' בנימין נר"ו </w:t>
      </w:r>
      <w:r w:rsidRPr="00EE6ED7">
        <w:rPr>
          <w:sz w:val="26"/>
          <w:szCs w:val="26"/>
          <w:u w:val="single"/>
          <w:rtl/>
        </w:rPr>
        <w:t>שאלת</w:t>
      </w:r>
      <w:r w:rsidRPr="00EE6ED7">
        <w:rPr>
          <w:sz w:val="26"/>
          <w:szCs w:val="26"/>
          <w:rtl/>
        </w:rPr>
        <w:t xml:space="preserve"> מה נשתנה סדורה על יסוד הפסוק והגדת לבנך</w:t>
      </w:r>
      <w:r w:rsidR="000A4652">
        <w:rPr>
          <w:sz w:val="26"/>
          <w:szCs w:val="26"/>
          <w:rtl/>
        </w:rPr>
        <w:t xml:space="preserve">... </w:t>
      </w:r>
      <w:r w:rsidRPr="00EE6ED7">
        <w:rPr>
          <w:sz w:val="26"/>
          <w:szCs w:val="26"/>
          <w:rtl/>
        </w:rPr>
        <w:t xml:space="preserve">ועוד שואל על ההסיבה הצריכה לכל </w:t>
      </w:r>
      <w:r w:rsidRPr="00EE6ED7">
        <w:rPr>
          <w:sz w:val="26"/>
          <w:szCs w:val="26"/>
          <w:u w:val="single"/>
          <w:rtl/>
        </w:rPr>
        <w:t>אלו</w:t>
      </w:r>
      <w:r w:rsidRPr="000D69A8">
        <w:rPr>
          <w:sz w:val="26"/>
          <w:szCs w:val="26"/>
          <w:u w:val="single"/>
          <w:rtl/>
        </w:rPr>
        <w:t xml:space="preserve"> השאלות</w:t>
      </w:r>
      <w:r w:rsidRPr="00EE6ED7">
        <w:rPr>
          <w:sz w:val="26"/>
          <w:szCs w:val="26"/>
          <w:rtl/>
        </w:rPr>
        <w:t xml:space="preserve"> ועליה משיבין תחילה שאומרים עבדים היינו כו' היא תשובת ההסיבה לבד, שיצאנו מעבדות לחירות, וההסיבה היא סימן לבני חורין. ולפי שהיא זקוקה לכל </w:t>
      </w:r>
      <w:r w:rsidRPr="000D69A8">
        <w:rPr>
          <w:sz w:val="26"/>
          <w:szCs w:val="26"/>
          <w:u w:val="single"/>
          <w:rtl/>
        </w:rPr>
        <w:t>השאלות</w:t>
      </w:r>
      <w:r w:rsidRPr="00EE6ED7">
        <w:rPr>
          <w:sz w:val="26"/>
          <w:szCs w:val="26"/>
          <w:rtl/>
        </w:rPr>
        <w:t xml:space="preserve"> משיבין עליה תחילה. ותשובת </w:t>
      </w:r>
      <w:r w:rsidRPr="000D69A8">
        <w:rPr>
          <w:sz w:val="26"/>
          <w:szCs w:val="26"/>
          <w:u w:val="single"/>
          <w:rtl/>
        </w:rPr>
        <w:t>השאלות</w:t>
      </w:r>
      <w:r w:rsidRPr="00EE6ED7">
        <w:rPr>
          <w:sz w:val="26"/>
          <w:szCs w:val="26"/>
          <w:rtl/>
        </w:rPr>
        <w:t xml:space="preserve"> האחרות בסוף ההגדה</w:t>
      </w:r>
      <w:r w:rsidR="000A4652">
        <w:rPr>
          <w:sz w:val="26"/>
          <w:szCs w:val="26"/>
          <w:rtl/>
        </w:rPr>
        <w:t xml:space="preserve">...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R. Benjamin begins with the traditional </w:t>
      </w:r>
      <w:r w:rsidRPr="00EE6ED7">
        <w:rPr>
          <w:sz w:val="26"/>
          <w:szCs w:val="26"/>
          <w:rtl/>
        </w:rPr>
        <w:t>שאלת מה נשתנה</w:t>
      </w:r>
      <w:r w:rsidRPr="00EE6ED7">
        <w:rPr>
          <w:sz w:val="26"/>
          <w:szCs w:val="26"/>
        </w:rPr>
        <w:t>, but he quickly switches into the plural.</w:t>
      </w:r>
      <w:r w:rsidR="0014624C" w:rsidRPr="00EE6ED7">
        <w:rPr>
          <w:sz w:val="26"/>
          <w:szCs w:val="26"/>
        </w:rPr>
        <w:t xml:space="preserve"> </w:t>
      </w:r>
      <w:r w:rsidRPr="00EE6ED7">
        <w:rPr>
          <w:sz w:val="26"/>
          <w:szCs w:val="26"/>
        </w:rPr>
        <w:t xml:space="preserve">Unlike every other medieval writer, he views </w:t>
      </w:r>
      <w:r w:rsidRPr="00EE6ED7">
        <w:rPr>
          <w:sz w:val="26"/>
          <w:szCs w:val="26"/>
          <w:rtl/>
        </w:rPr>
        <w:t>מה נשתנה</w:t>
      </w:r>
      <w:r w:rsidRPr="00EE6ED7">
        <w:rPr>
          <w:sz w:val="26"/>
          <w:szCs w:val="26"/>
        </w:rPr>
        <w:t xml:space="preserve"> as comprising more than one question</w:t>
      </w:r>
      <w:r w:rsidRPr="00EE6ED7">
        <w:rPr>
          <w:sz w:val="26"/>
          <w:szCs w:val="26"/>
          <w:rtl/>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This notion makes its next appearance in the Haggadah commentary of Joseph ben Jacob Shalit of </w:t>
      </w:r>
      <w:smartTag w:uri="urn:schemas-microsoft-com:office:smarttags" w:element="place">
        <w:smartTag w:uri="urn:schemas-microsoft-com:office:smarttags" w:element="City">
          <w:r w:rsidRPr="00EE6ED7">
            <w:rPr>
              <w:sz w:val="26"/>
              <w:szCs w:val="26"/>
            </w:rPr>
            <w:t>Padua</w:t>
          </w:r>
        </w:smartTag>
      </w:smartTag>
      <w:r w:rsidRPr="00EE6ED7">
        <w:rPr>
          <w:sz w:val="26"/>
          <w:szCs w:val="26"/>
        </w:rPr>
        <w:t>, first published in 1550:</w:t>
      </w:r>
      <w:r w:rsidRPr="00EE6ED7">
        <w:rPr>
          <w:sz w:val="26"/>
          <w:szCs w:val="26"/>
          <w:vertAlign w:val="superscript"/>
        </w:rPr>
        <w:footnoteReference w:id="139"/>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8A29B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bidi/>
        <w:adjustRightInd w:val="0"/>
        <w:spacing w:line="300" w:lineRule="exact"/>
        <w:ind w:left="720"/>
        <w:jc w:val="both"/>
        <w:rPr>
          <w:sz w:val="26"/>
          <w:szCs w:val="26"/>
        </w:rPr>
      </w:pPr>
      <w:r w:rsidRPr="00EE6ED7">
        <w:rPr>
          <w:sz w:val="26"/>
          <w:szCs w:val="26"/>
          <w:rtl/>
        </w:rPr>
        <w:t xml:space="preserve">והיה למסדר לחתום </w:t>
      </w:r>
      <w:r w:rsidRPr="000D69A8">
        <w:rPr>
          <w:sz w:val="26"/>
          <w:szCs w:val="26"/>
          <w:u w:val="single"/>
          <w:rtl/>
        </w:rPr>
        <w:t>מ</w:t>
      </w:r>
      <w:r w:rsidRPr="00EE6ED7">
        <w:rPr>
          <w:sz w:val="26"/>
          <w:szCs w:val="26"/>
          <w:u w:val="single"/>
          <w:rtl/>
        </w:rPr>
        <w:t>שאלת שנוי הטבול</w:t>
      </w:r>
      <w:r w:rsidRPr="00EE6ED7">
        <w:rPr>
          <w:sz w:val="26"/>
          <w:szCs w:val="26"/>
          <w:rtl/>
        </w:rPr>
        <w:t xml:space="preserve"> להסמיך </w:t>
      </w:r>
      <w:r w:rsidRPr="00EE6ED7">
        <w:rPr>
          <w:sz w:val="26"/>
          <w:szCs w:val="26"/>
          <w:u w:val="single"/>
          <w:rtl/>
        </w:rPr>
        <w:t>שלשת שאלות שנויי האכילות</w:t>
      </w:r>
      <w:r w:rsidR="000A4652">
        <w:rPr>
          <w:sz w:val="26"/>
          <w:szCs w:val="26"/>
          <w:rtl/>
        </w:rPr>
        <w:t xml:space="preserve">... </w:t>
      </w:r>
      <w:r w:rsidR="00E574B4">
        <w:rPr>
          <w:sz w:val="26"/>
          <w:szCs w:val="26"/>
          <w:rtl/>
        </w:rPr>
        <w:t>עבדים היינו</w:t>
      </w:r>
      <w:r w:rsidR="00E574B4">
        <w:rPr>
          <w:rFonts w:hint="cs"/>
          <w:sz w:val="26"/>
          <w:szCs w:val="26"/>
          <w:rtl/>
        </w:rPr>
        <w:t xml:space="preserve"> -</w:t>
      </w:r>
      <w:r w:rsidRPr="00EE6ED7">
        <w:rPr>
          <w:sz w:val="26"/>
          <w:szCs w:val="26"/>
          <w:rtl/>
        </w:rPr>
        <w:t xml:space="preserve"> זו היא תשובה לשאלת </w:t>
      </w:r>
      <w:r w:rsidR="00456516">
        <w:rPr>
          <w:rFonts w:hint="cs"/>
          <w:sz w:val="26"/>
          <w:szCs w:val="26"/>
          <w:rtl/>
        </w:rPr>
        <w:t>ה</w:t>
      </w:r>
      <w:r w:rsidRPr="00EE6ED7">
        <w:rPr>
          <w:sz w:val="26"/>
          <w:szCs w:val="26"/>
          <w:rtl/>
        </w:rPr>
        <w:t xml:space="preserve">שנוי </w:t>
      </w:r>
      <w:r w:rsidR="00456516">
        <w:rPr>
          <w:rFonts w:hint="cs"/>
          <w:sz w:val="26"/>
          <w:szCs w:val="26"/>
          <w:rtl/>
        </w:rPr>
        <w:t xml:space="preserve">מאכילת </w:t>
      </w:r>
      <w:r w:rsidRPr="00EE6ED7">
        <w:rPr>
          <w:sz w:val="26"/>
          <w:szCs w:val="26"/>
          <w:rtl/>
        </w:rPr>
        <w:t xml:space="preserve">מצה ומרור שהוא זכר לעבדות. ויוצאינו ה' א-להינו משם. זו היא תשובה </w:t>
      </w:r>
      <w:r w:rsidRPr="000D69A8">
        <w:rPr>
          <w:sz w:val="26"/>
          <w:szCs w:val="26"/>
          <w:u w:val="single"/>
          <w:rtl/>
        </w:rPr>
        <w:t>ל</w:t>
      </w:r>
      <w:r w:rsidRPr="00EE6ED7">
        <w:rPr>
          <w:sz w:val="26"/>
          <w:szCs w:val="26"/>
          <w:u w:val="single"/>
          <w:rtl/>
        </w:rPr>
        <w:t>שאלת שנוי הטבול ואכילה בהסיבה</w:t>
      </w:r>
      <w:r w:rsidRPr="00EE6ED7">
        <w:rPr>
          <w:sz w:val="26"/>
          <w:szCs w:val="26"/>
          <w:rtl/>
        </w:rPr>
        <w:t xml:space="preserve"> שהוא זכרון החירות. </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It seems, then, that the view of </w:t>
      </w:r>
      <w:r w:rsidRPr="00EE6ED7">
        <w:rPr>
          <w:sz w:val="26"/>
          <w:szCs w:val="26"/>
          <w:rtl/>
        </w:rPr>
        <w:t>מה נשתנה</w:t>
      </w:r>
      <w:r w:rsidRPr="00EE6ED7">
        <w:rPr>
          <w:sz w:val="26"/>
          <w:szCs w:val="26"/>
        </w:rPr>
        <w:t xml:space="preserve"> as consisting of more than one question caught on first in </w:t>
      </w:r>
      <w:smartTag w:uri="urn:schemas-microsoft-com:office:smarttags" w:element="place">
        <w:smartTag w:uri="urn:schemas-microsoft-com:office:smarttags" w:element="country-region">
          <w:r w:rsidRPr="00EE6ED7">
            <w:rPr>
              <w:sz w:val="26"/>
              <w:szCs w:val="26"/>
            </w:rPr>
            <w:t>Italy</w:t>
          </w:r>
        </w:smartTag>
      </w:smartTag>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idea that </w:t>
      </w:r>
      <w:r w:rsidRPr="00EE6ED7">
        <w:rPr>
          <w:sz w:val="26"/>
          <w:szCs w:val="26"/>
          <w:rtl/>
        </w:rPr>
        <w:t>מה נשתנה</w:t>
      </w:r>
      <w:r w:rsidRPr="00EE6ED7">
        <w:rPr>
          <w:sz w:val="26"/>
          <w:szCs w:val="26"/>
        </w:rPr>
        <w:t xml:space="preserve"> is an exclamation rather than a question appears first among the exiles from </w:t>
      </w:r>
      <w:smartTag w:uri="urn:schemas-microsoft-com:office:smarttags" w:element="place">
        <w:smartTag w:uri="urn:schemas-microsoft-com:office:smarttags" w:element="country-region">
          <w:r w:rsidRPr="00EE6ED7">
            <w:rPr>
              <w:sz w:val="26"/>
              <w:szCs w:val="26"/>
            </w:rPr>
            <w:t>Spain</w:t>
          </w:r>
        </w:smartTag>
      </w:smartTag>
      <w:r w:rsidRPr="00EE6ED7">
        <w:rPr>
          <w:sz w:val="26"/>
          <w:szCs w:val="26"/>
        </w:rPr>
        <w:t>.</w:t>
      </w:r>
      <w:r w:rsidR="0014624C" w:rsidRPr="00EE6ED7">
        <w:rPr>
          <w:sz w:val="26"/>
          <w:szCs w:val="26"/>
        </w:rPr>
        <w:t xml:space="preserve"> </w:t>
      </w:r>
      <w:r w:rsidRPr="00EE6ED7">
        <w:rPr>
          <w:sz w:val="26"/>
          <w:szCs w:val="26"/>
        </w:rPr>
        <w:t xml:space="preserve">In </w:t>
      </w:r>
      <w:r w:rsidR="00362ABF">
        <w:rPr>
          <w:sz w:val="26"/>
          <w:szCs w:val="26"/>
        </w:rPr>
        <w:t xml:space="preserve">the Salonica Ladino Siddur of ca. 1550, </w:t>
      </w:r>
      <w:r w:rsidRPr="00EE6ED7">
        <w:rPr>
          <w:sz w:val="26"/>
          <w:szCs w:val="26"/>
        </w:rPr>
        <w:t xml:space="preserve">the Venice </w:t>
      </w:r>
      <w:r w:rsidR="006D6A68" w:rsidRPr="00EE6ED7">
        <w:rPr>
          <w:sz w:val="26"/>
          <w:szCs w:val="26"/>
        </w:rPr>
        <w:t xml:space="preserve">Haggadah </w:t>
      </w:r>
      <w:r w:rsidRPr="00EE6ED7">
        <w:rPr>
          <w:sz w:val="26"/>
          <w:szCs w:val="26"/>
        </w:rPr>
        <w:t>of 1609</w:t>
      </w:r>
      <w:r w:rsidR="00362ABF">
        <w:rPr>
          <w:sz w:val="26"/>
          <w:szCs w:val="26"/>
        </w:rPr>
        <w:t>,</w:t>
      </w:r>
      <w:r w:rsidRPr="00EE6ED7">
        <w:rPr>
          <w:sz w:val="26"/>
          <w:szCs w:val="26"/>
        </w:rPr>
        <w:t xml:space="preserve"> and the Livorno </w:t>
      </w:r>
      <w:r w:rsidR="006D6A68" w:rsidRPr="00EE6ED7">
        <w:rPr>
          <w:sz w:val="26"/>
          <w:szCs w:val="26"/>
        </w:rPr>
        <w:t xml:space="preserve">Haggadot </w:t>
      </w:r>
      <w:r w:rsidRPr="00EE6ED7">
        <w:rPr>
          <w:sz w:val="26"/>
          <w:szCs w:val="26"/>
        </w:rPr>
        <w:t xml:space="preserve">of 1794, 1807, 1827, 1839, 1843, 1867, and 1932, the Judeo-Spanish translation has </w:t>
      </w:r>
      <w:r w:rsidRPr="00EE6ED7">
        <w:rPr>
          <w:sz w:val="26"/>
          <w:szCs w:val="26"/>
          <w:rtl/>
        </w:rPr>
        <w:t>קוּאַנְטוֹ</w:t>
      </w:r>
      <w:r w:rsidRPr="00EE6ED7">
        <w:rPr>
          <w:sz w:val="26"/>
          <w:szCs w:val="26"/>
        </w:rPr>
        <w:t xml:space="preserve"> “how (very).”</w:t>
      </w:r>
      <w:r w:rsidRPr="00EE6ED7">
        <w:rPr>
          <w:sz w:val="26"/>
          <w:szCs w:val="26"/>
          <w:vertAlign w:val="superscript"/>
        </w:rPr>
        <w:footnoteReference w:id="140"/>
      </w:r>
      <w:r w:rsidR="0014624C" w:rsidRPr="00EE6ED7">
        <w:rPr>
          <w:sz w:val="26"/>
          <w:szCs w:val="26"/>
        </w:rPr>
        <w:t xml:space="preserve"> </w:t>
      </w:r>
      <w:r w:rsidRPr="00EE6ED7">
        <w:rPr>
          <w:sz w:val="26"/>
          <w:szCs w:val="26"/>
        </w:rPr>
        <w:t>In the nineteenth century, this interpretation appears in an Italian and a German translation as well.</w:t>
      </w:r>
      <w:r w:rsidRPr="00EE6ED7">
        <w:rPr>
          <w:sz w:val="26"/>
          <w:szCs w:val="26"/>
          <w:vertAlign w:val="superscript"/>
        </w:rPr>
        <w:footnoteReference w:id="141"/>
      </w:r>
      <w:r w:rsidR="0014624C" w:rsidRPr="00EE6ED7">
        <w:rPr>
          <w:sz w:val="26"/>
          <w:szCs w:val="26"/>
        </w:rPr>
        <w:t xml:space="preserve"> </w:t>
      </w:r>
      <w:r w:rsidRPr="00EE6ED7">
        <w:rPr>
          <w:sz w:val="26"/>
          <w:szCs w:val="26"/>
        </w:rPr>
        <w:t xml:space="preserve">It may well be post-medieval; Sephardim of the fourteenth and fifteenth centuries still understood </w:t>
      </w:r>
      <w:r w:rsidRPr="00EE6ED7">
        <w:rPr>
          <w:sz w:val="26"/>
          <w:szCs w:val="26"/>
          <w:rtl/>
        </w:rPr>
        <w:t>מה נשתנה</w:t>
      </w:r>
      <w:r w:rsidRPr="00EE6ED7">
        <w:rPr>
          <w:sz w:val="26"/>
          <w:szCs w:val="26"/>
        </w:rPr>
        <w:t xml:space="preserve"> as a question.</w:t>
      </w:r>
      <w:r w:rsidR="0014624C" w:rsidRPr="00EE6ED7">
        <w:rPr>
          <w:sz w:val="26"/>
          <w:szCs w:val="26"/>
        </w:rPr>
        <w:t xml:space="preserve"> </w:t>
      </w:r>
      <w:r w:rsidRPr="00EE6ED7">
        <w:rPr>
          <w:sz w:val="26"/>
          <w:szCs w:val="26"/>
        </w:rPr>
        <w:t xml:space="preserve">Indeed, as late as 1552, the Ferrara Ladino </w:t>
      </w:r>
      <w:r w:rsidR="006D6A68" w:rsidRPr="00EE6ED7">
        <w:rPr>
          <w:sz w:val="26"/>
          <w:szCs w:val="26"/>
        </w:rPr>
        <w:t xml:space="preserve">Siddur </w:t>
      </w:r>
      <w:r w:rsidRPr="00EE6ED7">
        <w:rPr>
          <w:sz w:val="26"/>
          <w:szCs w:val="26"/>
        </w:rPr>
        <w:t xml:space="preserve">translates </w:t>
      </w:r>
      <w:r w:rsidRPr="00EE6ED7">
        <w:rPr>
          <w:i/>
          <w:sz w:val="26"/>
          <w:szCs w:val="26"/>
        </w:rPr>
        <w:t>por que</w:t>
      </w:r>
      <w:r w:rsidRPr="00EE6ED7">
        <w:rPr>
          <w:sz w:val="26"/>
          <w:szCs w:val="26"/>
        </w:rPr>
        <w:t xml:space="preserve"> and uses a question mark.</w:t>
      </w:r>
    </w:p>
    <w:p w:rsidR="00105DEE" w:rsidRPr="00EE6ED7" w:rsidRDefault="00105DEE" w:rsidP="007904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In Ashkenaz, the disappearance of the original interpretation was a more gradual process, which can be traced in dated translations.</w:t>
      </w:r>
      <w:r w:rsidR="0014624C" w:rsidRPr="00EE6ED7">
        <w:rPr>
          <w:sz w:val="26"/>
          <w:szCs w:val="26"/>
        </w:rPr>
        <w:t xml:space="preserve"> </w:t>
      </w:r>
      <w:r w:rsidRPr="00EE6ED7">
        <w:rPr>
          <w:sz w:val="26"/>
          <w:szCs w:val="26"/>
        </w:rPr>
        <w:t>In a manuscript dated 1535, we have</w:t>
      </w:r>
      <w:r w:rsidRPr="00EE6ED7">
        <w:rPr>
          <w:sz w:val="26"/>
          <w:szCs w:val="26"/>
          <w:rtl/>
        </w:rPr>
        <w:t>װאש אישט פֿור ענדרט דיא נכֿט דיזא מען</w:t>
      </w:r>
      <w:r w:rsidR="00456516">
        <w:rPr>
          <w:rFonts w:hint="cs"/>
          <w:sz w:val="26"/>
          <w:szCs w:val="26"/>
          <w:rtl/>
        </w:rPr>
        <w:t xml:space="preserve"> [!]</w:t>
      </w:r>
      <w:r w:rsidRPr="00EE6ED7">
        <w:rPr>
          <w:sz w:val="26"/>
          <w:szCs w:val="26"/>
          <w:rtl/>
        </w:rPr>
        <w:t xml:space="preserve"> װען </w:t>
      </w:r>
      <w:r w:rsidR="00456516">
        <w:rPr>
          <w:rFonts w:hint="cs"/>
          <w:sz w:val="26"/>
          <w:szCs w:val="26"/>
          <w:rtl/>
        </w:rPr>
        <w:t xml:space="preserve">[!] </w:t>
      </w:r>
      <w:r w:rsidRPr="00EE6ED7">
        <w:rPr>
          <w:sz w:val="26"/>
          <w:szCs w:val="26"/>
          <w:rtl/>
        </w:rPr>
        <w:t>אלי נעכֿט דש אל נעכֿט</w:t>
      </w:r>
      <w:r w:rsidR="000A4652">
        <w:rPr>
          <w:sz w:val="26"/>
          <w:szCs w:val="26"/>
          <w:rtl/>
        </w:rPr>
        <w:t xml:space="preserve">... </w:t>
      </w:r>
      <w:r w:rsidRPr="00EE6ED7">
        <w:rPr>
          <w:sz w:val="26"/>
          <w:szCs w:val="26"/>
          <w:rtl/>
        </w:rPr>
        <w:t>אונ' דיא נכֿט דיזא</w:t>
      </w:r>
      <w:r w:rsidR="000A4652">
        <w:rPr>
          <w:sz w:val="26"/>
          <w:szCs w:val="26"/>
          <w:rtl/>
        </w:rPr>
        <w:t>...</w:t>
      </w:r>
      <w:r w:rsidR="00BC1FC9">
        <w:rPr>
          <w:rFonts w:hint="cs"/>
          <w:sz w:val="26"/>
          <w:szCs w:val="26"/>
          <w:rtl/>
        </w:rPr>
        <w:t xml:space="preserve"> </w:t>
      </w:r>
      <w:r w:rsidRPr="00EE6ED7">
        <w:rPr>
          <w:sz w:val="26"/>
          <w:szCs w:val="26"/>
          <w:rtl/>
        </w:rPr>
        <w:t>דש אל נעכֿט</w:t>
      </w:r>
      <w:r w:rsidR="000A4652">
        <w:rPr>
          <w:sz w:val="26"/>
          <w:szCs w:val="26"/>
          <w:rtl/>
        </w:rPr>
        <w:t xml:space="preserve">... </w:t>
      </w:r>
      <w:r w:rsidRPr="00EE6ED7">
        <w:rPr>
          <w:sz w:val="26"/>
          <w:szCs w:val="26"/>
          <w:rtl/>
        </w:rPr>
        <w:t>דיא נכֿט</w:t>
      </w:r>
      <w:r w:rsidR="000A4652">
        <w:rPr>
          <w:sz w:val="26"/>
          <w:szCs w:val="26"/>
          <w:rtl/>
        </w:rPr>
        <w:t>...</w:t>
      </w:r>
      <w:r w:rsidR="00BC1FC9">
        <w:rPr>
          <w:rFonts w:hint="cs"/>
          <w:sz w:val="26"/>
          <w:szCs w:val="26"/>
          <w:rtl/>
        </w:rPr>
        <w:t xml:space="preserve"> </w:t>
      </w:r>
      <w:r w:rsidRPr="00EE6ED7">
        <w:rPr>
          <w:sz w:val="26"/>
          <w:szCs w:val="26"/>
          <w:rtl/>
        </w:rPr>
        <w:t>דש אל דיא נעכֿט</w:t>
      </w:r>
      <w:r w:rsidR="000A4652">
        <w:rPr>
          <w:sz w:val="26"/>
          <w:szCs w:val="26"/>
          <w:rtl/>
        </w:rPr>
        <w:t xml:space="preserve">... </w:t>
      </w:r>
      <w:r w:rsidRPr="00EE6ED7">
        <w:rPr>
          <w:sz w:val="26"/>
          <w:szCs w:val="26"/>
          <w:rtl/>
        </w:rPr>
        <w:t>אונ' דיא נכֿט דיא דיזא</w:t>
      </w:r>
      <w:r w:rsidR="000A4652">
        <w:rPr>
          <w:sz w:val="26"/>
          <w:szCs w:val="26"/>
          <w:rtl/>
        </w:rPr>
        <w:t xml:space="preserve">... </w:t>
      </w:r>
      <w:r w:rsidRPr="00EE6ED7">
        <w:rPr>
          <w:sz w:val="26"/>
          <w:szCs w:val="26"/>
          <w:rtl/>
        </w:rPr>
        <w:t>דש אל נעכֿט</w:t>
      </w:r>
      <w:r w:rsidR="000A4652">
        <w:rPr>
          <w:sz w:val="26"/>
          <w:szCs w:val="26"/>
          <w:rtl/>
        </w:rPr>
        <w:t xml:space="preserve">... </w:t>
      </w:r>
      <w:r w:rsidRPr="00EE6ED7">
        <w:rPr>
          <w:sz w:val="26"/>
          <w:szCs w:val="26"/>
          <w:rtl/>
        </w:rPr>
        <w:t>אונ' דיא נכֿט דיז</w:t>
      </w:r>
      <w:r w:rsidR="00CA6C9E">
        <w:rPr>
          <w:rFonts w:hint="cs"/>
          <w:sz w:val="26"/>
          <w:szCs w:val="26"/>
          <w:rtl/>
        </w:rPr>
        <w:t>א...</w:t>
      </w:r>
      <w:r w:rsidR="000A4652">
        <w:rPr>
          <w:sz w:val="26"/>
          <w:szCs w:val="26"/>
        </w:rPr>
        <w:t xml:space="preserve"> </w:t>
      </w:r>
      <w:r w:rsidRPr="00EE6ED7">
        <w:rPr>
          <w:sz w:val="26"/>
          <w:szCs w:val="26"/>
        </w:rPr>
        <w:t>“What is changed (about) this night more than</w:t>
      </w:r>
      <w:r w:rsidRPr="00EE6ED7">
        <w:rPr>
          <w:sz w:val="26"/>
          <w:szCs w:val="26"/>
          <w:vertAlign w:val="superscript"/>
        </w:rPr>
        <w:footnoteReference w:id="142"/>
      </w:r>
      <w:r w:rsidRPr="00EE6ED7">
        <w:rPr>
          <w:sz w:val="26"/>
          <w:szCs w:val="26"/>
        </w:rPr>
        <w:t xml:space="preserve"> all nights that all nights</w:t>
      </w:r>
      <w:r w:rsidR="000A4652">
        <w:rPr>
          <w:sz w:val="26"/>
          <w:szCs w:val="26"/>
        </w:rPr>
        <w:t>...</w:t>
      </w:r>
      <w:r w:rsidRPr="00EE6ED7">
        <w:rPr>
          <w:sz w:val="26"/>
          <w:szCs w:val="26"/>
        </w:rPr>
        <w:t>, and this night</w:t>
      </w:r>
      <w:r w:rsidR="000A4652">
        <w:rPr>
          <w:sz w:val="26"/>
          <w:szCs w:val="26"/>
        </w:rPr>
        <w:t>...</w:t>
      </w:r>
      <w:r w:rsidRPr="00EE6ED7">
        <w:rPr>
          <w:sz w:val="26"/>
          <w:szCs w:val="26"/>
        </w:rPr>
        <w:t>; that all nights</w:t>
      </w:r>
      <w:r w:rsidR="000A4652">
        <w:rPr>
          <w:sz w:val="26"/>
          <w:szCs w:val="26"/>
        </w:rPr>
        <w:t>...</w:t>
      </w:r>
      <w:r w:rsidRPr="00EE6ED7">
        <w:rPr>
          <w:sz w:val="26"/>
          <w:szCs w:val="26"/>
        </w:rPr>
        <w:t>, this night</w:t>
      </w:r>
      <w:r w:rsidR="000A4652">
        <w:rPr>
          <w:sz w:val="26"/>
          <w:szCs w:val="26"/>
        </w:rPr>
        <w:t>...</w:t>
      </w:r>
      <w:r w:rsidRPr="00EE6ED7">
        <w:rPr>
          <w:sz w:val="26"/>
          <w:szCs w:val="26"/>
        </w:rPr>
        <w:t>; that all the nights</w:t>
      </w:r>
      <w:r w:rsidR="000A4652">
        <w:rPr>
          <w:sz w:val="26"/>
          <w:szCs w:val="26"/>
        </w:rPr>
        <w:t>...</w:t>
      </w:r>
      <w:r w:rsidRPr="00EE6ED7">
        <w:rPr>
          <w:sz w:val="26"/>
          <w:szCs w:val="26"/>
        </w:rPr>
        <w:t>, and this night</w:t>
      </w:r>
      <w:r w:rsidR="000A4652">
        <w:rPr>
          <w:sz w:val="26"/>
          <w:szCs w:val="26"/>
        </w:rPr>
        <w:t>...</w:t>
      </w:r>
      <w:r w:rsidRPr="00EE6ED7">
        <w:rPr>
          <w:sz w:val="26"/>
          <w:szCs w:val="26"/>
        </w:rPr>
        <w:t>; that all nights</w:t>
      </w:r>
      <w:r w:rsidR="000A4652">
        <w:rPr>
          <w:sz w:val="26"/>
          <w:szCs w:val="26"/>
        </w:rPr>
        <w:t>...</w:t>
      </w:r>
      <w:r w:rsidRPr="00EE6ED7">
        <w:rPr>
          <w:sz w:val="26"/>
          <w:szCs w:val="26"/>
        </w:rPr>
        <w:t>, and this night</w:t>
      </w:r>
      <w:r w:rsidR="000A4652">
        <w:rPr>
          <w:sz w:val="26"/>
          <w:szCs w:val="26"/>
        </w:rPr>
        <w:t>...</w:t>
      </w:r>
      <w:r w:rsidRPr="00EE6ED7">
        <w:rPr>
          <w:sz w:val="26"/>
          <w:szCs w:val="26"/>
        </w:rPr>
        <w:t>”</w:t>
      </w:r>
      <w:r w:rsidRPr="00EE6ED7">
        <w:rPr>
          <w:sz w:val="26"/>
          <w:szCs w:val="26"/>
          <w:vertAlign w:val="superscript"/>
        </w:rPr>
        <w:footnoteReference w:id="143"/>
      </w:r>
      <w:r w:rsidR="0014624C" w:rsidRPr="00EE6ED7">
        <w:rPr>
          <w:sz w:val="26"/>
          <w:szCs w:val="26"/>
        </w:rPr>
        <w:t xml:space="preserve"> </w:t>
      </w:r>
      <w:r w:rsidRPr="00EE6ED7">
        <w:rPr>
          <w:sz w:val="26"/>
          <w:szCs w:val="26"/>
        </w:rPr>
        <w:t>It is likely that this translation still reflects interpretation A.</w:t>
      </w:r>
      <w:r w:rsidR="0014624C" w:rsidRPr="00EE6ED7">
        <w:rPr>
          <w:sz w:val="26"/>
          <w:szCs w:val="26"/>
        </w:rPr>
        <w:t xml:space="preserve"> </w:t>
      </w:r>
      <w:r w:rsidRPr="00EE6ED7">
        <w:rPr>
          <w:sz w:val="26"/>
          <w:szCs w:val="26"/>
        </w:rPr>
        <w:t xml:space="preserve">It renders </w:t>
      </w:r>
      <w:r w:rsidRPr="00EE6ED7">
        <w:rPr>
          <w:sz w:val="26"/>
          <w:szCs w:val="26"/>
          <w:rtl/>
        </w:rPr>
        <w:t>מה</w:t>
      </w:r>
      <w:r w:rsidRPr="00EE6ED7">
        <w:rPr>
          <w:sz w:val="26"/>
          <w:szCs w:val="26"/>
        </w:rPr>
        <w:t xml:space="preserve"> with </w:t>
      </w:r>
      <w:r w:rsidRPr="00EE6ED7">
        <w:rPr>
          <w:sz w:val="26"/>
          <w:szCs w:val="26"/>
          <w:rtl/>
        </w:rPr>
        <w:t>װאש</w:t>
      </w:r>
      <w:r w:rsidRPr="00EE6ED7">
        <w:rPr>
          <w:sz w:val="26"/>
          <w:szCs w:val="26"/>
        </w:rPr>
        <w:t xml:space="preserve"> “what” and </w:t>
      </w:r>
      <w:r w:rsidRPr="00EE6ED7">
        <w:rPr>
          <w:sz w:val="26"/>
          <w:szCs w:val="26"/>
          <w:rtl/>
        </w:rPr>
        <w:t>ש-</w:t>
      </w:r>
      <w:r w:rsidRPr="00EE6ED7">
        <w:rPr>
          <w:sz w:val="26"/>
          <w:szCs w:val="26"/>
        </w:rPr>
        <w:t xml:space="preserve"> with </w:t>
      </w:r>
      <w:r w:rsidRPr="00EE6ED7">
        <w:rPr>
          <w:sz w:val="26"/>
          <w:szCs w:val="26"/>
          <w:rtl/>
        </w:rPr>
        <w:t>דש</w:t>
      </w:r>
      <w:r w:rsidRPr="00EE6ED7">
        <w:rPr>
          <w:sz w:val="26"/>
          <w:szCs w:val="26"/>
        </w:rPr>
        <w:t xml:space="preserve"> “that.”</w:t>
      </w:r>
      <w:r w:rsidR="0014624C" w:rsidRPr="00EE6ED7">
        <w:rPr>
          <w:sz w:val="26"/>
          <w:szCs w:val="26"/>
        </w:rPr>
        <w:t xml:space="preserve"> </w:t>
      </w:r>
      <w:r w:rsidRPr="00EE6ED7">
        <w:rPr>
          <w:sz w:val="26"/>
          <w:szCs w:val="26"/>
        </w:rPr>
        <w:t xml:space="preserve">It has no punctuation until the very end, it begins all four of the </w:t>
      </w:r>
      <w:r w:rsidRPr="00EE6ED7">
        <w:rPr>
          <w:sz w:val="26"/>
          <w:szCs w:val="26"/>
          <w:rtl/>
        </w:rPr>
        <w:t>ש</w:t>
      </w:r>
      <w:r w:rsidRPr="00EE6ED7">
        <w:rPr>
          <w:sz w:val="26"/>
          <w:szCs w:val="26"/>
        </w:rPr>
        <w:t xml:space="preserve">-clauses with </w:t>
      </w:r>
      <w:r w:rsidRPr="00EE6ED7">
        <w:rPr>
          <w:sz w:val="26"/>
          <w:szCs w:val="26"/>
          <w:rtl/>
        </w:rPr>
        <w:t>דש</w:t>
      </w:r>
      <w:r w:rsidRPr="00EE6ED7">
        <w:rPr>
          <w:sz w:val="26"/>
          <w:szCs w:val="26"/>
        </w:rPr>
        <w:t xml:space="preserve">, and it has </w:t>
      </w:r>
      <w:r w:rsidRPr="00EE6ED7">
        <w:rPr>
          <w:sz w:val="26"/>
          <w:szCs w:val="26"/>
          <w:rtl/>
        </w:rPr>
        <w:t>אונ'</w:t>
      </w:r>
      <w:r w:rsidRPr="00EE6ED7">
        <w:rPr>
          <w:sz w:val="26"/>
          <w:szCs w:val="26"/>
        </w:rPr>
        <w:t xml:space="preserve"> “and” reflecting </w:t>
      </w:r>
      <w:r w:rsidRPr="00EE6ED7">
        <w:rPr>
          <w:sz w:val="26"/>
          <w:szCs w:val="26"/>
          <w:rtl/>
        </w:rPr>
        <w:t>ו-</w:t>
      </w:r>
      <w:r w:rsidRPr="00EE6ED7">
        <w:rPr>
          <w:sz w:val="26"/>
          <w:szCs w:val="26"/>
        </w:rPr>
        <w:t xml:space="preserve"> in three of those clauses.</w:t>
      </w:r>
    </w:p>
    <w:p w:rsidR="00105DEE" w:rsidRPr="00EE6ED7" w:rsidRDefault="00105DEE" w:rsidP="001258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A translation published around 1590</w:t>
      </w:r>
      <w:r w:rsidR="00117C3A" w:rsidRPr="00EE6ED7">
        <w:rPr>
          <w:sz w:val="26"/>
          <w:szCs w:val="26"/>
        </w:rPr>
        <w:t>–</w:t>
      </w:r>
      <w:r w:rsidRPr="00EE6ED7">
        <w:rPr>
          <w:sz w:val="26"/>
          <w:szCs w:val="26"/>
        </w:rPr>
        <w:t xml:space="preserve">1606 in </w:t>
      </w:r>
      <w:smartTag w:uri="urn:schemas-microsoft-com:office:smarttags" w:element="place">
        <w:smartTag w:uri="urn:schemas-microsoft-com:office:smarttags" w:element="City">
          <w:r w:rsidRPr="00EE6ED7">
            <w:rPr>
              <w:sz w:val="26"/>
              <w:szCs w:val="26"/>
            </w:rPr>
            <w:t>Prague</w:t>
          </w:r>
        </w:smartTag>
      </w:smartTag>
      <w:r w:rsidRPr="00EE6ED7">
        <w:rPr>
          <w:sz w:val="26"/>
          <w:szCs w:val="26"/>
        </w:rPr>
        <w:t xml:space="preserve"> exhibits slight changes pointing to interpretation B:</w:t>
      </w:r>
      <w:r w:rsidRPr="00EE6ED7">
        <w:rPr>
          <w:sz w:val="26"/>
          <w:szCs w:val="26"/>
          <w:rtl/>
        </w:rPr>
        <w:t>װאז איז זיא פֿער ענדרט דיא נאכֿט דיא דיזי מער דען אלי נעכֿט. דז אן אל</w:t>
      </w:r>
      <w:r w:rsidR="006D6A68" w:rsidRPr="00EE6ED7">
        <w:rPr>
          <w:sz w:val="26"/>
          <w:szCs w:val="26"/>
          <w:rtl/>
        </w:rPr>
        <w:t>(</w:t>
      </w:r>
      <w:r w:rsidRPr="00EE6ED7">
        <w:rPr>
          <w:sz w:val="26"/>
          <w:szCs w:val="26"/>
          <w:rtl/>
        </w:rPr>
        <w:t>י</w:t>
      </w:r>
      <w:r w:rsidR="006D6A68" w:rsidRPr="00EE6ED7">
        <w:rPr>
          <w:sz w:val="26"/>
          <w:szCs w:val="26"/>
          <w:rtl/>
        </w:rPr>
        <w:t>)</w:t>
      </w:r>
      <w:r w:rsidRPr="00EE6ED7">
        <w:rPr>
          <w:sz w:val="26"/>
          <w:szCs w:val="26"/>
          <w:rtl/>
        </w:rPr>
        <w:t>ן נעכֿט</w:t>
      </w:r>
      <w:r w:rsidR="006D6A68" w:rsidRPr="00EE6ED7">
        <w:rPr>
          <w:sz w:val="26"/>
          <w:szCs w:val="26"/>
          <w:rtl/>
        </w:rPr>
        <w:t>(</w:t>
      </w:r>
      <w:r w:rsidRPr="00EE6ED7">
        <w:rPr>
          <w:sz w:val="26"/>
          <w:szCs w:val="26"/>
          <w:rtl/>
        </w:rPr>
        <w:t>ן</w:t>
      </w:r>
      <w:r w:rsidR="006D6A68" w:rsidRPr="00EE6ED7">
        <w:rPr>
          <w:sz w:val="26"/>
          <w:szCs w:val="26"/>
          <w:rtl/>
        </w:rPr>
        <w:t>)</w:t>
      </w:r>
      <w:r w:rsidR="000A4652">
        <w:rPr>
          <w:sz w:val="26"/>
          <w:szCs w:val="26"/>
          <w:rtl/>
        </w:rPr>
        <w:t xml:space="preserve">... </w:t>
      </w:r>
      <w:r w:rsidRPr="00EE6ED7">
        <w:rPr>
          <w:sz w:val="26"/>
          <w:szCs w:val="26"/>
          <w:rtl/>
        </w:rPr>
        <w:t>דיא נאכֿט דיא דיז</w:t>
      </w:r>
      <w:r w:rsidR="005D099F">
        <w:rPr>
          <w:rFonts w:hint="cs"/>
          <w:sz w:val="26"/>
          <w:szCs w:val="26"/>
          <w:rtl/>
        </w:rPr>
        <w:t>י...</w:t>
      </w:r>
      <w:r w:rsidR="005D099F">
        <w:rPr>
          <w:sz w:val="26"/>
          <w:szCs w:val="26"/>
        </w:rPr>
        <w:t>.</w:t>
      </w:r>
      <w:r w:rsidR="007904D3" w:rsidRPr="007904D3">
        <w:rPr>
          <w:sz w:val="26"/>
          <w:szCs w:val="26"/>
          <w:vertAlign w:val="superscript"/>
          <w:rtl/>
        </w:rPr>
        <w:t xml:space="preserve"> </w:t>
      </w:r>
      <w:r w:rsidR="007904D3" w:rsidRPr="00EE6ED7">
        <w:rPr>
          <w:sz w:val="26"/>
          <w:szCs w:val="26"/>
          <w:vertAlign w:val="superscript"/>
          <w:rtl/>
        </w:rPr>
        <w:footnoteReference w:id="144"/>
      </w:r>
      <w:r w:rsidRPr="00EE6ED7">
        <w:rPr>
          <w:sz w:val="26"/>
          <w:szCs w:val="26"/>
        </w:rPr>
        <w:t xml:space="preserve">Here we have a period before the first “that,” and the conjunction “and”—one of the components of the long version of the </w:t>
      </w:r>
      <w:r w:rsidRPr="00EE6ED7">
        <w:rPr>
          <w:sz w:val="26"/>
          <w:szCs w:val="26"/>
          <w:rtl/>
        </w:rPr>
        <w:t>מה נשתנה</w:t>
      </w:r>
      <w:r w:rsidRPr="00EE6ED7">
        <w:rPr>
          <w:sz w:val="26"/>
          <w:szCs w:val="26"/>
        </w:rPr>
        <w:t xml:space="preserve"> formula—is </w:t>
      </w:r>
      <w:r w:rsidR="007904D3">
        <w:rPr>
          <w:sz w:val="26"/>
          <w:szCs w:val="26"/>
        </w:rPr>
        <w:t>found only before the last “that</w:t>
      </w:r>
      <w:r w:rsidRPr="00EE6ED7">
        <w:rPr>
          <w:sz w:val="26"/>
          <w:szCs w:val="26"/>
        </w:rPr>
        <w:t>.</w:t>
      </w:r>
      <w:r w:rsidR="007904D3">
        <w:rPr>
          <w:sz w:val="26"/>
          <w:szCs w:val="26"/>
        </w:rPr>
        <w:t>”</w:t>
      </w:r>
      <w:r w:rsidR="0014624C" w:rsidRPr="00EE6ED7">
        <w:rPr>
          <w:sz w:val="26"/>
          <w:szCs w:val="26"/>
        </w:rPr>
        <w:t xml:space="preserve"> </w:t>
      </w:r>
      <w:r w:rsidR="007904D3">
        <w:rPr>
          <w:sz w:val="26"/>
          <w:szCs w:val="26"/>
        </w:rPr>
        <w:t>T</w:t>
      </w:r>
      <w:r w:rsidRPr="00EE6ED7">
        <w:rPr>
          <w:sz w:val="26"/>
          <w:szCs w:val="26"/>
        </w:rPr>
        <w:t xml:space="preserve">he Venice </w:t>
      </w:r>
      <w:r w:rsidR="009E20F5" w:rsidRPr="00EE6ED7">
        <w:rPr>
          <w:sz w:val="26"/>
          <w:szCs w:val="26"/>
        </w:rPr>
        <w:t xml:space="preserve">Haggadah </w:t>
      </w:r>
      <w:r w:rsidRPr="00EE6ED7">
        <w:rPr>
          <w:sz w:val="26"/>
          <w:szCs w:val="26"/>
        </w:rPr>
        <w:t>of 1609</w:t>
      </w:r>
      <w:r w:rsidR="007904D3">
        <w:rPr>
          <w:sz w:val="26"/>
          <w:szCs w:val="26"/>
        </w:rPr>
        <w:t xml:space="preserve"> goes slightly further</w:t>
      </w:r>
      <w:r w:rsidRPr="00EE6ED7">
        <w:rPr>
          <w:sz w:val="26"/>
          <w:szCs w:val="26"/>
        </w:rPr>
        <w:t>:</w:t>
      </w:r>
      <w:r w:rsidRPr="00EE6ED7">
        <w:rPr>
          <w:sz w:val="26"/>
          <w:szCs w:val="26"/>
          <w:rtl/>
        </w:rPr>
        <w:t xml:space="preserve">װאז איז זיא ור ענדרט דיא נאכֿט דיא דיז מיר דען אלי נעכֿט. דש/דז </w:t>
      </w:r>
      <w:r w:rsidR="007904D3">
        <w:rPr>
          <w:rFonts w:hint="cs"/>
          <w:sz w:val="26"/>
          <w:szCs w:val="26"/>
          <w:rtl/>
        </w:rPr>
        <w:t>(</w:t>
      </w:r>
      <w:r w:rsidRPr="00EE6ED7">
        <w:rPr>
          <w:sz w:val="26"/>
          <w:szCs w:val="26"/>
          <w:rtl/>
        </w:rPr>
        <w:t>אן</w:t>
      </w:r>
      <w:r w:rsidR="007904D3">
        <w:rPr>
          <w:rFonts w:hint="cs"/>
          <w:sz w:val="26"/>
          <w:szCs w:val="26"/>
          <w:rtl/>
        </w:rPr>
        <w:t>)</w:t>
      </w:r>
      <w:r w:rsidRPr="00EE6ED7">
        <w:rPr>
          <w:sz w:val="26"/>
          <w:szCs w:val="26"/>
          <w:rtl/>
        </w:rPr>
        <w:t xml:space="preserve"> אלן נעכֿטן</w:t>
      </w:r>
      <w:r w:rsidR="000A4652">
        <w:rPr>
          <w:sz w:val="26"/>
          <w:szCs w:val="26"/>
          <w:rtl/>
        </w:rPr>
        <w:t xml:space="preserve">... </w:t>
      </w:r>
      <w:r w:rsidRPr="00EE6ED7">
        <w:rPr>
          <w:sz w:val="26"/>
          <w:szCs w:val="26"/>
          <w:rtl/>
        </w:rPr>
        <w:t>די</w:t>
      </w:r>
      <w:r w:rsidR="009E20F5" w:rsidRPr="00EE6ED7">
        <w:rPr>
          <w:sz w:val="26"/>
          <w:szCs w:val="26"/>
          <w:rtl/>
        </w:rPr>
        <w:t>(</w:t>
      </w:r>
      <w:r w:rsidRPr="00EE6ED7">
        <w:rPr>
          <w:sz w:val="26"/>
          <w:szCs w:val="26"/>
          <w:rtl/>
        </w:rPr>
        <w:t>א</w:t>
      </w:r>
      <w:r w:rsidR="009E20F5" w:rsidRPr="00EE6ED7">
        <w:rPr>
          <w:sz w:val="26"/>
          <w:szCs w:val="26"/>
          <w:rtl/>
        </w:rPr>
        <w:t xml:space="preserve">) </w:t>
      </w:r>
      <w:r w:rsidRPr="00EE6ED7">
        <w:rPr>
          <w:sz w:val="26"/>
          <w:szCs w:val="26"/>
          <w:rtl/>
        </w:rPr>
        <w:t>נ</w:t>
      </w:r>
      <w:r w:rsidR="009E20F5" w:rsidRPr="00EE6ED7">
        <w:rPr>
          <w:sz w:val="26"/>
          <w:szCs w:val="26"/>
          <w:rtl/>
        </w:rPr>
        <w:t>(</w:t>
      </w:r>
      <w:r w:rsidRPr="00EE6ED7">
        <w:rPr>
          <w:sz w:val="26"/>
          <w:szCs w:val="26"/>
          <w:rtl/>
        </w:rPr>
        <w:t>א</w:t>
      </w:r>
      <w:r w:rsidR="009E20F5" w:rsidRPr="00EE6ED7">
        <w:rPr>
          <w:sz w:val="26"/>
          <w:szCs w:val="26"/>
          <w:rtl/>
        </w:rPr>
        <w:t>)</w:t>
      </w:r>
      <w:r w:rsidRPr="00EE6ED7">
        <w:rPr>
          <w:sz w:val="26"/>
          <w:szCs w:val="26"/>
          <w:rtl/>
        </w:rPr>
        <w:t>כֿט די</w:t>
      </w:r>
      <w:r w:rsidR="009E20F5" w:rsidRPr="00EE6ED7">
        <w:rPr>
          <w:sz w:val="26"/>
          <w:szCs w:val="26"/>
          <w:rtl/>
        </w:rPr>
        <w:t>(</w:t>
      </w:r>
      <w:r w:rsidRPr="00EE6ED7">
        <w:rPr>
          <w:sz w:val="26"/>
          <w:szCs w:val="26"/>
          <w:rtl/>
        </w:rPr>
        <w:t>א</w:t>
      </w:r>
      <w:r w:rsidR="009E20F5" w:rsidRPr="00EE6ED7">
        <w:rPr>
          <w:sz w:val="26"/>
          <w:szCs w:val="26"/>
          <w:rtl/>
        </w:rPr>
        <w:t>)</w:t>
      </w:r>
      <w:r w:rsidR="0012587B">
        <w:rPr>
          <w:rFonts w:hint="cs"/>
          <w:sz w:val="26"/>
          <w:szCs w:val="26"/>
          <w:rtl/>
        </w:rPr>
        <w:t xml:space="preserve"> </w:t>
      </w:r>
      <w:r w:rsidRPr="00EE6ED7">
        <w:rPr>
          <w:sz w:val="26"/>
          <w:szCs w:val="26"/>
          <w:rtl/>
        </w:rPr>
        <w:t>די</w:t>
      </w:r>
      <w:r w:rsidR="00362ABF">
        <w:rPr>
          <w:rFonts w:hint="cs"/>
          <w:sz w:val="26"/>
          <w:szCs w:val="26"/>
          <w:rtl/>
        </w:rPr>
        <w:t>ז</w:t>
      </w:r>
      <w:r w:rsidR="0012587B">
        <w:rPr>
          <w:rFonts w:hint="cs"/>
          <w:sz w:val="26"/>
          <w:szCs w:val="26"/>
          <w:rtl/>
        </w:rPr>
        <w:t>(א)</w:t>
      </w:r>
      <w:r w:rsidR="000A4652">
        <w:rPr>
          <w:sz w:val="26"/>
          <w:szCs w:val="26"/>
          <w:rtl/>
        </w:rPr>
        <w:t>...</w:t>
      </w:r>
      <w:r w:rsidR="005D099F">
        <w:rPr>
          <w:sz w:val="26"/>
          <w:szCs w:val="26"/>
        </w:rPr>
        <w:t xml:space="preserve">. </w:t>
      </w:r>
      <w:r w:rsidR="0012587B">
        <w:rPr>
          <w:sz w:val="26"/>
          <w:szCs w:val="26"/>
        </w:rPr>
        <w:t>Here</w:t>
      </w:r>
      <w:r w:rsidRPr="00EE6ED7">
        <w:rPr>
          <w:sz w:val="26"/>
          <w:szCs w:val="26"/>
        </w:rPr>
        <w:t xml:space="preserve"> the conjunc</w:t>
      </w:r>
      <w:r w:rsidR="0012587B">
        <w:rPr>
          <w:sz w:val="26"/>
          <w:szCs w:val="26"/>
        </w:rPr>
        <w:t xml:space="preserve">tion “and” is completely absent, and there is </w:t>
      </w:r>
      <w:r w:rsidRPr="00EE6ED7">
        <w:rPr>
          <w:sz w:val="26"/>
          <w:szCs w:val="26"/>
        </w:rPr>
        <w:t xml:space="preserve">a period before </w:t>
      </w:r>
      <w:r w:rsidRPr="00124276">
        <w:rPr>
          <w:i/>
          <w:iCs/>
          <w:sz w:val="26"/>
          <w:szCs w:val="26"/>
        </w:rPr>
        <w:t>every</w:t>
      </w:r>
      <w:r w:rsidRPr="00EE6ED7">
        <w:rPr>
          <w:sz w:val="26"/>
          <w:szCs w:val="26"/>
        </w:rPr>
        <w:t xml:space="preserve"> “that.”</w:t>
      </w:r>
      <w:r w:rsidR="0014624C" w:rsidRPr="00EE6ED7">
        <w:rPr>
          <w:sz w:val="26"/>
          <w:szCs w:val="26"/>
        </w:rPr>
        <w:t xml:space="preserve"> </w:t>
      </w:r>
      <w:r w:rsidR="0012587B">
        <w:rPr>
          <w:sz w:val="26"/>
          <w:szCs w:val="26"/>
        </w:rPr>
        <w:t>T</w:t>
      </w:r>
      <w:r w:rsidRPr="00EE6ED7">
        <w:rPr>
          <w:sz w:val="26"/>
          <w:szCs w:val="26"/>
        </w:rPr>
        <w:t xml:space="preserve">he Frankfurt </w:t>
      </w:r>
      <w:r w:rsidR="009E20F5" w:rsidRPr="00EE6ED7">
        <w:rPr>
          <w:sz w:val="26"/>
          <w:szCs w:val="26"/>
        </w:rPr>
        <w:t xml:space="preserve">Haggadah </w:t>
      </w:r>
      <w:r w:rsidRPr="00EE6ED7">
        <w:rPr>
          <w:sz w:val="26"/>
          <w:szCs w:val="26"/>
        </w:rPr>
        <w:t>of 1691</w:t>
      </w:r>
      <w:r w:rsidR="0012587B">
        <w:rPr>
          <w:sz w:val="26"/>
          <w:szCs w:val="26"/>
        </w:rPr>
        <w:t xml:space="preserve"> is similar</w:t>
      </w:r>
      <w:r w:rsidRPr="00EE6ED7">
        <w:rPr>
          <w:sz w:val="26"/>
          <w:szCs w:val="26"/>
        </w:rPr>
        <w:t>:</w:t>
      </w:r>
      <w:r w:rsidRPr="00EE6ED7">
        <w:rPr>
          <w:sz w:val="26"/>
          <w:szCs w:val="26"/>
          <w:rtl/>
        </w:rPr>
        <w:t>װאש איז זי פֿאר ענדרט דיא נאכֿט דיא דיז מער דען אלי נאכֿט. דש/דז אן אלן נאכֿט</w:t>
      </w:r>
      <w:r w:rsidR="009E20F5" w:rsidRPr="00EE6ED7">
        <w:rPr>
          <w:sz w:val="26"/>
          <w:szCs w:val="26"/>
          <w:rtl/>
        </w:rPr>
        <w:t>(</w:t>
      </w:r>
      <w:r w:rsidRPr="00EE6ED7">
        <w:rPr>
          <w:sz w:val="26"/>
          <w:szCs w:val="26"/>
          <w:rtl/>
        </w:rPr>
        <w:t>ן</w:t>
      </w:r>
      <w:r w:rsidR="009E20F5" w:rsidRPr="00EE6ED7">
        <w:rPr>
          <w:sz w:val="26"/>
          <w:szCs w:val="26"/>
          <w:rtl/>
        </w:rPr>
        <w:t>)</w:t>
      </w:r>
      <w:r w:rsidRPr="00EE6ED7">
        <w:rPr>
          <w:sz w:val="26"/>
          <w:szCs w:val="26"/>
          <w:rtl/>
        </w:rPr>
        <w:t>/נעכֿטן</w:t>
      </w:r>
      <w:r w:rsidR="000A4652">
        <w:rPr>
          <w:sz w:val="26"/>
          <w:szCs w:val="26"/>
          <w:rtl/>
        </w:rPr>
        <w:t xml:space="preserve">... </w:t>
      </w:r>
      <w:r w:rsidRPr="00EE6ED7">
        <w:rPr>
          <w:sz w:val="26"/>
          <w:szCs w:val="26"/>
          <w:rtl/>
        </w:rPr>
        <w:t>דיא נאכֿט/נעכֿטן דיא דיז</w:t>
      </w:r>
      <w:r w:rsidR="009E20F5" w:rsidRPr="00EE6ED7">
        <w:rPr>
          <w:sz w:val="26"/>
          <w:szCs w:val="26"/>
          <w:rtl/>
        </w:rPr>
        <w:t>(</w:t>
      </w:r>
      <w:r w:rsidRPr="00EE6ED7">
        <w:rPr>
          <w:sz w:val="26"/>
          <w:szCs w:val="26"/>
          <w:rtl/>
        </w:rPr>
        <w:t>י</w:t>
      </w:r>
      <w:r w:rsidR="009E20F5" w:rsidRPr="00EE6ED7">
        <w:rPr>
          <w:sz w:val="26"/>
          <w:szCs w:val="26"/>
          <w:rtl/>
        </w:rPr>
        <w:t>)</w:t>
      </w:r>
      <w:r w:rsidR="000A4652">
        <w:rPr>
          <w:sz w:val="26"/>
          <w:szCs w:val="26"/>
          <w:rtl/>
        </w:rPr>
        <w:t>...</w:t>
      </w:r>
      <w:r w:rsidR="005D099F">
        <w:rPr>
          <w:sz w:val="26"/>
          <w:szCs w:val="26"/>
        </w:rPr>
        <w:t>.</w:t>
      </w:r>
      <w:r w:rsidR="0012587B" w:rsidRPr="00EE6ED7">
        <w:rPr>
          <w:sz w:val="26"/>
          <w:szCs w:val="26"/>
          <w:vertAlign w:val="superscript"/>
          <w:rtl/>
        </w:rPr>
        <w:footnoteReference w:id="145"/>
      </w:r>
      <w:r w:rsidR="0014624C" w:rsidRPr="00EE6ED7">
        <w:rPr>
          <w:sz w:val="26"/>
          <w:szCs w:val="26"/>
        </w:rPr>
        <w:t xml:space="preserve"> </w:t>
      </w:r>
      <w:r w:rsidRPr="00EE6ED7">
        <w:rPr>
          <w:sz w:val="26"/>
          <w:szCs w:val="26"/>
        </w:rPr>
        <w:t xml:space="preserve">This translation lives on almost unchanged in the Amsterdam </w:t>
      </w:r>
      <w:r w:rsidR="009E20F5" w:rsidRPr="00EE6ED7">
        <w:rPr>
          <w:sz w:val="26"/>
          <w:szCs w:val="26"/>
        </w:rPr>
        <w:t xml:space="preserve">Haggadot </w:t>
      </w:r>
      <w:r w:rsidRPr="00EE6ED7">
        <w:rPr>
          <w:sz w:val="26"/>
          <w:szCs w:val="26"/>
        </w:rPr>
        <w:t>of 1765, 1790 and 1804,</w:t>
      </w:r>
      <w:r w:rsidRPr="00EE6ED7">
        <w:rPr>
          <w:sz w:val="26"/>
          <w:szCs w:val="26"/>
          <w:vertAlign w:val="superscript"/>
        </w:rPr>
        <w:footnoteReference w:id="146"/>
      </w:r>
      <w:r w:rsidRPr="00EE6ED7">
        <w:rPr>
          <w:sz w:val="26"/>
          <w:szCs w:val="26"/>
        </w:rPr>
        <w:t xml:space="preserve"> but elsewhere we find new translations, exhibiting further change.</w:t>
      </w:r>
    </w:p>
    <w:p w:rsidR="00105DEE" w:rsidRPr="00EE6ED7" w:rsidRDefault="00105DEE" w:rsidP="00E11FF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A translation in a manuscript from 1729 manifests clearer sign</w:t>
      </w:r>
      <w:r w:rsidR="007825E4">
        <w:rPr>
          <w:sz w:val="26"/>
          <w:szCs w:val="26"/>
        </w:rPr>
        <w:t>s</w:t>
      </w:r>
      <w:r w:rsidRPr="00EE6ED7">
        <w:rPr>
          <w:sz w:val="26"/>
          <w:szCs w:val="26"/>
        </w:rPr>
        <w:t xml:space="preserve"> of the reinterpretation, </w:t>
      </w:r>
      <w:r w:rsidR="007825E4">
        <w:rPr>
          <w:sz w:val="26"/>
          <w:szCs w:val="26"/>
        </w:rPr>
        <w:t xml:space="preserve">beginning </w:t>
      </w:r>
      <w:r w:rsidRPr="00EE6ED7">
        <w:rPr>
          <w:sz w:val="26"/>
          <w:szCs w:val="26"/>
        </w:rPr>
        <w:t xml:space="preserve">the transition </w:t>
      </w:r>
      <w:r w:rsidR="007825E4">
        <w:rPr>
          <w:sz w:val="26"/>
          <w:szCs w:val="26"/>
        </w:rPr>
        <w:t xml:space="preserve">away </w:t>
      </w:r>
      <w:r w:rsidRPr="00EE6ED7">
        <w:rPr>
          <w:sz w:val="26"/>
          <w:szCs w:val="26"/>
        </w:rPr>
        <w:t>from “what”</w:t>
      </w:r>
      <w:r w:rsidR="007825E4">
        <w:rPr>
          <w:sz w:val="26"/>
          <w:szCs w:val="26"/>
        </w:rPr>
        <w:t xml:space="preserve"> and “that”</w:t>
      </w:r>
      <w:r w:rsidRPr="00EE6ED7">
        <w:rPr>
          <w:sz w:val="26"/>
          <w:szCs w:val="26"/>
        </w:rPr>
        <w:t>:</w:t>
      </w:r>
      <w:r w:rsidRPr="00EE6ED7">
        <w:rPr>
          <w:sz w:val="26"/>
          <w:szCs w:val="26"/>
          <w:rtl/>
        </w:rPr>
        <w:t>װאז אודר װארום איז דיזה נאכט פרענדרליך. מער דען אלי נעכט. דען זונשטין אין יאהר</w:t>
      </w:r>
      <w:r w:rsidR="000A4652">
        <w:rPr>
          <w:sz w:val="26"/>
          <w:szCs w:val="26"/>
          <w:rtl/>
        </w:rPr>
        <w:t xml:space="preserve">... </w:t>
      </w:r>
      <w:r w:rsidRPr="00EE6ED7">
        <w:rPr>
          <w:sz w:val="26"/>
          <w:szCs w:val="26"/>
          <w:rtl/>
        </w:rPr>
        <w:t>אונד אין דיזה נאכט פֿון פסח</w:t>
      </w:r>
      <w:r w:rsidR="000A4652">
        <w:rPr>
          <w:sz w:val="26"/>
          <w:szCs w:val="26"/>
          <w:rtl/>
        </w:rPr>
        <w:t xml:space="preserve">... </w:t>
      </w:r>
      <w:r w:rsidRPr="00EE6ED7">
        <w:rPr>
          <w:sz w:val="26"/>
          <w:szCs w:val="26"/>
          <w:rtl/>
        </w:rPr>
        <w:t xml:space="preserve">אך </w:t>
      </w:r>
      <w:r w:rsidR="007825E4">
        <w:rPr>
          <w:rFonts w:hint="cs"/>
          <w:sz w:val="26"/>
          <w:szCs w:val="26"/>
          <w:rtl/>
        </w:rPr>
        <w:t xml:space="preserve">[!] </w:t>
      </w:r>
      <w:r w:rsidRPr="00EE6ED7">
        <w:rPr>
          <w:sz w:val="26"/>
          <w:szCs w:val="26"/>
          <w:rtl/>
        </w:rPr>
        <w:t>אין אנדרי נעכט</w:t>
      </w:r>
      <w:r w:rsidR="000A4652">
        <w:rPr>
          <w:sz w:val="26"/>
          <w:szCs w:val="26"/>
          <w:rtl/>
        </w:rPr>
        <w:t xml:space="preserve">... </w:t>
      </w:r>
      <w:r w:rsidRPr="00EE6ED7">
        <w:rPr>
          <w:sz w:val="26"/>
          <w:szCs w:val="26"/>
          <w:rtl/>
        </w:rPr>
        <w:t>דיזה נאכט אבר</w:t>
      </w:r>
      <w:r w:rsidR="000A4652">
        <w:rPr>
          <w:sz w:val="26"/>
          <w:szCs w:val="26"/>
          <w:rtl/>
        </w:rPr>
        <w:t xml:space="preserve">... </w:t>
      </w:r>
      <w:r w:rsidRPr="00EE6ED7">
        <w:rPr>
          <w:sz w:val="26"/>
          <w:szCs w:val="26"/>
          <w:rtl/>
        </w:rPr>
        <w:t>אויך אין אנדרי נעכט</w:t>
      </w:r>
      <w:r w:rsidR="000A4652">
        <w:rPr>
          <w:sz w:val="26"/>
          <w:szCs w:val="26"/>
          <w:rtl/>
        </w:rPr>
        <w:t xml:space="preserve">... </w:t>
      </w:r>
      <w:r w:rsidRPr="00EE6ED7">
        <w:rPr>
          <w:sz w:val="26"/>
          <w:szCs w:val="26"/>
          <w:rtl/>
        </w:rPr>
        <w:t>אבר דיזה נאכט</w:t>
      </w:r>
      <w:r w:rsidR="000A4652">
        <w:rPr>
          <w:sz w:val="26"/>
          <w:szCs w:val="26"/>
          <w:rtl/>
        </w:rPr>
        <w:t xml:space="preserve">... </w:t>
      </w:r>
      <w:r w:rsidRPr="00EE6ED7">
        <w:rPr>
          <w:sz w:val="26"/>
          <w:szCs w:val="26"/>
          <w:rtl/>
        </w:rPr>
        <w:t>אין אנדרי נעכט</w:t>
      </w:r>
      <w:r w:rsidR="000A4652">
        <w:rPr>
          <w:sz w:val="26"/>
          <w:szCs w:val="26"/>
          <w:rtl/>
        </w:rPr>
        <w:t xml:space="preserve">... </w:t>
      </w:r>
      <w:r w:rsidRPr="00EE6ED7">
        <w:rPr>
          <w:sz w:val="26"/>
          <w:szCs w:val="26"/>
          <w:rtl/>
        </w:rPr>
        <w:t>אבר דיזה נאכט</w:t>
      </w:r>
      <w:r w:rsidR="000A4652">
        <w:rPr>
          <w:sz w:val="26"/>
          <w:szCs w:val="26"/>
          <w:rtl/>
        </w:rPr>
        <w:t>...</w:t>
      </w:r>
      <w:r w:rsidR="0014624C" w:rsidRPr="00EE6ED7">
        <w:rPr>
          <w:sz w:val="26"/>
          <w:szCs w:val="26"/>
        </w:rPr>
        <w:t xml:space="preserve"> </w:t>
      </w:r>
      <w:r w:rsidRPr="00EE6ED7">
        <w:rPr>
          <w:sz w:val="26"/>
          <w:szCs w:val="26"/>
        </w:rPr>
        <w:t>“What or why is this night changeable more than all nights.</w:t>
      </w:r>
      <w:r w:rsidR="0014624C" w:rsidRPr="00EE6ED7">
        <w:rPr>
          <w:sz w:val="26"/>
          <w:szCs w:val="26"/>
        </w:rPr>
        <w:t xml:space="preserve"> </w:t>
      </w:r>
      <w:r w:rsidR="007825E4">
        <w:rPr>
          <w:sz w:val="26"/>
          <w:szCs w:val="26"/>
        </w:rPr>
        <w:t>For a</w:t>
      </w:r>
      <w:r w:rsidRPr="00EE6ED7">
        <w:rPr>
          <w:sz w:val="26"/>
          <w:szCs w:val="26"/>
        </w:rPr>
        <w:t>t other times in the year</w:t>
      </w:r>
      <w:r w:rsidR="000A4652">
        <w:rPr>
          <w:sz w:val="26"/>
          <w:szCs w:val="26"/>
        </w:rPr>
        <w:t>...</w:t>
      </w:r>
      <w:r w:rsidRPr="00EE6ED7">
        <w:rPr>
          <w:sz w:val="26"/>
          <w:szCs w:val="26"/>
        </w:rPr>
        <w:t>, and on this night</w:t>
      </w:r>
      <w:r w:rsidR="000A4652">
        <w:rPr>
          <w:sz w:val="26"/>
          <w:szCs w:val="26"/>
        </w:rPr>
        <w:t xml:space="preserve">... </w:t>
      </w:r>
      <w:r w:rsidRPr="00EE6ED7">
        <w:rPr>
          <w:sz w:val="26"/>
          <w:szCs w:val="26"/>
        </w:rPr>
        <w:t>Also on other nights</w:t>
      </w:r>
      <w:r w:rsidR="000A4652">
        <w:rPr>
          <w:sz w:val="26"/>
          <w:szCs w:val="26"/>
        </w:rPr>
        <w:t>...</w:t>
      </w:r>
      <w:r w:rsidRPr="00EE6ED7">
        <w:rPr>
          <w:sz w:val="26"/>
          <w:szCs w:val="26"/>
        </w:rPr>
        <w:t>, this night, however</w:t>
      </w:r>
      <w:r w:rsidR="000A4652">
        <w:rPr>
          <w:sz w:val="26"/>
          <w:szCs w:val="26"/>
        </w:rPr>
        <w:t xml:space="preserve">... </w:t>
      </w:r>
      <w:r w:rsidRPr="00EE6ED7">
        <w:rPr>
          <w:sz w:val="26"/>
          <w:szCs w:val="26"/>
        </w:rPr>
        <w:t>Also on other nights</w:t>
      </w:r>
      <w:r w:rsidR="000A4652">
        <w:rPr>
          <w:sz w:val="26"/>
          <w:szCs w:val="26"/>
        </w:rPr>
        <w:t>...</w:t>
      </w:r>
      <w:r w:rsidRPr="00EE6ED7">
        <w:rPr>
          <w:sz w:val="26"/>
          <w:szCs w:val="26"/>
        </w:rPr>
        <w:t>, but this night</w:t>
      </w:r>
      <w:r w:rsidR="000A4652">
        <w:rPr>
          <w:sz w:val="26"/>
          <w:szCs w:val="26"/>
        </w:rPr>
        <w:t xml:space="preserve">... </w:t>
      </w:r>
      <w:r w:rsidRPr="00EE6ED7">
        <w:rPr>
          <w:sz w:val="26"/>
          <w:szCs w:val="26"/>
        </w:rPr>
        <w:t>On other nights</w:t>
      </w:r>
      <w:r w:rsidR="000A4652">
        <w:rPr>
          <w:sz w:val="26"/>
          <w:szCs w:val="26"/>
        </w:rPr>
        <w:t>...</w:t>
      </w:r>
      <w:r w:rsidRPr="00EE6ED7">
        <w:rPr>
          <w:sz w:val="26"/>
          <w:szCs w:val="26"/>
        </w:rPr>
        <w:t>, but this night</w:t>
      </w:r>
      <w:r w:rsidR="000A4652">
        <w:rPr>
          <w:sz w:val="26"/>
          <w:szCs w:val="26"/>
        </w:rPr>
        <w:t>...</w:t>
      </w:r>
      <w:r w:rsidRPr="00EE6ED7">
        <w:rPr>
          <w:sz w:val="26"/>
          <w:szCs w:val="26"/>
        </w:rPr>
        <w:t>”</w:t>
      </w:r>
      <w:r w:rsidRPr="00EE6ED7">
        <w:rPr>
          <w:sz w:val="26"/>
          <w:szCs w:val="26"/>
          <w:vertAlign w:val="superscript"/>
        </w:rPr>
        <w:footnoteReference w:id="147"/>
      </w:r>
      <w:r w:rsidR="0014624C" w:rsidRPr="00EE6ED7">
        <w:rPr>
          <w:sz w:val="26"/>
          <w:szCs w:val="26"/>
        </w:rPr>
        <w:t xml:space="preserve"> </w:t>
      </w:r>
      <w:r w:rsidRPr="00EE6ED7">
        <w:rPr>
          <w:sz w:val="26"/>
          <w:szCs w:val="26"/>
        </w:rPr>
        <w:t>Here</w:t>
      </w:r>
      <w:r w:rsidR="007825E4">
        <w:rPr>
          <w:sz w:val="26"/>
          <w:szCs w:val="26"/>
        </w:rPr>
        <w:t xml:space="preserve"> the</w:t>
      </w:r>
      <w:r w:rsidRPr="00EE6ED7">
        <w:rPr>
          <w:sz w:val="26"/>
          <w:szCs w:val="26"/>
        </w:rPr>
        <w:t xml:space="preserve"> </w:t>
      </w:r>
      <w:r w:rsidR="007825E4" w:rsidRPr="00EE6ED7">
        <w:rPr>
          <w:sz w:val="26"/>
          <w:szCs w:val="26"/>
        </w:rPr>
        <w:t xml:space="preserve">traditional </w:t>
      </w:r>
      <w:r w:rsidR="007825E4">
        <w:rPr>
          <w:sz w:val="26"/>
          <w:szCs w:val="26"/>
        </w:rPr>
        <w:t xml:space="preserve">“what” becomes “what or why,” and </w:t>
      </w:r>
      <w:r w:rsidRPr="00EE6ED7">
        <w:rPr>
          <w:sz w:val="26"/>
          <w:szCs w:val="26"/>
        </w:rPr>
        <w:t xml:space="preserve">the </w:t>
      </w:r>
      <w:r w:rsidR="007825E4">
        <w:rPr>
          <w:sz w:val="26"/>
          <w:szCs w:val="26"/>
        </w:rPr>
        <w:t>fourfold “that” is replaced by a single “for.” In t</w:t>
      </w:r>
      <w:r w:rsidRPr="00EE6ED7">
        <w:rPr>
          <w:sz w:val="26"/>
          <w:szCs w:val="26"/>
        </w:rPr>
        <w:t xml:space="preserve">he Amsterdam </w:t>
      </w:r>
      <w:r w:rsidR="009E20F5" w:rsidRPr="00EE6ED7">
        <w:rPr>
          <w:sz w:val="26"/>
          <w:szCs w:val="26"/>
        </w:rPr>
        <w:t xml:space="preserve">Haggadah </w:t>
      </w:r>
      <w:r w:rsidRPr="00EE6ED7">
        <w:rPr>
          <w:sz w:val="26"/>
          <w:szCs w:val="26"/>
        </w:rPr>
        <w:t>of 1783</w:t>
      </w:r>
      <w:r w:rsidR="007825E4">
        <w:rPr>
          <w:sz w:val="26"/>
          <w:szCs w:val="26"/>
        </w:rPr>
        <w:t>,</w:t>
      </w:r>
      <w:r w:rsidRPr="00EE6ED7">
        <w:rPr>
          <w:sz w:val="26"/>
          <w:szCs w:val="26"/>
        </w:rPr>
        <w:t xml:space="preserve"> </w:t>
      </w:r>
      <w:r w:rsidR="007825E4">
        <w:rPr>
          <w:sz w:val="26"/>
          <w:szCs w:val="26"/>
        </w:rPr>
        <w:t xml:space="preserve">the change is complete. It </w:t>
      </w:r>
      <w:r w:rsidRPr="00EE6ED7">
        <w:rPr>
          <w:sz w:val="26"/>
          <w:szCs w:val="26"/>
        </w:rPr>
        <w:t>has only “why</w:t>
      </w:r>
      <w:r w:rsidR="007825E4">
        <w:rPr>
          <w:sz w:val="26"/>
          <w:szCs w:val="26"/>
        </w:rPr>
        <w:t>,</w:t>
      </w:r>
      <w:r w:rsidRPr="00EE6ED7">
        <w:rPr>
          <w:sz w:val="26"/>
          <w:szCs w:val="26"/>
        </w:rPr>
        <w:t>”</w:t>
      </w:r>
      <w:r w:rsidR="007825E4">
        <w:rPr>
          <w:sz w:val="26"/>
          <w:szCs w:val="26"/>
        </w:rPr>
        <w:t xml:space="preserve"> and it ignores </w:t>
      </w:r>
      <w:r w:rsidR="007825E4">
        <w:rPr>
          <w:rFonts w:hint="cs"/>
          <w:sz w:val="26"/>
          <w:szCs w:val="26"/>
          <w:rtl/>
        </w:rPr>
        <w:t>ש-</w:t>
      </w:r>
      <w:r w:rsidR="007825E4">
        <w:rPr>
          <w:sz w:val="26"/>
          <w:szCs w:val="26"/>
        </w:rPr>
        <w:t xml:space="preserve"> completely</w:t>
      </w:r>
      <w:r w:rsidRPr="00EE6ED7">
        <w:rPr>
          <w:sz w:val="26"/>
          <w:szCs w:val="26"/>
        </w:rPr>
        <w:t>:</w:t>
      </w:r>
      <w:r w:rsidRPr="00EE6ED7">
        <w:rPr>
          <w:sz w:val="26"/>
          <w:szCs w:val="26"/>
          <w:rtl/>
        </w:rPr>
        <w:t xml:space="preserve">װארום איזט פֿר ענדרט דיזה נאכֿט. מין װעדר אודיר מעהרר. אלש אללי נעכֿט. פֿון עש גנצי יאהר. אללי נאכֿט </w:t>
      </w:r>
      <w:r w:rsidR="006C6200" w:rsidRPr="00EE6ED7">
        <w:rPr>
          <w:sz w:val="26"/>
          <w:szCs w:val="26"/>
          <w:rtl/>
        </w:rPr>
        <w:t>(פֿ</w:t>
      </w:r>
      <w:r w:rsidRPr="00EE6ED7">
        <w:rPr>
          <w:sz w:val="26"/>
          <w:szCs w:val="26"/>
          <w:rtl/>
        </w:rPr>
        <w:t>ון עש גנצי יאהר</w:t>
      </w:r>
      <w:r w:rsidR="006C6200" w:rsidRPr="00EE6ED7">
        <w:rPr>
          <w:sz w:val="26"/>
          <w:szCs w:val="26"/>
          <w:rtl/>
        </w:rPr>
        <w:t>)</w:t>
      </w:r>
      <w:r w:rsidR="000A4652">
        <w:rPr>
          <w:sz w:val="26"/>
          <w:szCs w:val="26"/>
          <w:rtl/>
        </w:rPr>
        <w:t xml:space="preserve">... </w:t>
      </w:r>
      <w:r w:rsidR="006C6200" w:rsidRPr="00EE6ED7">
        <w:rPr>
          <w:sz w:val="26"/>
          <w:szCs w:val="26"/>
          <w:rtl/>
        </w:rPr>
        <w:t>(</w:t>
      </w:r>
      <w:r w:rsidRPr="00EE6ED7">
        <w:rPr>
          <w:sz w:val="26"/>
          <w:szCs w:val="26"/>
          <w:rtl/>
        </w:rPr>
        <w:t>אונד/אבר</w:t>
      </w:r>
      <w:r w:rsidR="006C6200" w:rsidRPr="00EE6ED7">
        <w:rPr>
          <w:sz w:val="26"/>
          <w:szCs w:val="26"/>
          <w:rtl/>
        </w:rPr>
        <w:t>)</w:t>
      </w:r>
      <w:r w:rsidRPr="00EE6ED7">
        <w:rPr>
          <w:sz w:val="26"/>
          <w:szCs w:val="26"/>
          <w:rtl/>
        </w:rPr>
        <w:t xml:space="preserve"> דיזה נאכֿט</w:t>
      </w:r>
      <w:r w:rsidR="000A4652">
        <w:rPr>
          <w:sz w:val="26"/>
          <w:szCs w:val="26"/>
          <w:rtl/>
        </w:rPr>
        <w:t>...</w:t>
      </w:r>
      <w:r w:rsidR="000A4652">
        <w:rPr>
          <w:sz w:val="26"/>
          <w:szCs w:val="26"/>
        </w:rPr>
        <w:t xml:space="preserve"> </w:t>
      </w:r>
      <w:r w:rsidRPr="00EE6ED7">
        <w:rPr>
          <w:sz w:val="26"/>
          <w:szCs w:val="26"/>
        </w:rPr>
        <w:t>“Why is this night changed (by having) less than or more than all nights of the whole year.</w:t>
      </w:r>
      <w:r w:rsidR="0014624C" w:rsidRPr="00EE6ED7">
        <w:rPr>
          <w:sz w:val="26"/>
          <w:szCs w:val="26"/>
        </w:rPr>
        <w:t xml:space="preserve"> </w:t>
      </w:r>
      <w:r w:rsidRPr="00EE6ED7">
        <w:rPr>
          <w:sz w:val="26"/>
          <w:szCs w:val="26"/>
        </w:rPr>
        <w:t>All nights of the whole year</w:t>
      </w:r>
      <w:r w:rsidR="000A4652">
        <w:rPr>
          <w:sz w:val="26"/>
          <w:szCs w:val="26"/>
        </w:rPr>
        <w:t>...</w:t>
      </w:r>
      <w:r w:rsidRPr="00EE6ED7">
        <w:rPr>
          <w:sz w:val="26"/>
          <w:szCs w:val="26"/>
        </w:rPr>
        <w:t>, this night</w:t>
      </w:r>
      <w:r w:rsidR="000A4652">
        <w:rPr>
          <w:sz w:val="26"/>
          <w:szCs w:val="26"/>
        </w:rPr>
        <w:t>...</w:t>
      </w:r>
      <w:r w:rsidRPr="00EE6ED7">
        <w:rPr>
          <w:sz w:val="26"/>
          <w:szCs w:val="26"/>
        </w:rPr>
        <w:t>”</w:t>
      </w:r>
      <w:r w:rsidR="00E11FFD" w:rsidRPr="00EE6ED7">
        <w:rPr>
          <w:sz w:val="26"/>
          <w:szCs w:val="26"/>
          <w:vertAlign w:val="superscript"/>
        </w:rPr>
        <w:footnoteReference w:id="148"/>
      </w:r>
      <w:r w:rsidR="0014624C" w:rsidRPr="00EE6ED7">
        <w:rPr>
          <w:sz w:val="26"/>
          <w:szCs w:val="26"/>
        </w:rPr>
        <w:t xml:space="preserve"> </w:t>
      </w:r>
      <w:r w:rsidRPr="00EE6ED7">
        <w:rPr>
          <w:sz w:val="26"/>
          <w:szCs w:val="26"/>
        </w:rPr>
        <w:t xml:space="preserve">So too the translation of Joel Brill in the Berlin </w:t>
      </w:r>
      <w:r w:rsidR="006C6200" w:rsidRPr="00EE6ED7">
        <w:rPr>
          <w:sz w:val="26"/>
          <w:szCs w:val="26"/>
        </w:rPr>
        <w:t xml:space="preserve">Haggadah </w:t>
      </w:r>
      <w:r w:rsidRPr="00EE6ED7">
        <w:rPr>
          <w:sz w:val="26"/>
          <w:szCs w:val="26"/>
        </w:rPr>
        <w:t>of 1785:</w:t>
      </w:r>
      <w:r w:rsidRPr="00EE6ED7">
        <w:rPr>
          <w:sz w:val="26"/>
          <w:szCs w:val="26"/>
          <w:rtl/>
        </w:rPr>
        <w:t>װארום איזט דיזע נאכֿט, פֿאן אללן אנדרן נעכֿטן, אויסגצייכֿנט? אן יעדר אנדרן,</w:t>
      </w:r>
      <w:r w:rsidR="000A4652">
        <w:rPr>
          <w:sz w:val="26"/>
          <w:szCs w:val="26"/>
          <w:rtl/>
        </w:rPr>
        <w:t>...</w:t>
      </w:r>
      <w:r w:rsidRPr="00EE6ED7">
        <w:rPr>
          <w:sz w:val="26"/>
          <w:szCs w:val="26"/>
          <w:rtl/>
        </w:rPr>
        <w:t>; דיזע נאכֿט</w:t>
      </w:r>
      <w:r w:rsidR="000A4652">
        <w:rPr>
          <w:sz w:val="26"/>
          <w:szCs w:val="26"/>
          <w:rtl/>
        </w:rPr>
        <w:t>...</w:t>
      </w:r>
      <w:r w:rsidR="00E11FFD">
        <w:rPr>
          <w:sz w:val="26"/>
          <w:szCs w:val="26"/>
        </w:rPr>
        <w:t>.</w:t>
      </w:r>
      <w:r w:rsidR="00E11FFD" w:rsidRPr="00E11FFD">
        <w:rPr>
          <w:sz w:val="26"/>
          <w:szCs w:val="26"/>
          <w:vertAlign w:val="superscript"/>
          <w:rtl/>
        </w:rPr>
        <w:t xml:space="preserve"> </w:t>
      </w:r>
      <w:r w:rsidR="00E11FFD" w:rsidRPr="00EE6ED7">
        <w:rPr>
          <w:sz w:val="26"/>
          <w:szCs w:val="26"/>
          <w:vertAlign w:val="superscript"/>
          <w:rtl/>
        </w:rPr>
        <w:footnoteReference w:id="149"/>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Even these latest translations do not exhibit a conscious shift to four questions.</w:t>
      </w:r>
      <w:r w:rsidR="0014624C" w:rsidRPr="00EE6ED7">
        <w:rPr>
          <w:sz w:val="26"/>
          <w:szCs w:val="26"/>
        </w:rPr>
        <w:t xml:space="preserve"> </w:t>
      </w:r>
      <w:r w:rsidRPr="00EE6ED7">
        <w:rPr>
          <w:sz w:val="26"/>
          <w:szCs w:val="26"/>
        </w:rPr>
        <w:t>As we have noted,</w:t>
      </w:r>
      <w:r w:rsidRPr="00EE6ED7">
        <w:rPr>
          <w:sz w:val="26"/>
          <w:szCs w:val="26"/>
          <w:vertAlign w:val="superscript"/>
        </w:rPr>
        <w:footnoteReference w:id="150"/>
      </w:r>
      <w:r w:rsidRPr="00EE6ED7">
        <w:rPr>
          <w:sz w:val="26"/>
          <w:szCs w:val="26"/>
        </w:rPr>
        <w:t xml:space="preserve"> the </w:t>
      </w:r>
      <w:smartTag w:uri="urn:schemas-microsoft-com:office:smarttags" w:element="place">
        <w:smartTag w:uri="urn:schemas-microsoft-com:office:smarttags" w:element="City">
          <w:r w:rsidRPr="00EE6ED7">
            <w:rPr>
              <w:sz w:val="26"/>
              <w:szCs w:val="26"/>
            </w:rPr>
            <w:t>Amsterdam</w:t>
          </w:r>
        </w:smartTag>
      </w:smartTag>
      <w:r w:rsidRPr="00EE6ED7">
        <w:rPr>
          <w:sz w:val="26"/>
          <w:szCs w:val="26"/>
        </w:rPr>
        <w:t xml:space="preserve"> 1783 tra</w:t>
      </w:r>
      <w:r w:rsidR="00E1180C">
        <w:rPr>
          <w:sz w:val="26"/>
          <w:szCs w:val="26"/>
        </w:rPr>
        <w:t>nslation of</w:t>
      </w:r>
      <w:r w:rsidRPr="00EE6ED7">
        <w:rPr>
          <w:sz w:val="26"/>
          <w:szCs w:val="26"/>
          <w:rtl/>
        </w:rPr>
        <w:t>מה נשתנה</w:t>
      </w:r>
      <w:r w:rsidRPr="00EE6ED7">
        <w:rPr>
          <w:sz w:val="26"/>
          <w:szCs w:val="26"/>
        </w:rPr>
        <w:t xml:space="preserve"> is introduced by the words:</w:t>
      </w:r>
      <w:r w:rsidRPr="00EE6ED7">
        <w:rPr>
          <w:sz w:val="26"/>
          <w:szCs w:val="26"/>
          <w:rtl/>
        </w:rPr>
        <w:t xml:space="preserve">דער פֿראהגיר פֿראגט. איך װיל </w:t>
      </w:r>
      <w:r w:rsidRPr="00EE6ED7">
        <w:rPr>
          <w:sz w:val="26"/>
          <w:szCs w:val="26"/>
          <w:u w:val="single"/>
          <w:rtl/>
        </w:rPr>
        <w:t>אייני קשיא</w:t>
      </w:r>
      <w:r w:rsidRPr="00EE6ED7">
        <w:rPr>
          <w:sz w:val="26"/>
          <w:szCs w:val="26"/>
          <w:rtl/>
        </w:rPr>
        <w:t xml:space="preserve"> פֿראגן</w:t>
      </w:r>
      <w:r w:rsidRPr="00EE6ED7">
        <w:rPr>
          <w:sz w:val="26"/>
          <w:szCs w:val="26"/>
        </w:rPr>
        <w:t xml:space="preserve"> “the questioner says (lit., asks): I want to ask a question.”</w:t>
      </w:r>
      <w:r w:rsidR="0014624C" w:rsidRPr="00EE6ED7">
        <w:rPr>
          <w:sz w:val="26"/>
          <w:szCs w:val="26"/>
        </w:rPr>
        <w:t xml:space="preserve"> </w:t>
      </w:r>
      <w:r w:rsidRPr="00EE6ED7">
        <w:rPr>
          <w:sz w:val="26"/>
          <w:szCs w:val="26"/>
        </w:rPr>
        <w:t xml:space="preserve">Like the Ferrara </w:t>
      </w:r>
      <w:r w:rsidR="006C6200" w:rsidRPr="00EE6ED7">
        <w:rPr>
          <w:sz w:val="26"/>
          <w:szCs w:val="26"/>
        </w:rPr>
        <w:t xml:space="preserve">Siddur </w:t>
      </w:r>
      <w:r w:rsidRPr="00EE6ED7">
        <w:rPr>
          <w:sz w:val="26"/>
          <w:szCs w:val="26"/>
        </w:rPr>
        <w:t>of 1552,</w:t>
      </w:r>
      <w:bookmarkStart w:id="15" w:name="_Ref200358585"/>
      <w:r w:rsidRPr="00EE6ED7">
        <w:rPr>
          <w:sz w:val="26"/>
          <w:szCs w:val="26"/>
          <w:vertAlign w:val="superscript"/>
        </w:rPr>
        <w:footnoteReference w:id="151"/>
      </w:r>
      <w:bookmarkEnd w:id="15"/>
      <w:r w:rsidRPr="00EE6ED7">
        <w:rPr>
          <w:sz w:val="26"/>
          <w:szCs w:val="26"/>
        </w:rPr>
        <w:t xml:space="preserve"> the Berlin </w:t>
      </w:r>
      <w:r w:rsidR="006C6200" w:rsidRPr="00EE6ED7">
        <w:rPr>
          <w:sz w:val="26"/>
          <w:szCs w:val="26"/>
        </w:rPr>
        <w:t xml:space="preserve">Haggadah </w:t>
      </w:r>
      <w:r w:rsidRPr="00EE6ED7">
        <w:rPr>
          <w:sz w:val="26"/>
          <w:szCs w:val="26"/>
        </w:rPr>
        <w:t xml:space="preserve">of 1785 has only one question mark in the translation, following the </w:t>
      </w:r>
      <w:r w:rsidRPr="00EE6ED7">
        <w:rPr>
          <w:sz w:val="26"/>
          <w:szCs w:val="26"/>
          <w:rtl/>
        </w:rPr>
        <w:t>מה</w:t>
      </w:r>
      <w:r w:rsidRPr="00EE6ED7">
        <w:rPr>
          <w:sz w:val="26"/>
          <w:szCs w:val="26"/>
        </w:rPr>
        <w:t>-clause.</w:t>
      </w:r>
      <w:r w:rsidR="0014624C" w:rsidRPr="00EE6ED7">
        <w:rPr>
          <w:sz w:val="26"/>
          <w:szCs w:val="26"/>
        </w:rPr>
        <w:t xml:space="preserve"> </w:t>
      </w:r>
      <w:r w:rsidRPr="00EE6ED7">
        <w:rPr>
          <w:sz w:val="26"/>
          <w:szCs w:val="26"/>
        </w:rPr>
        <w:t xml:space="preserve">The same is true of the translations in the London </w:t>
      </w:r>
      <w:r w:rsidR="00D60401" w:rsidRPr="00EE6ED7">
        <w:rPr>
          <w:sz w:val="26"/>
          <w:szCs w:val="26"/>
        </w:rPr>
        <w:t xml:space="preserve">Haggadah </w:t>
      </w:r>
      <w:r w:rsidRPr="00EE6ED7">
        <w:rPr>
          <w:sz w:val="26"/>
          <w:szCs w:val="26"/>
        </w:rPr>
        <w:t xml:space="preserve">of 1770 (A. Alexander), the London </w:t>
      </w:r>
      <w:r w:rsidR="00D60401" w:rsidRPr="00EE6ED7">
        <w:rPr>
          <w:sz w:val="26"/>
          <w:szCs w:val="26"/>
        </w:rPr>
        <w:t xml:space="preserve">Haggadah </w:t>
      </w:r>
      <w:r w:rsidRPr="00EE6ED7">
        <w:rPr>
          <w:sz w:val="26"/>
          <w:szCs w:val="26"/>
        </w:rPr>
        <w:t>of 1794 (D. Levi),</w:t>
      </w:r>
      <w:r w:rsidRPr="00EE6ED7">
        <w:rPr>
          <w:sz w:val="26"/>
          <w:szCs w:val="26"/>
          <w:vertAlign w:val="superscript"/>
        </w:rPr>
        <w:footnoteReference w:id="152"/>
      </w:r>
      <w:r w:rsidRPr="00EE6ED7">
        <w:rPr>
          <w:sz w:val="26"/>
          <w:szCs w:val="26"/>
        </w:rPr>
        <w:t xml:space="preserve"> the Bordeaux </w:t>
      </w:r>
      <w:r w:rsidR="00D60401" w:rsidRPr="00EE6ED7">
        <w:rPr>
          <w:sz w:val="26"/>
          <w:szCs w:val="26"/>
        </w:rPr>
        <w:t xml:space="preserve">Haggadah </w:t>
      </w:r>
      <w:r w:rsidRPr="00EE6ED7">
        <w:rPr>
          <w:sz w:val="26"/>
          <w:szCs w:val="26"/>
        </w:rPr>
        <w:t>of 1813,</w:t>
      </w:r>
      <w:r w:rsidRPr="00EE6ED7">
        <w:rPr>
          <w:sz w:val="26"/>
          <w:szCs w:val="26"/>
          <w:vertAlign w:val="superscript"/>
        </w:rPr>
        <w:footnoteReference w:id="153"/>
      </w:r>
      <w:r w:rsidRPr="00EE6ED7">
        <w:rPr>
          <w:sz w:val="26"/>
          <w:szCs w:val="26"/>
        </w:rPr>
        <w:t xml:space="preserve"> etc.</w:t>
      </w:r>
    </w:p>
    <w:p w:rsidR="00105DEE" w:rsidRPr="00EE6ED7" w:rsidRDefault="00105DEE" w:rsidP="00BB43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use of a single question mark before the </w:t>
      </w:r>
      <w:r w:rsidRPr="00EE6ED7">
        <w:rPr>
          <w:sz w:val="26"/>
          <w:szCs w:val="26"/>
          <w:rtl/>
        </w:rPr>
        <w:t>ש</w:t>
      </w:r>
      <w:r w:rsidRPr="00EE6ED7">
        <w:rPr>
          <w:sz w:val="26"/>
          <w:szCs w:val="26"/>
        </w:rPr>
        <w:t>-clauses leaves the status of those clauses unresolved.</w:t>
      </w:r>
      <w:r w:rsidR="0014624C" w:rsidRPr="00EE6ED7">
        <w:rPr>
          <w:sz w:val="26"/>
          <w:szCs w:val="26"/>
        </w:rPr>
        <w:t xml:space="preserve"> </w:t>
      </w:r>
      <w:r w:rsidRPr="00EE6ED7">
        <w:rPr>
          <w:sz w:val="26"/>
          <w:szCs w:val="26"/>
        </w:rPr>
        <w:t xml:space="preserve">In keeping with this punctuation, a few interpreters have suggested that the </w:t>
      </w:r>
      <w:r w:rsidRPr="00EE6ED7">
        <w:rPr>
          <w:sz w:val="26"/>
          <w:szCs w:val="26"/>
          <w:rtl/>
        </w:rPr>
        <w:t>ש</w:t>
      </w:r>
      <w:r w:rsidRPr="00EE6ED7">
        <w:rPr>
          <w:sz w:val="26"/>
          <w:szCs w:val="26"/>
        </w:rPr>
        <w:t>-clauses are answers.</w:t>
      </w:r>
      <w:r w:rsidR="0014624C" w:rsidRPr="00EE6ED7">
        <w:rPr>
          <w:sz w:val="26"/>
          <w:szCs w:val="26"/>
        </w:rPr>
        <w:t xml:space="preserve"> </w:t>
      </w:r>
      <w:r w:rsidRPr="00EE6ED7">
        <w:rPr>
          <w:sz w:val="26"/>
          <w:szCs w:val="26"/>
        </w:rPr>
        <w:t xml:space="preserve">According to them, </w:t>
      </w:r>
      <w:r w:rsidRPr="00EE6ED7">
        <w:rPr>
          <w:sz w:val="26"/>
          <w:szCs w:val="26"/>
          <w:rtl/>
        </w:rPr>
        <w:t>מה נשתנה</w:t>
      </w:r>
      <w:r w:rsidRPr="00EE6ED7">
        <w:rPr>
          <w:sz w:val="26"/>
          <w:szCs w:val="26"/>
        </w:rPr>
        <w:t xml:space="preserve"> should properly be called “</w:t>
      </w:r>
      <w:r w:rsidR="00BB4316">
        <w:rPr>
          <w:sz w:val="26"/>
          <w:szCs w:val="26"/>
        </w:rPr>
        <w:t>T</w:t>
      </w:r>
      <w:r w:rsidRPr="00EE6ED7">
        <w:rPr>
          <w:sz w:val="26"/>
          <w:szCs w:val="26"/>
        </w:rPr>
        <w:t>he Four Answers”!</w:t>
      </w:r>
      <w:r w:rsidR="0014624C" w:rsidRPr="00EE6ED7">
        <w:rPr>
          <w:sz w:val="26"/>
          <w:szCs w:val="26"/>
        </w:rPr>
        <w:t xml:space="preserve"> </w:t>
      </w:r>
      <w:r w:rsidRPr="00EE6ED7">
        <w:rPr>
          <w:sz w:val="26"/>
          <w:szCs w:val="26"/>
        </w:rPr>
        <w:t>Another response, beginning in the early nineteenth century, was to introduce changes in the use of the question mark—changes of number or position.</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 xml:space="preserve">The number of question marks is increased to five in the translations found in the Metz </w:t>
      </w:r>
      <w:r w:rsidR="00D60401" w:rsidRPr="00EE6ED7">
        <w:rPr>
          <w:sz w:val="26"/>
          <w:szCs w:val="26"/>
        </w:rPr>
        <w:t xml:space="preserve">Haggadah </w:t>
      </w:r>
      <w:r w:rsidRPr="00EE6ED7">
        <w:rPr>
          <w:sz w:val="26"/>
          <w:szCs w:val="26"/>
        </w:rPr>
        <w:t>of 1818 (D. Drach),</w:t>
      </w:r>
      <w:r w:rsidRPr="00EE6ED7">
        <w:rPr>
          <w:sz w:val="26"/>
          <w:szCs w:val="26"/>
          <w:vertAlign w:val="superscript"/>
        </w:rPr>
        <w:footnoteReference w:id="154"/>
      </w:r>
      <w:r w:rsidRPr="00EE6ED7">
        <w:rPr>
          <w:sz w:val="26"/>
          <w:szCs w:val="26"/>
        </w:rPr>
        <w:t xml:space="preserve"> the Prague </w:t>
      </w:r>
      <w:r w:rsidR="00D60401" w:rsidRPr="00EE6ED7">
        <w:rPr>
          <w:sz w:val="26"/>
          <w:szCs w:val="26"/>
        </w:rPr>
        <w:t xml:space="preserve">Haggadah </w:t>
      </w:r>
      <w:r w:rsidRPr="00EE6ED7">
        <w:rPr>
          <w:sz w:val="26"/>
          <w:szCs w:val="26"/>
        </w:rPr>
        <w:t>of 1830 (M. J. Landau),</w:t>
      </w:r>
      <w:r w:rsidRPr="00EE6ED7">
        <w:rPr>
          <w:sz w:val="26"/>
          <w:szCs w:val="26"/>
          <w:vertAlign w:val="superscript"/>
        </w:rPr>
        <w:footnoteReference w:id="155"/>
      </w:r>
      <w:r w:rsidRPr="00EE6ED7">
        <w:rPr>
          <w:sz w:val="26"/>
          <w:szCs w:val="26"/>
        </w:rPr>
        <w:t xml:space="preserve"> the Krotoschin </w:t>
      </w:r>
      <w:r w:rsidR="00D60401" w:rsidRPr="00EE6ED7">
        <w:rPr>
          <w:sz w:val="26"/>
          <w:szCs w:val="26"/>
        </w:rPr>
        <w:t xml:space="preserve">Haggadah </w:t>
      </w:r>
      <w:r w:rsidRPr="00EE6ED7">
        <w:rPr>
          <w:sz w:val="26"/>
          <w:szCs w:val="26"/>
        </w:rPr>
        <w:t>of 1840,</w:t>
      </w:r>
      <w:r w:rsidRPr="00EE6ED7">
        <w:rPr>
          <w:sz w:val="26"/>
          <w:szCs w:val="26"/>
          <w:vertAlign w:val="superscript"/>
        </w:rPr>
        <w:footnoteReference w:id="156"/>
      </w:r>
      <w:r w:rsidRPr="00EE6ED7">
        <w:rPr>
          <w:sz w:val="26"/>
          <w:szCs w:val="26"/>
        </w:rPr>
        <w:t xml:space="preserve"> the New York </w:t>
      </w:r>
      <w:r w:rsidR="00D60401" w:rsidRPr="00EE6ED7">
        <w:rPr>
          <w:sz w:val="26"/>
          <w:szCs w:val="26"/>
        </w:rPr>
        <w:t xml:space="preserve">Haggadah </w:t>
      </w:r>
      <w:r w:rsidRPr="00EE6ED7">
        <w:rPr>
          <w:sz w:val="26"/>
          <w:szCs w:val="26"/>
        </w:rPr>
        <w:t>of 1857,</w:t>
      </w:r>
      <w:r w:rsidRPr="00EE6ED7">
        <w:rPr>
          <w:sz w:val="26"/>
          <w:szCs w:val="26"/>
          <w:vertAlign w:val="superscript"/>
        </w:rPr>
        <w:footnoteReference w:id="157"/>
      </w:r>
      <w:r w:rsidRPr="00EE6ED7">
        <w:rPr>
          <w:sz w:val="26"/>
          <w:szCs w:val="26"/>
        </w:rPr>
        <w:t xml:space="preserve"> the Frankfurt am Main </w:t>
      </w:r>
      <w:r w:rsidR="00D60401" w:rsidRPr="00EE6ED7">
        <w:rPr>
          <w:sz w:val="26"/>
          <w:szCs w:val="26"/>
        </w:rPr>
        <w:t xml:space="preserve">Haggadah </w:t>
      </w:r>
      <w:r w:rsidRPr="00EE6ED7">
        <w:rPr>
          <w:sz w:val="26"/>
          <w:szCs w:val="26"/>
        </w:rPr>
        <w:t>of 1914 (M. Lehmann),</w:t>
      </w:r>
      <w:r w:rsidRPr="00EE6ED7">
        <w:rPr>
          <w:sz w:val="26"/>
          <w:szCs w:val="26"/>
          <w:vertAlign w:val="superscript"/>
        </w:rPr>
        <w:footnoteReference w:id="158"/>
      </w:r>
      <w:r w:rsidRPr="00EE6ED7">
        <w:rPr>
          <w:sz w:val="26"/>
          <w:szCs w:val="26"/>
        </w:rPr>
        <w:t xml:space="preserve"> etc.</w:t>
      </w:r>
      <w:r w:rsidR="0014624C" w:rsidRPr="00EE6ED7">
        <w:rPr>
          <w:sz w:val="26"/>
          <w:szCs w:val="26"/>
        </w:rPr>
        <w:t xml:space="preserve"> </w:t>
      </w:r>
      <w:r w:rsidRPr="00EE6ED7">
        <w:rPr>
          <w:sz w:val="26"/>
          <w:szCs w:val="26"/>
        </w:rPr>
        <w:t>Subsequently, we find attempts to reduce this number to four.</w:t>
      </w:r>
      <w:r w:rsidR="0014624C" w:rsidRPr="00EE6ED7">
        <w:rPr>
          <w:sz w:val="26"/>
          <w:szCs w:val="26"/>
        </w:rPr>
        <w:t xml:space="preserve"> </w:t>
      </w:r>
      <w:r w:rsidRPr="00EE6ED7">
        <w:rPr>
          <w:sz w:val="26"/>
          <w:szCs w:val="26"/>
        </w:rPr>
        <w:t xml:space="preserve">The translation in the New York </w:t>
      </w:r>
      <w:r w:rsidR="00D60401" w:rsidRPr="00EE6ED7">
        <w:rPr>
          <w:sz w:val="26"/>
          <w:szCs w:val="26"/>
        </w:rPr>
        <w:t xml:space="preserve">Haggadah </w:t>
      </w:r>
      <w:r w:rsidRPr="00EE6ED7">
        <w:rPr>
          <w:sz w:val="26"/>
          <w:szCs w:val="26"/>
        </w:rPr>
        <w:t>of 1928 (J. D. Eisenstein) has: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Why is this night different from all other nights: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t>
      </w:r>
      <w:r w:rsidRPr="00EE6ED7">
        <w:rPr>
          <w:i/>
          <w:sz w:val="26"/>
          <w:szCs w:val="26"/>
        </w:rPr>
        <w:t>First</w:t>
      </w:r>
      <w:r w:rsidRPr="00EE6ED7">
        <w:rPr>
          <w:sz w:val="26"/>
          <w:szCs w:val="26"/>
        </w:rPr>
        <w:t>) On all other nights..., but to-night why...?</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t>
      </w:r>
      <w:r w:rsidRPr="00EE6ED7">
        <w:rPr>
          <w:i/>
          <w:sz w:val="26"/>
          <w:szCs w:val="26"/>
        </w:rPr>
        <w:t>Second</w:t>
      </w:r>
      <w:r w:rsidRPr="00EE6ED7">
        <w:rPr>
          <w:sz w:val="26"/>
          <w:szCs w:val="26"/>
        </w:rPr>
        <w:t>) On all other nights..., but to-night why...?</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t>
      </w:r>
      <w:r w:rsidRPr="00EE6ED7">
        <w:rPr>
          <w:i/>
          <w:sz w:val="26"/>
          <w:szCs w:val="26"/>
        </w:rPr>
        <w:t>Third</w:t>
      </w:r>
      <w:r w:rsidRPr="00EE6ED7">
        <w:rPr>
          <w:sz w:val="26"/>
          <w:szCs w:val="26"/>
        </w:rPr>
        <w:t>) On all other nights..., but to-night why...?</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w:t>
      </w:r>
      <w:r w:rsidRPr="00EE6ED7">
        <w:rPr>
          <w:i/>
          <w:sz w:val="26"/>
          <w:szCs w:val="26"/>
        </w:rPr>
        <w:t>Fourth</w:t>
      </w:r>
      <w:r w:rsidRPr="00EE6ED7">
        <w:rPr>
          <w:sz w:val="26"/>
          <w:szCs w:val="26"/>
        </w:rPr>
        <w:t>) On all other nights..., but to-night why...?</w:t>
      </w:r>
      <w:r w:rsidRPr="00EE6ED7">
        <w:rPr>
          <w:sz w:val="26"/>
          <w:szCs w:val="26"/>
          <w:vertAlign w:val="superscript"/>
        </w:rPr>
        <w:footnoteReference w:id="159"/>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432"/>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This translation puts a colon at the end of the </w:t>
      </w:r>
      <w:r w:rsidRPr="00EE6ED7">
        <w:rPr>
          <w:sz w:val="26"/>
          <w:szCs w:val="26"/>
          <w:rtl/>
        </w:rPr>
        <w:t>מה</w:t>
      </w:r>
      <w:r w:rsidRPr="00EE6ED7">
        <w:rPr>
          <w:sz w:val="26"/>
          <w:szCs w:val="26"/>
        </w:rPr>
        <w:t>-clause, reducing the number of question marks to four.</w:t>
      </w:r>
      <w:r w:rsidR="0014624C" w:rsidRPr="00EE6ED7">
        <w:rPr>
          <w:sz w:val="26"/>
          <w:szCs w:val="26"/>
        </w:rPr>
        <w:t xml:space="preserve"> </w:t>
      </w:r>
      <w:r w:rsidRPr="00EE6ED7">
        <w:rPr>
          <w:sz w:val="26"/>
          <w:szCs w:val="26"/>
        </w:rPr>
        <w:t>The problem is that there are still five questions, for the word “why” appears five times.</w:t>
      </w:r>
      <w:r w:rsidR="0014624C" w:rsidRPr="00EE6ED7">
        <w:rPr>
          <w:sz w:val="26"/>
          <w:szCs w:val="26"/>
        </w:rPr>
        <w:t xml:space="preserve"> </w:t>
      </w:r>
      <w:r w:rsidRPr="00EE6ED7">
        <w:rPr>
          <w:sz w:val="26"/>
          <w:szCs w:val="26"/>
        </w:rPr>
        <w:t>A different solution is offered in two translations published in the 1940s.</w:t>
      </w:r>
      <w:r w:rsidR="0014624C" w:rsidRPr="00EE6ED7">
        <w:rPr>
          <w:sz w:val="26"/>
          <w:szCs w:val="26"/>
        </w:rPr>
        <w:t xml:space="preserve"> </w:t>
      </w:r>
      <w:r w:rsidRPr="00EE6ED7">
        <w:rPr>
          <w:sz w:val="26"/>
          <w:szCs w:val="26"/>
        </w:rPr>
        <w:t>As we have seen,</w:t>
      </w:r>
      <w:r w:rsidRPr="00EE6ED7">
        <w:rPr>
          <w:sz w:val="26"/>
          <w:szCs w:val="26"/>
          <w:vertAlign w:val="superscript"/>
        </w:rPr>
        <w:footnoteReference w:id="160"/>
      </w:r>
      <w:r w:rsidRPr="00EE6ED7">
        <w:rPr>
          <w:sz w:val="26"/>
          <w:szCs w:val="26"/>
        </w:rPr>
        <w:t xml:space="preserve"> the translation in the New York </w:t>
      </w:r>
      <w:r w:rsidR="00D60401" w:rsidRPr="00EE6ED7">
        <w:rPr>
          <w:sz w:val="26"/>
          <w:szCs w:val="26"/>
        </w:rPr>
        <w:t xml:space="preserve">Haggadah </w:t>
      </w:r>
      <w:r w:rsidRPr="00EE6ED7">
        <w:rPr>
          <w:sz w:val="26"/>
          <w:szCs w:val="26"/>
        </w:rPr>
        <w:t>of 1945 (David and Tamar de Sola Pool) has: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How different is this night from all other nights!</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on this night why...?</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left="720"/>
        <w:jc w:val="both"/>
        <w:rPr>
          <w:sz w:val="26"/>
          <w:szCs w:val="26"/>
        </w:rPr>
      </w:pPr>
      <w:r w:rsidRPr="00EE6ED7">
        <w:rPr>
          <w:sz w:val="26"/>
          <w:szCs w:val="26"/>
        </w:rPr>
        <w:t>On all other nights...; why on this night...?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432"/>
        <w:jc w:val="both"/>
        <w:rPr>
          <w:sz w:val="26"/>
          <w:szCs w:val="26"/>
        </w:rPr>
      </w:pP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jc w:val="both"/>
        <w:rPr>
          <w:sz w:val="26"/>
          <w:szCs w:val="26"/>
        </w:rPr>
      </w:pPr>
      <w:r w:rsidRPr="00EE6ED7">
        <w:rPr>
          <w:sz w:val="26"/>
          <w:szCs w:val="26"/>
        </w:rPr>
        <w:t xml:space="preserve">The Spanish translation in the </w:t>
      </w:r>
      <w:smartTag w:uri="urn:schemas-microsoft-com:office:smarttags" w:element="place">
        <w:smartTag w:uri="urn:schemas-microsoft-com:office:smarttags" w:element="City">
          <w:r w:rsidRPr="00EE6ED7">
            <w:rPr>
              <w:sz w:val="26"/>
              <w:szCs w:val="26"/>
            </w:rPr>
            <w:t>Kansas City</w:t>
          </w:r>
        </w:smartTag>
        <w:r w:rsidRPr="00EE6ED7">
          <w:rPr>
            <w:sz w:val="26"/>
            <w:szCs w:val="26"/>
          </w:rPr>
          <w:t xml:space="preserve">, </w:t>
        </w:r>
        <w:smartTag w:uri="urn:schemas-microsoft-com:office:smarttags" w:element="State">
          <w:r w:rsidRPr="00EE6ED7">
            <w:rPr>
              <w:sz w:val="26"/>
              <w:szCs w:val="26"/>
            </w:rPr>
            <w:t>Mo.</w:t>
          </w:r>
        </w:smartTag>
      </w:smartTag>
      <w:r w:rsidRPr="00EE6ED7">
        <w:rPr>
          <w:sz w:val="26"/>
          <w:szCs w:val="26"/>
        </w:rPr>
        <w:t xml:space="preserve"> </w:t>
      </w:r>
      <w:r w:rsidR="00D60401" w:rsidRPr="00EE6ED7">
        <w:rPr>
          <w:sz w:val="26"/>
          <w:szCs w:val="26"/>
        </w:rPr>
        <w:t xml:space="preserve">Haggadah </w:t>
      </w:r>
      <w:r w:rsidRPr="00EE6ED7">
        <w:rPr>
          <w:sz w:val="26"/>
          <w:szCs w:val="26"/>
        </w:rPr>
        <w:t>of 1947 (Tibor H. Stern) has essentially the same punctuation.</w:t>
      </w:r>
      <w:r w:rsidRPr="00EE6ED7">
        <w:rPr>
          <w:sz w:val="26"/>
          <w:szCs w:val="26"/>
          <w:vertAlign w:val="superscript"/>
        </w:rPr>
        <w:footnoteReference w:id="161"/>
      </w:r>
      <w:r w:rsidR="0014624C" w:rsidRPr="00EE6ED7">
        <w:rPr>
          <w:sz w:val="26"/>
          <w:szCs w:val="26"/>
        </w:rPr>
        <w:t xml:space="preserve"> </w:t>
      </w:r>
      <w:r w:rsidRPr="00EE6ED7">
        <w:rPr>
          <w:sz w:val="26"/>
          <w:szCs w:val="26"/>
        </w:rPr>
        <w:t xml:space="preserve">According to these translations, only the four </w:t>
      </w:r>
      <w:r w:rsidRPr="00EE6ED7">
        <w:rPr>
          <w:sz w:val="26"/>
          <w:szCs w:val="26"/>
          <w:rtl/>
        </w:rPr>
        <w:t>ש</w:t>
      </w:r>
      <w:r w:rsidRPr="00EE6ED7">
        <w:rPr>
          <w:sz w:val="26"/>
          <w:szCs w:val="26"/>
        </w:rPr>
        <w:t xml:space="preserve">-clauses are questions; the </w:t>
      </w:r>
      <w:r w:rsidRPr="00EE6ED7">
        <w:rPr>
          <w:sz w:val="26"/>
          <w:szCs w:val="26"/>
          <w:rtl/>
        </w:rPr>
        <w:t>מה</w:t>
      </w:r>
      <w:r w:rsidRPr="00EE6ED7">
        <w:rPr>
          <w:sz w:val="26"/>
          <w:szCs w:val="26"/>
        </w:rPr>
        <w:t>-clause is an exclamation.</w:t>
      </w:r>
      <w:r w:rsidR="0014624C" w:rsidRPr="00EE6ED7">
        <w:rPr>
          <w:sz w:val="26"/>
          <w:szCs w:val="26"/>
        </w:rPr>
        <w:t xml:space="preserve"> </w:t>
      </w:r>
      <w:r w:rsidRPr="00EE6ED7">
        <w:rPr>
          <w:sz w:val="26"/>
          <w:szCs w:val="26"/>
        </w:rPr>
        <w:t xml:space="preserve">It is perhaps not an accident that this ingenious blend of two traditions appears first in a </w:t>
      </w:r>
      <w:r w:rsidR="00D60401" w:rsidRPr="00EE6ED7">
        <w:rPr>
          <w:sz w:val="26"/>
          <w:szCs w:val="26"/>
        </w:rPr>
        <w:t xml:space="preserve">Haggadah </w:t>
      </w:r>
      <w:r w:rsidRPr="00EE6ED7">
        <w:rPr>
          <w:sz w:val="26"/>
          <w:szCs w:val="26"/>
        </w:rPr>
        <w:t xml:space="preserve">prepared by a Sephardic-Ashkenazic couple (David de Sola Pool and Tamar Hirschensohn de Sola Pool) “for members of the armed forces of the United States”; it is reminiscent of the </w:t>
      </w:r>
      <w:r w:rsidRPr="00EE6ED7">
        <w:rPr>
          <w:sz w:val="26"/>
          <w:szCs w:val="26"/>
          <w:rtl/>
        </w:rPr>
        <w:t>נוסח אחיד</w:t>
      </w:r>
      <w:r w:rsidRPr="00EE6ED7">
        <w:rPr>
          <w:sz w:val="26"/>
          <w:szCs w:val="26"/>
        </w:rPr>
        <w:t xml:space="preserve"> of the IDF </w:t>
      </w:r>
      <w:r w:rsidR="00D60401" w:rsidRPr="00EE6ED7">
        <w:rPr>
          <w:sz w:val="26"/>
          <w:szCs w:val="26"/>
        </w:rPr>
        <w:t>Siddur</w:t>
      </w:r>
      <w:r w:rsidRPr="00EE6ED7">
        <w:rPr>
          <w:sz w:val="26"/>
          <w:szCs w:val="26"/>
        </w:rPr>
        <w:t>.</w:t>
      </w:r>
    </w:p>
    <w:p w:rsidR="00105DEE" w:rsidRPr="00EE6ED7" w:rsidRDefault="00105DEE" w:rsidP="00D60C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EE6ED7">
        <w:rPr>
          <w:sz w:val="26"/>
          <w:szCs w:val="26"/>
        </w:rPr>
        <w:t>These twentieth-century translations are the culmination of a process of reinterpretation that began in the sixteenth century.</w:t>
      </w:r>
      <w:r w:rsidR="0014624C" w:rsidRPr="00EE6ED7">
        <w:rPr>
          <w:sz w:val="26"/>
          <w:szCs w:val="26"/>
        </w:rPr>
        <w:t xml:space="preserve"> </w:t>
      </w:r>
      <w:r w:rsidRPr="00EE6ED7">
        <w:rPr>
          <w:sz w:val="26"/>
          <w:szCs w:val="26"/>
        </w:rPr>
        <w:t>As a result of this process, five things changed:</w:t>
      </w:r>
      <w:r w:rsidR="0014624C" w:rsidRPr="00EE6ED7">
        <w:rPr>
          <w:sz w:val="26"/>
          <w:szCs w:val="26"/>
        </w:rPr>
        <w:t xml:space="preserve"> </w:t>
      </w:r>
      <w:r w:rsidRPr="00EE6ED7">
        <w:rPr>
          <w:sz w:val="26"/>
          <w:szCs w:val="26"/>
        </w:rPr>
        <w:t xml:space="preserve">(1) the translation of </w:t>
      </w:r>
      <w:r w:rsidRPr="00EE6ED7">
        <w:rPr>
          <w:sz w:val="26"/>
          <w:szCs w:val="26"/>
          <w:rtl/>
        </w:rPr>
        <w:t>מה</w:t>
      </w:r>
      <w:r w:rsidRPr="00EE6ED7">
        <w:rPr>
          <w:sz w:val="26"/>
          <w:szCs w:val="26"/>
        </w:rPr>
        <w:t xml:space="preserve">, (2) the number of questions, (3) the number of sentences, (4) the meaning or meaningfulness of </w:t>
      </w:r>
      <w:r w:rsidRPr="00EE6ED7">
        <w:rPr>
          <w:sz w:val="26"/>
          <w:szCs w:val="26"/>
          <w:rtl/>
        </w:rPr>
        <w:t>ש-</w:t>
      </w:r>
      <w:r w:rsidRPr="00EE6ED7">
        <w:rPr>
          <w:sz w:val="26"/>
          <w:szCs w:val="26"/>
        </w:rPr>
        <w:t xml:space="preserve">, (5) the referent of </w:t>
      </w:r>
      <w:r w:rsidRPr="00EE6ED7">
        <w:rPr>
          <w:sz w:val="26"/>
          <w:szCs w:val="26"/>
          <w:rtl/>
        </w:rPr>
        <w:t>נשתנה</w:t>
      </w:r>
      <w:r w:rsidRPr="00EE6ED7">
        <w:rPr>
          <w:sz w:val="26"/>
          <w:szCs w:val="26"/>
        </w:rPr>
        <w:t>.</w:t>
      </w:r>
      <w:r w:rsidR="0014624C" w:rsidRPr="00EE6ED7">
        <w:rPr>
          <w:sz w:val="26"/>
          <w:szCs w:val="26"/>
        </w:rPr>
        <w:t xml:space="preserve"> </w:t>
      </w:r>
      <w:r w:rsidRPr="00EE6ED7">
        <w:rPr>
          <w:sz w:val="26"/>
          <w:szCs w:val="26"/>
        </w:rPr>
        <w:t>They did not all change at the same time, since awareness of the connections among them was not common.</w:t>
      </w:r>
    </w:p>
    <w:p w:rsidR="0015594F" w:rsidRPr="00BB4316" w:rsidRDefault="0015594F" w:rsidP="00515A8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autoSpaceDE w:val="0"/>
        <w:autoSpaceDN w:val="0"/>
        <w:adjustRightInd w:val="0"/>
        <w:spacing w:line="300" w:lineRule="exact"/>
        <w:ind w:firstLine="284"/>
        <w:jc w:val="both"/>
        <w:rPr>
          <w:sz w:val="26"/>
          <w:szCs w:val="26"/>
        </w:rPr>
      </w:pPr>
      <w:r w:rsidRPr="00BB4316">
        <w:rPr>
          <w:sz w:val="26"/>
          <w:szCs w:val="28"/>
        </w:rPr>
        <w:t xml:space="preserve">This long process of reinterpretation “passed over” the translations of Baneth (1927) and Goldschmidt (1936). As we have seen, both of these have a single question mark, but unlike the eighteenth-century translations and their descendants, they have it at the very end, </w:t>
      </w:r>
      <w:r w:rsidRPr="00BB4316">
        <w:rPr>
          <w:i/>
          <w:sz w:val="26"/>
          <w:szCs w:val="28"/>
        </w:rPr>
        <w:t>after</w:t>
      </w:r>
      <w:r w:rsidRPr="00BB4316">
        <w:rPr>
          <w:sz w:val="26"/>
          <w:szCs w:val="28"/>
        </w:rPr>
        <w:t xml:space="preserve"> all of the </w:t>
      </w:r>
      <w:r w:rsidRPr="00BB4316">
        <w:rPr>
          <w:sz w:val="26"/>
          <w:szCs w:val="28"/>
          <w:rtl/>
        </w:rPr>
        <w:t>ש</w:t>
      </w:r>
      <w:r w:rsidRPr="00BB4316">
        <w:rPr>
          <w:sz w:val="26"/>
          <w:szCs w:val="28"/>
        </w:rPr>
        <w:t>-clauses.  These translations and the commentaries of R. Zevi Hirsch b. Tan</w:t>
      </w:r>
      <w:r w:rsidRPr="00BB4316">
        <w:rPr>
          <w:rFonts w:ascii="CalSemitic" w:hAnsi="CalSemitic"/>
          <w:sz w:val="26"/>
          <w:szCs w:val="26"/>
        </w:rPr>
        <w:t>x</w:t>
      </w:r>
      <w:r w:rsidRPr="00BB4316">
        <w:rPr>
          <w:sz w:val="26"/>
          <w:szCs w:val="28"/>
        </w:rPr>
        <w:t>um, R. Arieh Leib Frumkin, and R. Joshua Ephraim Bombach represent a return to the translation of 1535 and Maharal’s commentary (1582), which in turn reflect an interpretation that can be traced back at least as far as R. Saadia Gaon.</w:t>
      </w:r>
    </w:p>
    <w:sectPr w:rsidR="0015594F" w:rsidRPr="00BB4316" w:rsidSect="000C75B4">
      <w:headerReference w:type="even" r:id="rId8"/>
      <w:headerReference w:type="default" r:id="rId9"/>
      <w:footerReference w:type="even" r:id="rId10"/>
      <w:footerReference w:type="default" r:id="rId11"/>
      <w:headerReference w:type="first" r:id="rId12"/>
      <w:footerReference w:type="first" r:id="rId13"/>
      <w:pgSz w:w="11907" w:h="16840" w:code="9"/>
      <w:pgMar w:top="2160" w:right="2268" w:bottom="2160" w:left="2268" w:header="1418" w:footer="1418" w:gutter="0"/>
      <w:pgNumType w:start="163"/>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E2822" w:rsidRDefault="005E2822">
      <w:r>
        <w:separator/>
      </w:r>
    </w:p>
  </w:endnote>
  <w:endnote w:type="continuationSeparator" w:id="0">
    <w:p w:rsidR="005E2822" w:rsidRDefault="005E2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embedRegular r:id="rId1" w:fontKey="{F3D75E0C-E386-405C-A792-94B8FBD407F2}"/>
    <w:embedBold r:id="rId2" w:fontKey="{41A77F8E-9867-4D1C-B77C-97E9C413DDE1}"/>
    <w:embedItalic r:id="rId3" w:fontKey="{FB82A303-F169-4993-BC88-53E572160CAA}"/>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CalSemitic">
    <w:charset w:val="00"/>
    <w:family w:val="auto"/>
    <w:pitch w:val="variable"/>
    <w:sig w:usb0="00000003" w:usb1="00000000" w:usb2="00000000" w:usb3="00000000" w:csb0="00000001" w:csb1="00000000"/>
    <w:embedRegular r:id="rId4" w:fontKey="{5E4C1A07-A39A-45E2-ADFA-6BFBB571825C}"/>
    <w:embedItalic r:id="rId5" w:fontKey="{2B53132E-0C7A-4387-802E-3AAD1C2424C8}"/>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Pr="00F57C11" w:rsidRDefault="00A465C3" w:rsidP="00F57C11">
    <w:pPr>
      <w:pStyle w:val="a7"/>
      <w:rPr>
        <w:u w:val="single"/>
      </w:rPr>
    </w:pPr>
    <w:hyperlink r:id="rId1" w:history="1">
      <w:r w:rsidRPr="003D0345">
        <w:rPr>
          <w:rStyle w:val="Hyperlink"/>
        </w:rPr>
        <w:t>http://www.biu.ac.il/JS/JSIJ/7-2008/Steiner.pdf</w:t>
      </w:r>
    </w:hyperlink>
    <w:r>
      <w:rPr>
        <w:rStyle w:val="a8"/>
        <w:u w:val="singl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Pr="00F57C11" w:rsidRDefault="00A465C3" w:rsidP="00F57C11">
    <w:pPr>
      <w:pStyle w:val="a7"/>
      <w:rPr>
        <w:u w:val="single"/>
      </w:rPr>
    </w:pPr>
    <w:hyperlink r:id="rId1" w:history="1">
      <w:r w:rsidRPr="003D0345">
        <w:rPr>
          <w:rStyle w:val="Hyperlink"/>
        </w:rPr>
        <w:t>http://www.biu.ac.il/JS/JSIJ/7-2008/Steiner.pdf</w:t>
      </w:r>
    </w:hyperlink>
    <w:r>
      <w:rPr>
        <w:rStyle w:val="a8"/>
        <w:u w:val="singl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Pr="00EE6ED7" w:rsidRDefault="00A465C3" w:rsidP="00EE6ED7">
    <w:pPr>
      <w:pStyle w:val="a7"/>
      <w:rPr>
        <w:u w:val="single"/>
      </w:rPr>
    </w:pPr>
    <w:hyperlink r:id="rId1" w:history="1">
      <w:r w:rsidRPr="003D0345">
        <w:rPr>
          <w:rStyle w:val="Hyperlink"/>
        </w:rPr>
        <w:t>http://www.biu.ac.il/JS/JSIJ/7-2008/Steiner.pdf</w:t>
      </w:r>
    </w:hyperlink>
    <w:r>
      <w:rPr>
        <w:rStyle w:val="a8"/>
        <w:u w:val="singl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E2822" w:rsidRDefault="005E2822">
      <w:pPr>
        <w:widowControl w:val="0"/>
        <w:autoSpaceDE w:val="0"/>
        <w:autoSpaceDN w:val="0"/>
        <w:adjustRightInd w:val="0"/>
      </w:pPr>
    </w:p>
  </w:footnote>
  <w:footnote w:type="continuationSeparator" w:id="0">
    <w:p w:rsidR="005E2822" w:rsidRDefault="005E2822">
      <w:pPr>
        <w:widowControl w:val="0"/>
        <w:autoSpaceDE w:val="0"/>
        <w:autoSpaceDN w:val="0"/>
        <w:adjustRightInd w:val="0"/>
      </w:pPr>
    </w:p>
    <w:p w:rsidR="005E2822" w:rsidRDefault="005E2822">
      <w:pPr>
        <w:widowControl w:val="0"/>
        <w:autoSpaceDE w:val="0"/>
        <w:autoSpaceDN w:val="0"/>
        <w:adjustRightInd w:val="0"/>
      </w:pPr>
      <w:r>
        <w:t>______________</w:t>
      </w:r>
    </w:p>
  </w:footnote>
  <w:footnote w:type="continuationNotice" w:id="1">
    <w:p w:rsidR="005E2822" w:rsidRDefault="005E2822"/>
  </w:footnote>
  <w:footnote w:id="2">
    <w:p w:rsidR="00A465C3" w:rsidRPr="00EE6ED7" w:rsidRDefault="00A465C3" w:rsidP="004C749E">
      <w:pPr>
        <w:suppressAutoHyphens/>
        <w:autoSpaceDE w:val="0"/>
        <w:autoSpaceDN w:val="0"/>
        <w:adjustRightInd w:val="0"/>
        <w:spacing w:line="270" w:lineRule="exact"/>
        <w:jc w:val="both"/>
        <w:rPr>
          <w:sz w:val="23"/>
          <w:szCs w:val="23"/>
        </w:rPr>
      </w:pPr>
      <w:r w:rsidRPr="00EE6ED7">
        <w:rPr>
          <w:rStyle w:val="a5"/>
          <w:sz w:val="23"/>
          <w:szCs w:val="23"/>
        </w:rPr>
        <w:t>*</w:t>
      </w:r>
      <w:r w:rsidRPr="00EE6ED7">
        <w:rPr>
          <w:sz w:val="23"/>
          <w:szCs w:val="23"/>
        </w:rPr>
        <w:t xml:space="preserve"> I completed a draft of this article during my tenure as a Starr Fellow at </w:t>
      </w:r>
      <w:smartTag w:uri="urn:schemas-microsoft-com:office:smarttags" w:element="place">
        <w:smartTag w:uri="urn:schemas-microsoft-com:office:smarttags" w:element="PlaceName">
          <w:r w:rsidRPr="00EE6ED7">
            <w:rPr>
              <w:sz w:val="23"/>
              <w:szCs w:val="23"/>
            </w:rPr>
            <w:t>Harvard</w:t>
          </w:r>
        </w:smartTag>
        <w:r w:rsidRPr="00EE6ED7">
          <w:rPr>
            <w:sz w:val="23"/>
            <w:szCs w:val="23"/>
          </w:rPr>
          <w:t xml:space="preserve"> </w:t>
        </w:r>
        <w:smartTag w:uri="urn:schemas-microsoft-com:office:smarttags" w:element="PlaceType">
          <w:r w:rsidRPr="00EE6ED7">
            <w:rPr>
              <w:sz w:val="23"/>
              <w:szCs w:val="23"/>
            </w:rPr>
            <w:t>University</w:t>
          </w:r>
        </w:smartTag>
      </w:smartTag>
      <w:r w:rsidRPr="00EE6ED7">
        <w:rPr>
          <w:sz w:val="23"/>
          <w:szCs w:val="23"/>
        </w:rPr>
        <w:t xml:space="preserve"> in the spring of 2005, and presented it at a pre-Passover seminar. I would like to express my gratitude to the Center for Jewish Studies at Harvard for the invitation to be a Starr Fellow and to Dr. Morton Lowengrub, the Provost of Yeshiva University, for making it possible for me to accept the invitation. I would also like to thank the scholars who read drafts of this article for their incisive comments, which stimulated my thinking and saved me from error: Profs. David Berger, Shamma Friedman, S. Z. Leiman, Menahem I. Kahana, </w:t>
      </w:r>
      <w:smartTag w:uri="urn:schemas-microsoft-com:office:smarttags" w:element="PersonName">
        <w:r w:rsidRPr="00EE6ED7">
          <w:rPr>
            <w:sz w:val="23"/>
            <w:szCs w:val="23"/>
          </w:rPr>
          <w:t>Leib Moscovitz</w:t>
        </w:r>
      </w:smartTag>
      <w:r>
        <w:rPr>
          <w:sz w:val="23"/>
          <w:szCs w:val="23"/>
        </w:rPr>
        <w:t>,</w:t>
      </w:r>
      <w:r w:rsidRPr="00EE6ED7">
        <w:rPr>
          <w:sz w:val="23"/>
          <w:szCs w:val="23"/>
        </w:rPr>
        <w:t xml:space="preserve"> Adina Mosak Moshavi,</w:t>
      </w:r>
      <w:r>
        <w:rPr>
          <w:sz w:val="23"/>
          <w:szCs w:val="23"/>
        </w:rPr>
        <w:t xml:space="preserve"> B. Septimus, Mark Steiner,</w:t>
      </w:r>
      <w:r w:rsidRPr="00EE6ED7">
        <w:rPr>
          <w:sz w:val="23"/>
          <w:szCs w:val="23"/>
        </w:rPr>
        <w:t xml:space="preserve"> and the anonymous reviewers from the editorial board of </w:t>
      </w:r>
      <w:r w:rsidRPr="00EE6ED7">
        <w:rPr>
          <w:i/>
          <w:iCs/>
          <w:sz w:val="23"/>
          <w:szCs w:val="23"/>
        </w:rPr>
        <w:t>JSIJ</w:t>
      </w:r>
      <w:r w:rsidRPr="00EE6ED7">
        <w:rPr>
          <w:sz w:val="23"/>
          <w:szCs w:val="23"/>
        </w:rPr>
        <w:t xml:space="preserve">. Prof. Friedman’s kindness deserves special mention; he gently hinted at the need to broaden my coverage of the tannaitic material by preparing an invaluable 29-page collection of sources and ideas for my use! Thanks are also due to the librarians of </w:t>
      </w:r>
      <w:smartTag w:uri="urn:schemas-microsoft-com:office:smarttags" w:element="PlaceName">
        <w:r w:rsidRPr="00EE6ED7">
          <w:rPr>
            <w:sz w:val="23"/>
            <w:szCs w:val="23"/>
          </w:rPr>
          <w:t>Harvard</w:t>
        </w:r>
      </w:smartTag>
      <w:r w:rsidRPr="00EE6ED7">
        <w:rPr>
          <w:sz w:val="23"/>
          <w:szCs w:val="23"/>
        </w:rPr>
        <w:t xml:space="preserve"> </w:t>
      </w:r>
      <w:smartTag w:uri="urn:schemas-microsoft-com:office:smarttags" w:element="PlaceType">
        <w:r w:rsidRPr="00EE6ED7">
          <w:rPr>
            <w:sz w:val="23"/>
            <w:szCs w:val="23"/>
          </w:rPr>
          <w:t>University</w:t>
        </w:r>
      </w:smartTag>
      <w:r w:rsidRPr="00EE6ED7">
        <w:rPr>
          <w:sz w:val="23"/>
          <w:szCs w:val="23"/>
        </w:rPr>
        <w:t xml:space="preserve">, the </w:t>
      </w:r>
      <w:smartTag w:uri="urn:schemas-microsoft-com:office:smarttags" w:element="PlaceName">
        <w:r w:rsidRPr="00EE6ED7">
          <w:rPr>
            <w:sz w:val="23"/>
            <w:szCs w:val="23"/>
          </w:rPr>
          <w:t>Hebrew</w:t>
        </w:r>
      </w:smartTag>
      <w:r w:rsidRPr="00EE6ED7">
        <w:rPr>
          <w:sz w:val="23"/>
          <w:szCs w:val="23"/>
        </w:rPr>
        <w:t xml:space="preserve"> </w:t>
      </w:r>
      <w:smartTag w:uri="urn:schemas-microsoft-com:office:smarttags" w:element="PlaceType">
        <w:r w:rsidRPr="00EE6ED7">
          <w:rPr>
            <w:sz w:val="23"/>
            <w:szCs w:val="23"/>
          </w:rPr>
          <w:t>University</w:t>
        </w:r>
      </w:smartTag>
      <w:r w:rsidRPr="00EE6ED7">
        <w:rPr>
          <w:sz w:val="23"/>
          <w:szCs w:val="23"/>
        </w:rPr>
        <w:t xml:space="preserve">, </w:t>
      </w:r>
      <w:smartTag w:uri="urn:schemas-microsoft-com:office:smarttags" w:element="PlaceName">
        <w:r w:rsidRPr="00EE6ED7">
          <w:rPr>
            <w:sz w:val="23"/>
            <w:szCs w:val="23"/>
          </w:rPr>
          <w:t>Hebrew</w:t>
        </w:r>
      </w:smartTag>
      <w:r w:rsidRPr="00EE6ED7">
        <w:rPr>
          <w:sz w:val="23"/>
          <w:szCs w:val="23"/>
        </w:rPr>
        <w:t xml:space="preserve"> </w:t>
      </w:r>
      <w:smartTag w:uri="urn:schemas-microsoft-com:office:smarttags" w:element="PlaceName">
        <w:r w:rsidRPr="00EE6ED7">
          <w:rPr>
            <w:sz w:val="23"/>
            <w:szCs w:val="23"/>
          </w:rPr>
          <w:t>Union</w:t>
        </w:r>
      </w:smartTag>
      <w:r w:rsidRPr="00EE6ED7">
        <w:rPr>
          <w:sz w:val="23"/>
          <w:szCs w:val="23"/>
        </w:rPr>
        <w:t xml:space="preserve"> </w:t>
      </w:r>
      <w:smartTag w:uri="urn:schemas-microsoft-com:office:smarttags" w:element="PlaceType">
        <w:r w:rsidRPr="00EE6ED7">
          <w:rPr>
            <w:sz w:val="23"/>
            <w:szCs w:val="23"/>
          </w:rPr>
          <w:t>College</w:t>
        </w:r>
      </w:smartTag>
      <w:r w:rsidRPr="00EE6ED7">
        <w:rPr>
          <w:sz w:val="23"/>
          <w:szCs w:val="23"/>
        </w:rPr>
        <w:t xml:space="preserve">, the Jewish Theological Seminary of America, and </w:t>
      </w:r>
      <w:smartTag w:uri="urn:schemas-microsoft-com:office:smarttags" w:element="place">
        <w:smartTag w:uri="urn:schemas-microsoft-com:office:smarttags" w:element="PlaceName">
          <w:r w:rsidRPr="00EE6ED7">
            <w:rPr>
              <w:sz w:val="23"/>
              <w:szCs w:val="23"/>
            </w:rPr>
            <w:t>Yeshiva</w:t>
          </w:r>
        </w:smartTag>
        <w:r w:rsidRPr="00EE6ED7">
          <w:rPr>
            <w:sz w:val="23"/>
            <w:szCs w:val="23"/>
          </w:rPr>
          <w:t xml:space="preserve"> </w:t>
        </w:r>
        <w:smartTag w:uri="urn:schemas-microsoft-com:office:smarttags" w:element="PlaceType">
          <w:r w:rsidRPr="00EE6ED7">
            <w:rPr>
              <w:sz w:val="23"/>
              <w:szCs w:val="23"/>
            </w:rPr>
            <w:t>University</w:t>
          </w:r>
        </w:smartTag>
      </w:smartTag>
      <w:r w:rsidRPr="00EE6ED7">
        <w:rPr>
          <w:sz w:val="23"/>
          <w:szCs w:val="23"/>
        </w:rPr>
        <w:t xml:space="preserve"> for making their Haggadah collections available to me and/or providing scans or photocopies. Finally, I would like to express my appreciation to Mrs. Cha</w:t>
      </w:r>
      <w:r>
        <w:rPr>
          <w:sz w:val="23"/>
          <w:szCs w:val="23"/>
        </w:rPr>
        <w:t>n</w:t>
      </w:r>
      <w:r w:rsidRPr="00EE6ED7">
        <w:rPr>
          <w:sz w:val="23"/>
          <w:szCs w:val="23"/>
        </w:rPr>
        <w:t xml:space="preserve">na Goldstein for allowing me to spend days going through the Haggadah collection of her late lamented husband, Prof. Herbert Goldstein </w:t>
      </w:r>
      <w:r w:rsidRPr="00EE6ED7">
        <w:rPr>
          <w:sz w:val="23"/>
          <w:szCs w:val="23"/>
          <w:rtl/>
        </w:rPr>
        <w:t>ז"ל</w:t>
      </w:r>
      <w:r w:rsidRPr="00EE6ED7">
        <w:rPr>
          <w:sz w:val="23"/>
          <w:szCs w:val="23"/>
        </w:rPr>
        <w:t xml:space="preserve">, </w:t>
      </w:r>
      <w:r>
        <w:rPr>
          <w:sz w:val="23"/>
          <w:szCs w:val="23"/>
        </w:rPr>
        <w:t xml:space="preserve">the distinguished academician and friend </w:t>
      </w:r>
      <w:r w:rsidRPr="00EE6ED7">
        <w:rPr>
          <w:sz w:val="23"/>
          <w:szCs w:val="23"/>
        </w:rPr>
        <w:t>to whose memory this article is dedicated.</w:t>
      </w:r>
    </w:p>
  </w:footnote>
  <w:footnote w:id="3">
    <w:p w:rsidR="00A465C3" w:rsidRPr="00EE6ED7" w:rsidRDefault="00A465C3" w:rsidP="00D60C7E">
      <w:pPr>
        <w:suppressAutoHyphens/>
        <w:autoSpaceDE w:val="0"/>
        <w:autoSpaceDN w:val="0"/>
        <w:adjustRightInd w:val="0"/>
        <w:spacing w:line="270" w:lineRule="exact"/>
        <w:jc w:val="both"/>
        <w:rPr>
          <w:sz w:val="23"/>
          <w:szCs w:val="23"/>
        </w:rPr>
      </w:pPr>
      <w:r w:rsidRPr="00EE6ED7">
        <w:rPr>
          <w:rStyle w:val="a5"/>
          <w:sz w:val="23"/>
          <w:szCs w:val="23"/>
        </w:rPr>
        <w:t>**</w:t>
      </w:r>
      <w:r w:rsidRPr="00EE6ED7">
        <w:rPr>
          <w:sz w:val="23"/>
          <w:szCs w:val="23"/>
        </w:rPr>
        <w:t xml:space="preserve"> </w:t>
      </w:r>
      <w:smartTag w:uri="urn:schemas-microsoft-com:office:smarttags" w:element="PlaceName">
        <w:r w:rsidRPr="00EE6ED7">
          <w:rPr>
            <w:sz w:val="23"/>
            <w:szCs w:val="23"/>
          </w:rPr>
          <w:t>Bernard</w:t>
        </w:r>
      </w:smartTag>
      <w:r w:rsidRPr="00EE6ED7">
        <w:rPr>
          <w:sz w:val="23"/>
          <w:szCs w:val="23"/>
        </w:rPr>
        <w:t xml:space="preserve"> </w:t>
      </w:r>
      <w:smartTag w:uri="urn:schemas-microsoft-com:office:smarttags" w:element="PlaceName">
        <w:r w:rsidRPr="00EE6ED7">
          <w:rPr>
            <w:sz w:val="23"/>
            <w:szCs w:val="23"/>
          </w:rPr>
          <w:t>Revel</w:t>
        </w:r>
      </w:smartTag>
      <w:r w:rsidRPr="00EE6ED7">
        <w:rPr>
          <w:sz w:val="23"/>
          <w:szCs w:val="23"/>
        </w:rPr>
        <w:t xml:space="preserve"> </w:t>
      </w:r>
      <w:smartTag w:uri="urn:schemas-microsoft-com:office:smarttags" w:element="PlaceName">
        <w:r w:rsidRPr="00EE6ED7">
          <w:rPr>
            <w:sz w:val="23"/>
            <w:szCs w:val="23"/>
          </w:rPr>
          <w:t>Graduate</w:t>
        </w:r>
      </w:smartTag>
      <w:r w:rsidRPr="00EE6ED7">
        <w:rPr>
          <w:sz w:val="23"/>
          <w:szCs w:val="23"/>
        </w:rPr>
        <w:t xml:space="preserve"> </w:t>
      </w:r>
      <w:smartTag w:uri="urn:schemas-microsoft-com:office:smarttags" w:element="PlaceType">
        <w:r w:rsidRPr="00EE6ED7">
          <w:rPr>
            <w:sz w:val="23"/>
            <w:szCs w:val="23"/>
          </w:rPr>
          <w:t>School</w:t>
        </w:r>
      </w:smartTag>
      <w:r w:rsidRPr="00EE6ED7">
        <w:rPr>
          <w:sz w:val="23"/>
          <w:szCs w:val="23"/>
        </w:rPr>
        <w:t xml:space="preserve">, </w:t>
      </w:r>
      <w:smartTag w:uri="urn:schemas-microsoft-com:office:smarttags" w:element="place">
        <w:smartTag w:uri="urn:schemas-microsoft-com:office:smarttags" w:element="PlaceName">
          <w:r w:rsidRPr="00EE6ED7">
            <w:rPr>
              <w:sz w:val="23"/>
              <w:szCs w:val="23"/>
            </w:rPr>
            <w:t>Yeshiva</w:t>
          </w:r>
        </w:smartTag>
        <w:r w:rsidRPr="00EE6ED7">
          <w:rPr>
            <w:sz w:val="23"/>
            <w:szCs w:val="23"/>
          </w:rPr>
          <w:t xml:space="preserve"> </w:t>
        </w:r>
        <w:smartTag w:uri="urn:schemas-microsoft-com:office:smarttags" w:element="PlaceType">
          <w:r w:rsidRPr="00EE6ED7">
            <w:rPr>
              <w:sz w:val="23"/>
              <w:szCs w:val="23"/>
            </w:rPr>
            <w:t>University</w:t>
          </w:r>
        </w:smartTag>
      </w:smartTag>
      <w:r w:rsidRPr="00EE6ED7">
        <w:rPr>
          <w:sz w:val="23"/>
          <w:szCs w:val="23"/>
        </w:rPr>
        <w:t>.</w:t>
      </w:r>
    </w:p>
  </w:footnote>
  <w:footnote w:id="4">
    <w:p w:rsidR="00A465C3" w:rsidRPr="00EE6ED7" w:rsidRDefault="00A465C3" w:rsidP="004C749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two and three, see Jay Rovner, “An Early Passover Haggadah According to the Palestinian Rite,” </w:t>
      </w:r>
      <w:r w:rsidRPr="00EE6ED7">
        <w:rPr>
          <w:i/>
          <w:sz w:val="23"/>
          <w:szCs w:val="23"/>
        </w:rPr>
        <w:t>JQR</w:t>
      </w:r>
      <w:r w:rsidRPr="00EE6ED7">
        <w:rPr>
          <w:sz w:val="23"/>
          <w:szCs w:val="23"/>
        </w:rPr>
        <w:t xml:space="preserve"> </w:t>
      </w:r>
      <w:r>
        <w:rPr>
          <w:rFonts w:hint="cs"/>
          <w:sz w:val="23"/>
          <w:szCs w:val="23"/>
          <w:rtl/>
        </w:rPr>
        <w:t>9</w:t>
      </w:r>
      <w:r w:rsidRPr="00EE6ED7">
        <w:rPr>
          <w:sz w:val="23"/>
          <w:szCs w:val="23"/>
        </w:rPr>
        <w:t xml:space="preserve">0 (2000): 350–51. For five, see </w:t>
      </w:r>
      <w:r w:rsidRPr="00EE6ED7">
        <w:rPr>
          <w:sz w:val="23"/>
          <w:szCs w:val="23"/>
          <w:rtl/>
        </w:rPr>
        <w:t>הגדה שלמה</w:t>
      </w:r>
      <w:r w:rsidRPr="00EE6ED7">
        <w:rPr>
          <w:sz w:val="23"/>
          <w:szCs w:val="23"/>
        </w:rPr>
        <w:t>, ed. M. M. Kasher (Jerusalem</w:t>
      </w:r>
      <w:r>
        <w:rPr>
          <w:sz w:val="23"/>
          <w:szCs w:val="23"/>
        </w:rPr>
        <w:t xml:space="preserve">: </w:t>
      </w:r>
      <w:r w:rsidRPr="00EE6ED7">
        <w:rPr>
          <w:sz w:val="23"/>
          <w:szCs w:val="23"/>
        </w:rPr>
        <w:t>Torah Shelema</w:t>
      </w:r>
      <w:r>
        <w:rPr>
          <w:sz w:val="23"/>
          <w:szCs w:val="23"/>
        </w:rPr>
        <w:t xml:space="preserve"> Institute, </w:t>
      </w:r>
      <w:r w:rsidRPr="00EE6ED7">
        <w:rPr>
          <w:sz w:val="23"/>
          <w:szCs w:val="23"/>
        </w:rPr>
        <w:t>1967),</w:t>
      </w:r>
      <w:r>
        <w:rPr>
          <w:sz w:val="23"/>
          <w:szCs w:val="23"/>
        </w:rPr>
        <w:t xml:space="preserve"> p.</w:t>
      </w:r>
      <w:r w:rsidRPr="00EE6ED7">
        <w:rPr>
          <w:sz w:val="23"/>
          <w:szCs w:val="23"/>
        </w:rPr>
        <w:t xml:space="preserve"> </w:t>
      </w:r>
      <w:r w:rsidRPr="00EE6ED7">
        <w:rPr>
          <w:sz w:val="23"/>
          <w:szCs w:val="23"/>
          <w:rtl/>
        </w:rPr>
        <w:t>צג</w:t>
      </w:r>
      <w:r w:rsidRPr="00EE6ED7">
        <w:rPr>
          <w:sz w:val="23"/>
          <w:szCs w:val="23"/>
        </w:rPr>
        <w:t>.</w:t>
      </w:r>
    </w:p>
  </w:footnote>
  <w:footnote w:id="5">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סדור רב סעדיה גאון</w:t>
      </w:r>
      <w:r w:rsidRPr="00EE6ED7">
        <w:rPr>
          <w:sz w:val="23"/>
          <w:szCs w:val="23"/>
        </w:rPr>
        <w:t xml:space="preserve">, ed. I. Davidson, </w:t>
      </w:r>
      <w:smartTag w:uri="urn:schemas-microsoft-com:office:smarttags" w:element="place">
        <w:r w:rsidRPr="00EE6ED7">
          <w:rPr>
            <w:sz w:val="23"/>
            <w:szCs w:val="23"/>
          </w:rPr>
          <w:t>S. Assaf</w:t>
        </w:r>
      </w:smartTag>
      <w:r w:rsidRPr="00EE6ED7">
        <w:rPr>
          <w:sz w:val="23"/>
          <w:szCs w:val="23"/>
        </w:rPr>
        <w:t xml:space="preserve">, B. I. Joel (Jerusalem: Mekize Nirdamim, 1941), </w:t>
      </w:r>
      <w:r>
        <w:rPr>
          <w:sz w:val="23"/>
          <w:szCs w:val="23"/>
        </w:rPr>
        <w:t xml:space="preserve">p. </w:t>
      </w:r>
      <w:r>
        <w:rPr>
          <w:rFonts w:hint="cs"/>
          <w:sz w:val="23"/>
          <w:szCs w:val="23"/>
          <w:rtl/>
        </w:rPr>
        <w:t>קלז</w:t>
      </w:r>
      <w:r w:rsidRPr="00EE6ED7">
        <w:rPr>
          <w:sz w:val="23"/>
          <w:szCs w:val="23"/>
        </w:rPr>
        <w:t>. J</w:t>
      </w:r>
      <w:r>
        <w:rPr>
          <w:sz w:val="23"/>
          <w:szCs w:val="23"/>
        </w:rPr>
        <w:t>oshua</w:t>
      </w:r>
      <w:r w:rsidRPr="00EE6ED7">
        <w:rPr>
          <w:sz w:val="23"/>
          <w:szCs w:val="23"/>
        </w:rPr>
        <w:t xml:space="preserve"> Blau (oral communication) notes that although the expected spelling is </w:t>
      </w:r>
      <w:r w:rsidRPr="00EE6ED7">
        <w:rPr>
          <w:sz w:val="23"/>
          <w:szCs w:val="23"/>
          <w:rtl/>
        </w:rPr>
        <w:t>סואל</w:t>
      </w:r>
      <w:r w:rsidRPr="00EE6ED7">
        <w:rPr>
          <w:sz w:val="23"/>
          <w:szCs w:val="23"/>
        </w:rPr>
        <w:t>, the form is clearly singular.</w:t>
      </w:r>
    </w:p>
  </w:footnote>
  <w:footnote w:id="6">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 עם פירושי הראשונים</w:t>
      </w:r>
      <w:r w:rsidRPr="00EE6ED7">
        <w:rPr>
          <w:sz w:val="23"/>
          <w:szCs w:val="23"/>
        </w:rPr>
        <w:t>, ed. M. L. Katzenellenbogen (Jerus</w:t>
      </w:r>
      <w:r>
        <w:rPr>
          <w:sz w:val="23"/>
          <w:szCs w:val="23"/>
        </w:rPr>
        <w:t>a</w:t>
      </w:r>
      <w:r w:rsidRPr="00EE6ED7">
        <w:rPr>
          <w:sz w:val="23"/>
          <w:szCs w:val="23"/>
        </w:rPr>
        <w:t>lem: Mo</w:t>
      </w:r>
      <w:r>
        <w:rPr>
          <w:sz w:val="23"/>
          <w:szCs w:val="23"/>
        </w:rPr>
        <w:t>s</w:t>
      </w:r>
      <w:r w:rsidRPr="00EE6ED7">
        <w:rPr>
          <w:sz w:val="23"/>
          <w:szCs w:val="23"/>
        </w:rPr>
        <w:t>sad Harav Kook, 1998),</w:t>
      </w:r>
      <w:r>
        <w:rPr>
          <w:sz w:val="23"/>
          <w:szCs w:val="23"/>
        </w:rPr>
        <w:t xml:space="preserve"> p.</w:t>
      </w:r>
      <w:r w:rsidRPr="00EE6ED7">
        <w:rPr>
          <w:sz w:val="23"/>
          <w:szCs w:val="23"/>
        </w:rPr>
        <w:t xml:space="preserve"> </w:t>
      </w:r>
      <w:r w:rsidRPr="00EE6ED7">
        <w:rPr>
          <w:sz w:val="23"/>
          <w:szCs w:val="23"/>
          <w:rtl/>
        </w:rPr>
        <w:t>כד</w:t>
      </w:r>
      <w:r w:rsidRPr="00EE6ED7">
        <w:rPr>
          <w:sz w:val="23"/>
          <w:szCs w:val="23"/>
        </w:rPr>
        <w:t xml:space="preserve">. This commentary is </w:t>
      </w:r>
      <w:r>
        <w:rPr>
          <w:sz w:val="23"/>
          <w:szCs w:val="23"/>
        </w:rPr>
        <w:t xml:space="preserve">frequently </w:t>
      </w:r>
      <w:r w:rsidRPr="00EE6ED7">
        <w:rPr>
          <w:sz w:val="23"/>
          <w:szCs w:val="23"/>
        </w:rPr>
        <w:t>cited by R. Eleazar b. Judah of Worms (Rokea</w:t>
      </w:r>
      <w:r w:rsidRPr="008205A3">
        <w:rPr>
          <w:rFonts w:ascii="CalSemitic" w:hAnsi="CalSemitic" w:cs="CalSemitic"/>
          <w:szCs w:val="30"/>
        </w:rPr>
        <w:t>x</w:t>
      </w:r>
      <w:r w:rsidRPr="00EE6ED7">
        <w:rPr>
          <w:sz w:val="23"/>
          <w:szCs w:val="23"/>
        </w:rPr>
        <w:t>), R. Zedekiah b. Abraham Anav (</w:t>
      </w:r>
      <w:r w:rsidRPr="00EE6ED7">
        <w:rPr>
          <w:i/>
          <w:sz w:val="23"/>
          <w:szCs w:val="23"/>
        </w:rPr>
        <w:t>Shi</w:t>
      </w:r>
      <w:r w:rsidRPr="00EE6ED7">
        <w:rPr>
          <w:i/>
          <w:sz w:val="23"/>
          <w:szCs w:val="23"/>
        </w:rPr>
        <w:t>b</w:t>
      </w:r>
      <w:r w:rsidRPr="00EE6ED7">
        <w:rPr>
          <w:i/>
          <w:sz w:val="23"/>
          <w:szCs w:val="23"/>
        </w:rPr>
        <w:t>bolei ha-Leqe</w:t>
      </w:r>
      <w:r w:rsidRPr="0002002F">
        <w:rPr>
          <w:rFonts w:ascii="CalSemitic" w:hAnsi="CalSemitic" w:cs="CalSemitic"/>
          <w:i/>
          <w:iCs/>
          <w:szCs w:val="30"/>
        </w:rPr>
        <w:t>T</w:t>
      </w:r>
      <w:r w:rsidRPr="00EE6ED7">
        <w:rPr>
          <w:sz w:val="23"/>
          <w:szCs w:val="23"/>
        </w:rPr>
        <w:t>), R. Simeon b. Zemah Duran and others.</w:t>
      </w:r>
    </w:p>
  </w:footnote>
  <w:footnote w:id="7">
    <w:p w:rsidR="00A465C3" w:rsidRPr="00EE6ED7" w:rsidRDefault="00A465C3" w:rsidP="004C749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Ibid</w:t>
      </w:r>
      <w:r w:rsidRPr="00EE6ED7">
        <w:rPr>
          <w:sz w:val="23"/>
          <w:szCs w:val="23"/>
        </w:rPr>
        <w:t>.,</w:t>
      </w:r>
      <w:r>
        <w:rPr>
          <w:sz w:val="23"/>
          <w:szCs w:val="23"/>
        </w:rPr>
        <w:t xml:space="preserve"> p.</w:t>
      </w:r>
      <w:r w:rsidRPr="00EE6ED7">
        <w:rPr>
          <w:sz w:val="23"/>
          <w:szCs w:val="23"/>
        </w:rPr>
        <w:t xml:space="preserve"> </w:t>
      </w:r>
      <w:r w:rsidRPr="00EE6ED7">
        <w:rPr>
          <w:sz w:val="23"/>
          <w:szCs w:val="23"/>
          <w:rtl/>
        </w:rPr>
        <w:t>ל</w:t>
      </w:r>
      <w:r w:rsidRPr="00EE6ED7">
        <w:rPr>
          <w:sz w:val="23"/>
          <w:szCs w:val="23"/>
        </w:rPr>
        <w:t xml:space="preserve">. </w:t>
      </w:r>
      <w:r>
        <w:rPr>
          <w:sz w:val="23"/>
          <w:szCs w:val="23"/>
        </w:rPr>
        <w:t xml:space="preserve">For the reading </w:t>
      </w:r>
      <w:r>
        <w:rPr>
          <w:rFonts w:hint="cs"/>
          <w:sz w:val="23"/>
          <w:szCs w:val="23"/>
          <w:rtl/>
        </w:rPr>
        <w:t>שאמר</w:t>
      </w:r>
      <w:r>
        <w:rPr>
          <w:sz w:val="23"/>
          <w:szCs w:val="23"/>
        </w:rPr>
        <w:t>, see</w:t>
      </w:r>
      <w:r w:rsidRPr="00EE6ED7">
        <w:rPr>
          <w:sz w:val="23"/>
          <w:szCs w:val="23"/>
        </w:rPr>
        <w:t xml:space="preserve"> </w:t>
      </w:r>
      <w:r w:rsidRPr="00EE6ED7">
        <w:rPr>
          <w:sz w:val="23"/>
          <w:szCs w:val="23"/>
          <w:rtl/>
        </w:rPr>
        <w:t>תוספות השלם</w:t>
      </w:r>
      <w:r>
        <w:rPr>
          <w:sz w:val="23"/>
          <w:szCs w:val="23"/>
          <w:rtl/>
        </w:rPr>
        <w:t xml:space="preserve">... </w:t>
      </w:r>
      <w:r w:rsidRPr="00EE6ED7">
        <w:rPr>
          <w:sz w:val="23"/>
          <w:szCs w:val="23"/>
          <w:rtl/>
        </w:rPr>
        <w:t>הגדה של פסח</w:t>
      </w:r>
      <w:r w:rsidRPr="00EE6ED7">
        <w:rPr>
          <w:sz w:val="23"/>
          <w:szCs w:val="23"/>
        </w:rPr>
        <w:t>, ed. J. Gellis (Jerusalem: Mifal Tosafot Hashalem, 1989),</w:t>
      </w:r>
      <w:r>
        <w:rPr>
          <w:sz w:val="23"/>
          <w:szCs w:val="23"/>
        </w:rPr>
        <w:t xml:space="preserve"> p.</w:t>
      </w:r>
      <w:r w:rsidRPr="00EE6ED7">
        <w:rPr>
          <w:sz w:val="23"/>
          <w:szCs w:val="23"/>
        </w:rPr>
        <w:t xml:space="preserve"> </w:t>
      </w:r>
      <w:r>
        <w:rPr>
          <w:rFonts w:hint="cs"/>
          <w:sz w:val="23"/>
          <w:szCs w:val="23"/>
          <w:rtl/>
        </w:rPr>
        <w:t>לב</w:t>
      </w:r>
      <w:r w:rsidRPr="00EE6ED7">
        <w:rPr>
          <w:sz w:val="23"/>
          <w:szCs w:val="23"/>
        </w:rPr>
        <w:t xml:space="preserve">. </w:t>
      </w:r>
    </w:p>
  </w:footnote>
  <w:footnote w:id="8">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ושיר השירים עם פירוש הרוקח</w:t>
      </w:r>
      <w:r>
        <w:rPr>
          <w:sz w:val="23"/>
          <w:szCs w:val="23"/>
          <w:rtl/>
        </w:rPr>
        <w:t xml:space="preserve">... </w:t>
      </w:r>
      <w:r w:rsidRPr="00EE6ED7">
        <w:rPr>
          <w:sz w:val="23"/>
          <w:szCs w:val="23"/>
          <w:rtl/>
        </w:rPr>
        <w:t>לרבנו אלעזר מגרמייז</w:t>
      </w:r>
      <w:r>
        <w:rPr>
          <w:rFonts w:hint="cs"/>
          <w:sz w:val="23"/>
          <w:szCs w:val="23"/>
          <w:rtl/>
        </w:rPr>
        <w:t>א</w:t>
      </w:r>
      <w:r w:rsidRPr="00EE6ED7">
        <w:rPr>
          <w:sz w:val="23"/>
          <w:szCs w:val="23"/>
        </w:rPr>
        <w:t>, ed. M. Hershler (Jerusalem: M</w:t>
      </w:r>
      <w:r>
        <w:rPr>
          <w:sz w:val="23"/>
          <w:szCs w:val="23"/>
        </w:rPr>
        <w:t>a</w:t>
      </w:r>
      <w:r w:rsidRPr="00EE6ED7">
        <w:rPr>
          <w:sz w:val="23"/>
          <w:szCs w:val="23"/>
        </w:rPr>
        <w:t>chon Shalem, 1984),</w:t>
      </w:r>
      <w:r>
        <w:rPr>
          <w:sz w:val="23"/>
          <w:szCs w:val="23"/>
        </w:rPr>
        <w:t xml:space="preserve"> p.</w:t>
      </w:r>
      <w:r w:rsidRPr="00EE6ED7">
        <w:rPr>
          <w:sz w:val="23"/>
          <w:szCs w:val="23"/>
        </w:rPr>
        <w:t xml:space="preserve"> </w:t>
      </w:r>
      <w:r>
        <w:rPr>
          <w:rFonts w:hint="cs"/>
          <w:sz w:val="23"/>
          <w:szCs w:val="23"/>
          <w:rtl/>
        </w:rPr>
        <w:t>סא</w:t>
      </w:r>
      <w:r w:rsidRPr="00EE6ED7">
        <w:rPr>
          <w:sz w:val="23"/>
          <w:szCs w:val="23"/>
        </w:rPr>
        <w:t>.</w:t>
      </w:r>
    </w:p>
  </w:footnote>
  <w:footnote w:id="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BL Add. Ms. 14762 f</w:t>
      </w:r>
      <w:r>
        <w:rPr>
          <w:sz w:val="23"/>
          <w:szCs w:val="23"/>
        </w:rPr>
        <w:t>ol</w:t>
      </w:r>
      <w:r w:rsidRPr="00EE6ED7">
        <w:rPr>
          <w:sz w:val="23"/>
          <w:szCs w:val="23"/>
        </w:rPr>
        <w:t xml:space="preserve">. 7a; see the facsimile in </w:t>
      </w:r>
      <w:r w:rsidRPr="00EE6ED7">
        <w:rPr>
          <w:i/>
          <w:sz w:val="23"/>
          <w:szCs w:val="23"/>
        </w:rPr>
        <w:t>The Ashkenazi Haggadah: A Hebrew Manuscript of the Mid-15th Century from the Collections of the British Library</w:t>
      </w:r>
      <w:r>
        <w:rPr>
          <w:i/>
          <w:sz w:val="23"/>
          <w:szCs w:val="23"/>
        </w:rPr>
        <w:t xml:space="preserve">... </w:t>
      </w:r>
      <w:r w:rsidRPr="00EE6ED7">
        <w:rPr>
          <w:i/>
          <w:sz w:val="23"/>
          <w:szCs w:val="23"/>
        </w:rPr>
        <w:t xml:space="preserve">with a Commentary Attributed to Eleazar ben </w:t>
      </w:r>
      <w:smartTag w:uri="urn:schemas-microsoft-com:office:smarttags" w:element="country-region">
        <w:r w:rsidRPr="00EE6ED7">
          <w:rPr>
            <w:i/>
            <w:sz w:val="23"/>
            <w:szCs w:val="23"/>
          </w:rPr>
          <w:t>Judah</w:t>
        </w:r>
      </w:smartTag>
      <w:r w:rsidRPr="00EE6ED7">
        <w:rPr>
          <w:i/>
          <w:sz w:val="23"/>
          <w:szCs w:val="23"/>
        </w:rPr>
        <w:t xml:space="preserve"> of </w:t>
      </w:r>
      <w:smartTag w:uri="urn:schemas-microsoft-com:office:smarttags" w:element="City">
        <w:r w:rsidRPr="00EE6ED7">
          <w:rPr>
            <w:i/>
            <w:sz w:val="23"/>
            <w:szCs w:val="23"/>
          </w:rPr>
          <w:t>Worms</w:t>
        </w:r>
      </w:smartTag>
      <w:r w:rsidRPr="00EE6ED7">
        <w:rPr>
          <w:sz w:val="23"/>
          <w:szCs w:val="23"/>
        </w:rPr>
        <w:t xml:space="preserve"> (</w:t>
      </w:r>
      <w:smartTag w:uri="urn:schemas-microsoft-com:office:smarttags" w:element="place">
        <w:smartTag w:uri="urn:schemas-microsoft-com:office:smarttags" w:element="City">
          <w:r w:rsidRPr="00EE6ED7">
            <w:rPr>
              <w:sz w:val="23"/>
              <w:szCs w:val="23"/>
            </w:rPr>
            <w:t>London</w:t>
          </w:r>
        </w:smartTag>
      </w:smartTag>
      <w:r w:rsidRPr="00EE6ED7">
        <w:rPr>
          <w:sz w:val="23"/>
          <w:szCs w:val="23"/>
        </w:rPr>
        <w:t>, 1985).</w:t>
      </w:r>
    </w:p>
  </w:footnote>
  <w:footnote w:id="10">
    <w:p w:rsidR="00A465C3" w:rsidRPr="00EE6ED7" w:rsidRDefault="00A465C3" w:rsidP="00721F8B">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של פסח עם פירש</w:t>
      </w:r>
      <w:r>
        <w:rPr>
          <w:sz w:val="23"/>
          <w:szCs w:val="23"/>
          <w:rtl/>
        </w:rPr>
        <w:t xml:space="preserve">... </w:t>
      </w:r>
      <w:r w:rsidRPr="00EE6ED7">
        <w:rPr>
          <w:sz w:val="23"/>
          <w:szCs w:val="23"/>
          <w:rtl/>
        </w:rPr>
        <w:t>יוסף בן גיקטליא</w:t>
      </w:r>
      <w:r w:rsidRPr="00EE6ED7">
        <w:rPr>
          <w:sz w:val="23"/>
          <w:szCs w:val="23"/>
        </w:rPr>
        <w:t xml:space="preserve"> (1797) </w:t>
      </w:r>
      <w:r>
        <w:rPr>
          <w:sz w:val="23"/>
          <w:szCs w:val="23"/>
        </w:rPr>
        <w:t xml:space="preserve">p. </w:t>
      </w:r>
      <w:r>
        <w:rPr>
          <w:rFonts w:hint="cs"/>
          <w:sz w:val="23"/>
          <w:szCs w:val="23"/>
          <w:rtl/>
        </w:rPr>
        <w:t>ד ע"א</w:t>
      </w:r>
      <w:r w:rsidRPr="00EE6ED7">
        <w:rPr>
          <w:sz w:val="23"/>
          <w:szCs w:val="23"/>
        </w:rPr>
        <w:t xml:space="preserve"> (YU</w:t>
      </w:r>
      <w:r>
        <w:rPr>
          <w:sz w:val="23"/>
          <w:szCs w:val="23"/>
        </w:rPr>
        <w:t xml:space="preserve"> collection</w:t>
      </w:r>
      <w:r w:rsidRPr="00EE6ED7">
        <w:rPr>
          <w:sz w:val="23"/>
          <w:szCs w:val="23"/>
        </w:rPr>
        <w:t>); cf</w:t>
      </w:r>
      <w:r>
        <w:rPr>
          <w:sz w:val="23"/>
          <w:szCs w:val="23"/>
        </w:rPr>
        <w:t xml:space="preserve">. </w:t>
      </w:r>
      <w:r w:rsidRPr="00EE6ED7">
        <w:rPr>
          <w:sz w:val="23"/>
          <w:szCs w:val="23"/>
          <w:rtl/>
        </w:rPr>
        <w:t>סדר הגדה של פסח עם פירש</w:t>
      </w:r>
      <w:r>
        <w:rPr>
          <w:sz w:val="23"/>
          <w:szCs w:val="23"/>
          <w:rtl/>
        </w:rPr>
        <w:t xml:space="preserve">... </w:t>
      </w:r>
      <w:r w:rsidRPr="00EE6ED7">
        <w:rPr>
          <w:sz w:val="23"/>
          <w:szCs w:val="23"/>
          <w:rtl/>
        </w:rPr>
        <w:t>יוסף בן גיקטליא</w:t>
      </w:r>
      <w:r w:rsidRPr="00EE6ED7">
        <w:rPr>
          <w:sz w:val="23"/>
          <w:szCs w:val="23"/>
        </w:rPr>
        <w:t xml:space="preserve"> (Grodno, 1805), </w:t>
      </w:r>
      <w:r>
        <w:rPr>
          <w:sz w:val="23"/>
          <w:szCs w:val="23"/>
        </w:rPr>
        <w:t xml:space="preserve">p. </w:t>
      </w:r>
      <w:r>
        <w:rPr>
          <w:rFonts w:hint="cs"/>
          <w:sz w:val="23"/>
          <w:szCs w:val="23"/>
          <w:rtl/>
        </w:rPr>
        <w:t>ט ע"א</w:t>
      </w:r>
      <w:r>
        <w:rPr>
          <w:sz w:val="23"/>
          <w:szCs w:val="23"/>
        </w:rPr>
        <w:t xml:space="preserve"> </w:t>
      </w:r>
      <w:r w:rsidRPr="00EE6ED7">
        <w:rPr>
          <w:sz w:val="23"/>
          <w:szCs w:val="23"/>
        </w:rPr>
        <w:t>(</w:t>
      </w:r>
      <w:r w:rsidRPr="00721F8B">
        <w:rPr>
          <w:sz w:val="23"/>
          <w:szCs w:val="23"/>
        </w:rPr>
        <w:t>JNUL website</w:t>
      </w:r>
      <w:r w:rsidRPr="00EE6ED7">
        <w:rPr>
          <w:sz w:val="23"/>
          <w:szCs w:val="23"/>
        </w:rPr>
        <w:t>).</w:t>
      </w:r>
    </w:p>
  </w:footnote>
  <w:footnote w:id="11">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אוצר הראשונים על הגדה של פסח</w:t>
      </w:r>
      <w:r w:rsidRPr="00EE6ED7">
        <w:rPr>
          <w:sz w:val="23"/>
          <w:szCs w:val="23"/>
        </w:rPr>
        <w:t>, ed. D. Holzer (</w:t>
      </w:r>
      <w:smartTag w:uri="urn:schemas-microsoft-com:office:smarttags" w:element="City">
        <w:smartTag w:uri="urn:schemas-microsoft-com:office:smarttags" w:element="place">
          <w:r w:rsidRPr="00EE6ED7">
            <w:rPr>
              <w:sz w:val="23"/>
              <w:szCs w:val="23"/>
            </w:rPr>
            <w:t>Miami Beach</w:t>
          </w:r>
        </w:smartTag>
      </w:smartTag>
      <w:r w:rsidRPr="00EE6ED7">
        <w:rPr>
          <w:sz w:val="23"/>
          <w:szCs w:val="23"/>
        </w:rPr>
        <w:t xml:space="preserve">, Fl.: D. Holzer, 2006), 13. </w:t>
      </w:r>
    </w:p>
  </w:footnote>
  <w:footnote w:id="12">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אוצר פירושים וציורים אל הגדה של פסח</w:t>
      </w:r>
      <w:r w:rsidRPr="00EE6ED7">
        <w:rPr>
          <w:sz w:val="23"/>
          <w:szCs w:val="23"/>
        </w:rPr>
        <w:t>, ed. J. D. Eisenstein (</w:t>
      </w:r>
      <w:r>
        <w:rPr>
          <w:sz w:val="23"/>
          <w:szCs w:val="23"/>
        </w:rPr>
        <w:t xml:space="preserve">New York, </w:t>
      </w:r>
      <w:r w:rsidRPr="00EE6ED7">
        <w:rPr>
          <w:sz w:val="23"/>
          <w:szCs w:val="23"/>
        </w:rPr>
        <w:t>19</w:t>
      </w:r>
      <w:r>
        <w:rPr>
          <w:sz w:val="23"/>
          <w:szCs w:val="23"/>
        </w:rPr>
        <w:t>20</w:t>
      </w:r>
      <w:r w:rsidRPr="00EE6ED7">
        <w:rPr>
          <w:sz w:val="23"/>
          <w:szCs w:val="23"/>
        </w:rPr>
        <w:t>), 64</w:t>
      </w:r>
      <w:r>
        <w:rPr>
          <w:sz w:val="23"/>
          <w:szCs w:val="23"/>
        </w:rPr>
        <w:t>b</w:t>
      </w:r>
      <w:r w:rsidRPr="00EE6ED7">
        <w:rPr>
          <w:sz w:val="23"/>
          <w:szCs w:val="23"/>
        </w:rPr>
        <w:t>, 74b bot., 75a top, 75</w:t>
      </w:r>
      <w:r>
        <w:rPr>
          <w:sz w:val="23"/>
          <w:szCs w:val="23"/>
        </w:rPr>
        <w:t>a</w:t>
      </w:r>
      <w:r w:rsidRPr="00EE6ED7">
        <w:rPr>
          <w:sz w:val="23"/>
          <w:szCs w:val="23"/>
        </w:rPr>
        <w:t xml:space="preserve"> bot.</w:t>
      </w:r>
    </w:p>
  </w:footnote>
  <w:footnote w:id="13">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Ibid., 75a bot.</w:t>
      </w:r>
    </w:p>
  </w:footnote>
  <w:footnote w:id="14">
    <w:p w:rsidR="00A465C3" w:rsidRPr="00EE6ED7" w:rsidRDefault="00A465C3" w:rsidP="00C22A3C">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תוספות השלם</w:t>
      </w:r>
      <w:r>
        <w:rPr>
          <w:sz w:val="23"/>
          <w:szCs w:val="23"/>
          <w:rtl/>
        </w:rPr>
        <w:t xml:space="preserve">... </w:t>
      </w:r>
      <w:r w:rsidRPr="00EE6ED7">
        <w:rPr>
          <w:sz w:val="23"/>
          <w:szCs w:val="23"/>
          <w:rtl/>
        </w:rPr>
        <w:t>הגדה של פסח</w:t>
      </w:r>
      <w:r w:rsidRPr="00EE6ED7">
        <w:rPr>
          <w:sz w:val="23"/>
          <w:szCs w:val="23"/>
        </w:rPr>
        <w:t xml:space="preserve">, </w:t>
      </w:r>
      <w:r>
        <w:rPr>
          <w:sz w:val="23"/>
          <w:szCs w:val="23"/>
        </w:rPr>
        <w:t xml:space="preserve">pp. </w:t>
      </w:r>
      <w:r>
        <w:rPr>
          <w:rFonts w:hint="cs"/>
          <w:sz w:val="23"/>
          <w:szCs w:val="23"/>
          <w:rtl/>
        </w:rPr>
        <w:t>כח</w:t>
      </w:r>
      <w:r w:rsidRPr="00EE6ED7">
        <w:rPr>
          <w:sz w:val="23"/>
          <w:szCs w:val="23"/>
        </w:rPr>
        <w:t xml:space="preserve">, </w:t>
      </w:r>
      <w:r>
        <w:rPr>
          <w:rFonts w:hint="cs"/>
          <w:sz w:val="23"/>
          <w:szCs w:val="23"/>
          <w:rtl/>
        </w:rPr>
        <w:t>לב</w:t>
      </w:r>
      <w:r w:rsidRPr="00EE6ED7">
        <w:rPr>
          <w:sz w:val="23"/>
          <w:szCs w:val="23"/>
        </w:rPr>
        <w:t xml:space="preserve">. </w:t>
      </w:r>
    </w:p>
  </w:footnote>
  <w:footnote w:id="15">
    <w:p w:rsidR="00A465C3" w:rsidRPr="00EE6ED7" w:rsidRDefault="00A465C3" w:rsidP="00C22A3C">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אגדתא דפסחא כמנהג עולי תימן</w:t>
      </w:r>
      <w:r w:rsidRPr="00EE6ED7">
        <w:rPr>
          <w:sz w:val="23"/>
          <w:szCs w:val="23"/>
        </w:rPr>
        <w:t xml:space="preserve"> (Jerusalem: Agudah le-hatsalat ginze Teman, 1959), </w:t>
      </w:r>
      <w:r>
        <w:rPr>
          <w:sz w:val="23"/>
          <w:szCs w:val="23"/>
        </w:rPr>
        <w:t xml:space="preserve">p. </w:t>
      </w:r>
      <w:r>
        <w:rPr>
          <w:rFonts w:hint="cs"/>
          <w:sz w:val="23"/>
          <w:szCs w:val="23"/>
          <w:rtl/>
        </w:rPr>
        <w:t>קמב</w:t>
      </w:r>
      <w:r w:rsidRPr="00EE6ED7">
        <w:rPr>
          <w:sz w:val="23"/>
          <w:szCs w:val="23"/>
        </w:rPr>
        <w:t xml:space="preserve">; </w:t>
      </w:r>
      <w:r>
        <w:rPr>
          <w:sz w:val="23"/>
          <w:szCs w:val="23"/>
        </w:rPr>
        <w:t xml:space="preserve">cf. </w:t>
      </w:r>
      <w:r w:rsidRPr="00EE6ED7">
        <w:rPr>
          <w:i/>
          <w:sz w:val="23"/>
          <w:szCs w:val="23"/>
        </w:rPr>
        <w:t xml:space="preserve">The Haggadah According to the Rite of </w:t>
      </w:r>
      <w:smartTag w:uri="urn:schemas-microsoft-com:office:smarttags" w:element="place">
        <w:smartTag w:uri="urn:schemas-microsoft-com:office:smarttags" w:element="country-region">
          <w:r w:rsidRPr="00EE6ED7">
            <w:rPr>
              <w:i/>
              <w:sz w:val="23"/>
              <w:szCs w:val="23"/>
            </w:rPr>
            <w:t>Yemen</w:t>
          </w:r>
        </w:smartTag>
      </w:smartTag>
      <w:r w:rsidRPr="00EE6ED7">
        <w:rPr>
          <w:sz w:val="23"/>
          <w:szCs w:val="23"/>
        </w:rPr>
        <w:t>, ed. W. H. Greenberg (London: D. Nutt, 1896), 14.</w:t>
      </w:r>
    </w:p>
  </w:footnote>
  <w:footnote w:id="16">
    <w:p w:rsidR="00A465C3" w:rsidRPr="00EE6ED7" w:rsidRDefault="00A465C3" w:rsidP="00721F8B">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For the Judeo-Italian issue, I consulted two facsimiles: one by The Orphan Hospital Ward of Israel (New York, 1973) and one by Makor Publishing (</w:t>
      </w:r>
      <w:smartTag w:uri="urn:schemas-microsoft-com:office:smarttags" w:element="place">
        <w:smartTag w:uri="urn:schemas-microsoft-com:office:smarttags" w:element="City">
          <w:r w:rsidRPr="00EE6ED7">
            <w:rPr>
              <w:sz w:val="23"/>
              <w:szCs w:val="23"/>
            </w:rPr>
            <w:t>Jerusalem</w:t>
          </w:r>
        </w:smartTag>
      </w:smartTag>
      <w:r>
        <w:rPr>
          <w:sz w:val="23"/>
          <w:szCs w:val="23"/>
        </w:rPr>
        <w:t>,</w:t>
      </w:r>
      <w:r w:rsidRPr="00EE6ED7">
        <w:rPr>
          <w:sz w:val="23"/>
          <w:szCs w:val="23"/>
        </w:rPr>
        <w:t xml:space="preserve"> 1974). For the Judeo-Spanish issue, I used the digitized online version </w:t>
      </w:r>
      <w:r>
        <w:rPr>
          <w:sz w:val="23"/>
          <w:szCs w:val="23"/>
        </w:rPr>
        <w:t>(JNUL website)</w:t>
      </w:r>
      <w:r w:rsidRPr="00EE6ED7">
        <w:rPr>
          <w:sz w:val="23"/>
          <w:szCs w:val="23"/>
        </w:rPr>
        <w:t>. For photocopies of the Judeo-German issue, I am indebted to Rachel Steiner of JNUL.</w:t>
      </w:r>
    </w:p>
  </w:footnote>
  <w:footnote w:id="17">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Yosef H. Yerushalmi, </w:t>
      </w:r>
      <w:r w:rsidRPr="00EE6ED7">
        <w:rPr>
          <w:i/>
          <w:sz w:val="23"/>
          <w:szCs w:val="23"/>
        </w:rPr>
        <w:t>Haggadah and History</w:t>
      </w:r>
      <w:r w:rsidRPr="00EE6ED7">
        <w:rPr>
          <w:sz w:val="23"/>
          <w:szCs w:val="23"/>
        </w:rPr>
        <w:t xml:space="preserve"> (Philadelphia: Jewish Publication Society of America, 1974), 61–62.</w:t>
      </w:r>
    </w:p>
  </w:footnote>
  <w:footnote w:id="18">
    <w:p w:rsidR="00A465C3" w:rsidRPr="00EE6ED7" w:rsidRDefault="00A465C3" w:rsidP="004D7450">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In other respects, the translations of the first clause are very similar. All three have something like “more changed/differentiated than all (other) nights” rather than “different from all (other) nights.” The use of the passive participle is a slavish imitation of the </w:t>
      </w:r>
      <w:r w:rsidRPr="00EE6ED7">
        <w:rPr>
          <w:i/>
          <w:sz w:val="23"/>
          <w:szCs w:val="23"/>
        </w:rPr>
        <w:t>nitpa‘al</w:t>
      </w:r>
      <w:r w:rsidRPr="00EE6ED7">
        <w:rPr>
          <w:sz w:val="23"/>
          <w:szCs w:val="23"/>
        </w:rPr>
        <w:t xml:space="preserve"> form; even Wilhelm Bacher (</w:t>
      </w:r>
      <w:r w:rsidRPr="00EE6ED7">
        <w:rPr>
          <w:i/>
          <w:sz w:val="23"/>
          <w:szCs w:val="23"/>
        </w:rPr>
        <w:t>Die exegetische Terminologie der jüdischen Traditionsliteratur</w:t>
      </w:r>
      <w:r w:rsidRPr="00EE6ED7">
        <w:rPr>
          <w:sz w:val="23"/>
          <w:szCs w:val="23"/>
        </w:rPr>
        <w:t xml:space="preserve"> [Leipzig: Hinrichs, 1899–1905], 1. 195) describes </w:t>
      </w:r>
      <w:r w:rsidRPr="00EE6ED7">
        <w:rPr>
          <w:sz w:val="23"/>
          <w:szCs w:val="23"/>
          <w:rtl/>
        </w:rPr>
        <w:t>נשתנה</w:t>
      </w:r>
      <w:r w:rsidRPr="00EE6ED7">
        <w:rPr>
          <w:sz w:val="23"/>
          <w:szCs w:val="23"/>
        </w:rPr>
        <w:t xml:space="preserve"> as “das Passivum zu </w:t>
      </w:r>
      <w:r w:rsidRPr="00EE6ED7">
        <w:rPr>
          <w:rFonts w:hint="cs"/>
          <w:sz w:val="23"/>
          <w:szCs w:val="23"/>
          <w:rtl/>
        </w:rPr>
        <w:t>ֹ</w:t>
      </w:r>
      <w:r w:rsidRPr="003856D2">
        <w:rPr>
          <w:rFonts w:hint="cs"/>
          <w:spacing w:val="-60"/>
          <w:sz w:val="23"/>
          <w:szCs w:val="23"/>
          <w:rtl/>
        </w:rPr>
        <w:t>שִ</w:t>
      </w:r>
      <w:r w:rsidRPr="00EE6ED7">
        <w:rPr>
          <w:rFonts w:hint="cs"/>
          <w:sz w:val="23"/>
          <w:szCs w:val="23"/>
          <w:rtl/>
        </w:rPr>
        <w:t>נָּה</w:t>
      </w:r>
      <w:r w:rsidRPr="00EE6ED7">
        <w:rPr>
          <w:sz w:val="23"/>
          <w:szCs w:val="23"/>
        </w:rPr>
        <w:t xml:space="preserve">.” However, </w:t>
      </w:r>
      <w:r w:rsidRPr="00EE6ED7">
        <w:rPr>
          <w:sz w:val="23"/>
          <w:szCs w:val="23"/>
          <w:rtl/>
        </w:rPr>
        <w:t>נשתנה</w:t>
      </w:r>
      <w:r w:rsidRPr="00EE6ED7">
        <w:rPr>
          <w:sz w:val="23"/>
          <w:szCs w:val="23"/>
        </w:rPr>
        <w:t xml:space="preserve"> is not a genuine passive;</w:t>
      </w:r>
      <w:r>
        <w:rPr>
          <w:sz w:val="23"/>
          <w:szCs w:val="23"/>
        </w:rPr>
        <w:t xml:space="preserve"> the phrase</w:t>
      </w:r>
      <w:r w:rsidRPr="00EE6ED7">
        <w:rPr>
          <w:sz w:val="23"/>
          <w:szCs w:val="23"/>
        </w:rPr>
        <w:t xml:space="preserve"> </w:t>
      </w:r>
      <w:r w:rsidRPr="00EE6ED7">
        <w:rPr>
          <w:sz w:val="23"/>
          <w:szCs w:val="23"/>
          <w:rtl/>
        </w:rPr>
        <w:t>מה נשתנה/נשתנת</w:t>
      </w:r>
      <w:r w:rsidRPr="00EE6ED7">
        <w:rPr>
          <w:sz w:val="23"/>
          <w:szCs w:val="23"/>
        </w:rPr>
        <w:t xml:space="preserve"> is identical in meaning to the older </w:t>
      </w:r>
      <w:r w:rsidRPr="00EE6ED7">
        <w:rPr>
          <w:sz w:val="23"/>
          <w:szCs w:val="23"/>
          <w:rtl/>
        </w:rPr>
        <w:t>מה</w:t>
      </w:r>
      <w:r>
        <w:rPr>
          <w:rFonts w:hint="cs"/>
          <w:sz w:val="23"/>
          <w:szCs w:val="23"/>
          <w:rtl/>
        </w:rPr>
        <w:t xml:space="preserve"> </w:t>
      </w:r>
      <w:r w:rsidRPr="00EE6ED7">
        <w:rPr>
          <w:sz w:val="23"/>
          <w:szCs w:val="23"/>
          <w:rtl/>
        </w:rPr>
        <w:t xml:space="preserve"> </w:t>
      </w:r>
      <w:r w:rsidRPr="003856D2">
        <w:rPr>
          <w:rFonts w:hint="cs"/>
          <w:spacing w:val="-60"/>
          <w:sz w:val="23"/>
          <w:szCs w:val="23"/>
          <w:rtl/>
        </w:rPr>
        <w:t>ֹשָ</w:t>
      </w:r>
      <w:r w:rsidRPr="00EE6ED7">
        <w:rPr>
          <w:sz w:val="23"/>
          <w:szCs w:val="23"/>
          <w:rtl/>
        </w:rPr>
        <w:t>נ</w:t>
      </w:r>
      <w:r w:rsidRPr="00EE6ED7">
        <w:rPr>
          <w:rFonts w:hint="cs"/>
          <w:sz w:val="23"/>
          <w:szCs w:val="23"/>
          <w:rtl/>
        </w:rPr>
        <w:t>ָה</w:t>
      </w:r>
      <w:r>
        <w:rPr>
          <w:rFonts w:hint="cs"/>
          <w:sz w:val="23"/>
          <w:szCs w:val="23"/>
          <w:rtl/>
        </w:rPr>
        <w:t xml:space="preserve">/ </w:t>
      </w:r>
      <w:r w:rsidRPr="003856D2">
        <w:rPr>
          <w:rFonts w:hint="cs"/>
          <w:spacing w:val="-60"/>
          <w:sz w:val="23"/>
          <w:szCs w:val="23"/>
          <w:rtl/>
        </w:rPr>
        <w:t>ֹשָ</w:t>
      </w:r>
      <w:r w:rsidRPr="00EE6ED7">
        <w:rPr>
          <w:sz w:val="23"/>
          <w:szCs w:val="23"/>
          <w:rtl/>
        </w:rPr>
        <w:t>נַת</w:t>
      </w:r>
      <w:r w:rsidRPr="00EE6ED7">
        <w:rPr>
          <w:sz w:val="23"/>
          <w:szCs w:val="23"/>
        </w:rPr>
        <w:t>, in which the verb is stative</w:t>
      </w:r>
      <w:r>
        <w:rPr>
          <w:sz w:val="23"/>
          <w:szCs w:val="23"/>
        </w:rPr>
        <w:t xml:space="preserve">. See </w:t>
      </w:r>
      <w:r w:rsidRPr="00EE6ED7">
        <w:rPr>
          <w:sz w:val="23"/>
          <w:szCs w:val="23"/>
        </w:rPr>
        <w:t xml:space="preserve">J. N. Epstein, </w:t>
      </w:r>
      <w:r w:rsidRPr="00EE6ED7">
        <w:rPr>
          <w:sz w:val="23"/>
          <w:szCs w:val="23"/>
          <w:rtl/>
        </w:rPr>
        <w:t>מבוא לנוסח המשנה</w:t>
      </w:r>
      <w:r w:rsidRPr="00EE6ED7">
        <w:rPr>
          <w:sz w:val="23"/>
          <w:szCs w:val="23"/>
        </w:rPr>
        <w:t xml:space="preserve"> (3rd ed.; </w:t>
      </w:r>
      <w:smartTag w:uri="urn:schemas-microsoft-com:office:smarttags" w:element="City">
        <w:r w:rsidRPr="00EE6ED7">
          <w:rPr>
            <w:sz w:val="23"/>
            <w:szCs w:val="23"/>
          </w:rPr>
          <w:t>Jerusalem</w:t>
        </w:r>
      </w:smartTag>
      <w:r w:rsidRPr="00EE6ED7">
        <w:rPr>
          <w:sz w:val="23"/>
          <w:szCs w:val="23"/>
        </w:rPr>
        <w:t>: Magnes</w:t>
      </w:r>
      <w:r>
        <w:rPr>
          <w:sz w:val="23"/>
          <w:szCs w:val="23"/>
        </w:rPr>
        <w:t>,</w:t>
      </w:r>
      <w:r w:rsidRPr="00EE6ED7">
        <w:rPr>
          <w:sz w:val="23"/>
          <w:szCs w:val="23"/>
        </w:rPr>
        <w:t xml:space="preserve"> 2000), 1262–63; H</w:t>
      </w:r>
      <w:r>
        <w:rPr>
          <w:sz w:val="23"/>
          <w:szCs w:val="23"/>
        </w:rPr>
        <w:t>enoch</w:t>
      </w:r>
      <w:r w:rsidRPr="00EE6ED7">
        <w:rPr>
          <w:sz w:val="23"/>
          <w:szCs w:val="23"/>
        </w:rPr>
        <w:t xml:space="preserve"> Yalon,</w:t>
      </w:r>
      <w:r>
        <w:rPr>
          <w:sz w:val="23"/>
          <w:szCs w:val="23"/>
        </w:rPr>
        <w:t xml:space="preserve"> </w:t>
      </w:r>
      <w:r w:rsidRPr="00EE6ED7">
        <w:rPr>
          <w:sz w:val="23"/>
          <w:szCs w:val="23"/>
          <w:rtl/>
        </w:rPr>
        <w:t>מבוא לניקוד המשנה</w:t>
      </w:r>
      <w:r w:rsidRPr="00EE6ED7">
        <w:rPr>
          <w:sz w:val="23"/>
          <w:szCs w:val="23"/>
        </w:rPr>
        <w:t xml:space="preserve"> (Jerusalem: Bialik, 1964), 107–109; Yochanan Breuer,</w:t>
      </w:r>
      <w:r w:rsidRPr="00EE6ED7">
        <w:rPr>
          <w:sz w:val="23"/>
          <w:szCs w:val="23"/>
          <w:rtl/>
        </w:rPr>
        <w:t>העברית בתלמוד הבבלי לפי כתבי היד של מסכת פסחים</w:t>
      </w:r>
      <w:r w:rsidRPr="00EE6ED7">
        <w:rPr>
          <w:sz w:val="23"/>
          <w:szCs w:val="23"/>
        </w:rPr>
        <w:t xml:space="preserve">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Magnes, 2002), 29; and n. </w:t>
      </w:r>
      <w:r>
        <w:rPr>
          <w:sz w:val="23"/>
          <w:szCs w:val="23"/>
        </w:rPr>
        <w:fldChar w:fldCharType="begin"/>
      </w:r>
      <w:r>
        <w:rPr>
          <w:sz w:val="23"/>
          <w:szCs w:val="23"/>
        </w:rPr>
        <w:instrText xml:space="preserve"> NOTEREF _Ref200357575 \h </w:instrText>
      </w:r>
      <w:r w:rsidRPr="00A33221">
        <w:rPr>
          <w:sz w:val="23"/>
          <w:szCs w:val="23"/>
        </w:rPr>
      </w:r>
      <w:r>
        <w:rPr>
          <w:sz w:val="23"/>
          <w:szCs w:val="23"/>
        </w:rPr>
        <w:fldChar w:fldCharType="separate"/>
      </w:r>
      <w:r w:rsidR="00300213">
        <w:rPr>
          <w:sz w:val="23"/>
          <w:szCs w:val="23"/>
        </w:rPr>
        <w:t>29</w:t>
      </w:r>
      <w:r>
        <w:rPr>
          <w:sz w:val="23"/>
          <w:szCs w:val="23"/>
        </w:rPr>
        <w:fldChar w:fldCharType="end"/>
      </w:r>
      <w:r w:rsidRPr="00EE6ED7">
        <w:rPr>
          <w:sz w:val="23"/>
          <w:szCs w:val="23"/>
        </w:rPr>
        <w:t xml:space="preserve"> below.</w:t>
      </w:r>
      <w:r>
        <w:rPr>
          <w:sz w:val="23"/>
          <w:szCs w:val="23"/>
        </w:rPr>
        <w:t xml:space="preserve"> For “more than,” see n. </w:t>
      </w:r>
      <w:r>
        <w:rPr>
          <w:sz w:val="23"/>
          <w:szCs w:val="23"/>
        </w:rPr>
        <w:fldChar w:fldCharType="begin"/>
      </w:r>
      <w:r>
        <w:rPr>
          <w:sz w:val="23"/>
          <w:szCs w:val="23"/>
        </w:rPr>
        <w:instrText xml:space="preserve"> NOTEREF _Ref223699989 \h </w:instrText>
      </w:r>
      <w:r w:rsidRPr="004D7450">
        <w:rPr>
          <w:sz w:val="23"/>
          <w:szCs w:val="23"/>
        </w:rPr>
      </w:r>
      <w:r>
        <w:rPr>
          <w:sz w:val="23"/>
          <w:szCs w:val="23"/>
        </w:rPr>
        <w:fldChar w:fldCharType="separate"/>
      </w:r>
      <w:r w:rsidR="00300213">
        <w:rPr>
          <w:sz w:val="23"/>
          <w:szCs w:val="23"/>
        </w:rPr>
        <w:t>73</w:t>
      </w:r>
      <w:r>
        <w:rPr>
          <w:sz w:val="23"/>
          <w:szCs w:val="23"/>
        </w:rPr>
        <w:fldChar w:fldCharType="end"/>
      </w:r>
      <w:r>
        <w:rPr>
          <w:sz w:val="23"/>
          <w:szCs w:val="23"/>
        </w:rPr>
        <w:t xml:space="preserve"> below.</w:t>
      </w:r>
    </w:p>
  </w:footnote>
  <w:footnote w:id="19">
    <w:p w:rsidR="00A465C3" w:rsidRPr="00EE6ED7" w:rsidRDefault="00A465C3" w:rsidP="002F6ED4">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also the use of the </w:t>
      </w:r>
      <w:r w:rsidRPr="00EE6ED7">
        <w:rPr>
          <w:sz w:val="23"/>
          <w:szCs w:val="23"/>
          <w:rtl/>
        </w:rPr>
        <w:t>מה נשתנה</w:t>
      </w:r>
      <w:r w:rsidRPr="00EE6ED7">
        <w:rPr>
          <w:sz w:val="23"/>
          <w:szCs w:val="23"/>
        </w:rPr>
        <w:t xml:space="preserve"> formula by Rashi, R. Eliezer b. Nathan of Mainz, etc.</w:t>
      </w:r>
      <w:r>
        <w:rPr>
          <w:sz w:val="23"/>
          <w:szCs w:val="23"/>
        </w:rPr>
        <w:t>,</w:t>
      </w:r>
      <w:r w:rsidRPr="00EE6ED7">
        <w:rPr>
          <w:sz w:val="23"/>
          <w:szCs w:val="23"/>
        </w:rPr>
        <w:t xml:space="preserve"> quoted in section VIII below. R. Jacob Emden’s view (</w:t>
      </w:r>
      <w:r w:rsidRPr="00EE6ED7">
        <w:rPr>
          <w:sz w:val="23"/>
          <w:szCs w:val="23"/>
          <w:rtl/>
        </w:rPr>
        <w:t>שערי שמים</w:t>
      </w:r>
      <w:r w:rsidRPr="00EE6ED7">
        <w:rPr>
          <w:sz w:val="23"/>
          <w:szCs w:val="23"/>
        </w:rPr>
        <w:t xml:space="preserve"> [Altona, 1747], </w:t>
      </w:r>
      <w:r>
        <w:rPr>
          <w:sz w:val="23"/>
          <w:szCs w:val="23"/>
        </w:rPr>
        <w:t xml:space="preserve">p. </w:t>
      </w:r>
      <w:r>
        <w:rPr>
          <w:rFonts w:hint="cs"/>
          <w:sz w:val="23"/>
          <w:szCs w:val="23"/>
          <w:rtl/>
        </w:rPr>
        <w:t>כו ע"א</w:t>
      </w:r>
      <w:r w:rsidRPr="00EE6ED7">
        <w:rPr>
          <w:sz w:val="23"/>
          <w:szCs w:val="23"/>
        </w:rPr>
        <w:t>) appears to be si</w:t>
      </w:r>
      <w:r>
        <w:rPr>
          <w:sz w:val="23"/>
          <w:szCs w:val="23"/>
        </w:rPr>
        <w:t>milar:</w:t>
      </w:r>
      <w:r w:rsidRPr="00EE6ED7">
        <w:rPr>
          <w:sz w:val="23"/>
          <w:szCs w:val="23"/>
          <w:rtl/>
        </w:rPr>
        <w:t>מה נשתנה. שאלה:</w:t>
      </w:r>
      <w:r>
        <w:rPr>
          <w:sz w:val="23"/>
          <w:szCs w:val="23"/>
          <w:rtl/>
        </w:rPr>
        <w:t xml:space="preserve">... </w:t>
      </w:r>
      <w:r w:rsidRPr="00EE6ED7">
        <w:rPr>
          <w:sz w:val="23"/>
          <w:szCs w:val="23"/>
          <w:rtl/>
        </w:rPr>
        <w:t>עבדים. תשובת השאלה:</w:t>
      </w:r>
      <w:r w:rsidRPr="00EE6ED7">
        <w:rPr>
          <w:sz w:val="23"/>
          <w:szCs w:val="23"/>
        </w:rPr>
        <w:t xml:space="preserve">. (I am indebted to S. Z. Leiman for this reference.) However, the significance of this is not clear. Did he view </w:t>
      </w:r>
      <w:r w:rsidRPr="00EE6ED7">
        <w:rPr>
          <w:sz w:val="23"/>
          <w:szCs w:val="23"/>
          <w:rtl/>
        </w:rPr>
        <w:t>מה נשתנה</w:t>
      </w:r>
      <w:r w:rsidRPr="00EE6ED7">
        <w:rPr>
          <w:sz w:val="23"/>
          <w:szCs w:val="23"/>
        </w:rPr>
        <w:t xml:space="preserve"> as a single question or was he simply imitating the language of the medievals?</w:t>
      </w:r>
    </w:p>
  </w:footnote>
  <w:footnote w:id="20">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לליל שמורים עם באור משא גיא חזיון</w:t>
      </w:r>
      <w:r w:rsidRPr="00EE6ED7">
        <w:rPr>
          <w:sz w:val="23"/>
          <w:szCs w:val="23"/>
        </w:rPr>
        <w:t xml:space="preserve"> (Jerusalem: S. Zuckerman, 1913), </w:t>
      </w:r>
      <w:r>
        <w:rPr>
          <w:sz w:val="23"/>
          <w:szCs w:val="23"/>
        </w:rPr>
        <w:t>p.</w:t>
      </w:r>
      <w:r>
        <w:rPr>
          <w:rFonts w:hint="cs"/>
          <w:sz w:val="23"/>
          <w:szCs w:val="23"/>
          <w:rtl/>
        </w:rPr>
        <w:t>ה ע"ב</w:t>
      </w:r>
      <w:r>
        <w:rPr>
          <w:sz w:val="23"/>
          <w:szCs w:val="23"/>
        </w:rPr>
        <w:t>.</w:t>
      </w:r>
    </w:p>
  </w:footnote>
  <w:footnote w:id="2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Mischnaioth: Die sechs Ordnungen der Mischna, Theil II: Ordnung Moëd</w:t>
      </w:r>
      <w:r w:rsidRPr="00EE6ED7">
        <w:rPr>
          <w:sz w:val="23"/>
          <w:szCs w:val="23"/>
        </w:rPr>
        <w:t xml:space="preserve">, transl. E. Baneth (Berlin: H. Itzkowski, 1927), 242. </w:t>
      </w:r>
    </w:p>
  </w:footnote>
  <w:footnote w:id="2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E. D. Goldschmidt, </w:t>
      </w:r>
      <w:r w:rsidRPr="00EE6ED7">
        <w:rPr>
          <w:i/>
          <w:sz w:val="23"/>
          <w:szCs w:val="23"/>
        </w:rPr>
        <w:t>Die Pessach-Haggada</w:t>
      </w:r>
      <w:r w:rsidRPr="00EE6ED7">
        <w:rPr>
          <w:sz w:val="23"/>
          <w:szCs w:val="23"/>
        </w:rPr>
        <w:t xml:space="preserve"> (Berlin: Schocken, 1936), 33.</w:t>
      </w:r>
    </w:p>
  </w:footnote>
  <w:footnote w:id="23">
    <w:p w:rsidR="00A465C3" w:rsidRPr="00EE6ED7" w:rsidRDefault="00A465C3" w:rsidP="00DF6EF5">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 xml:space="preserve">J. E. Bombach, </w:t>
      </w:r>
      <w:r w:rsidRPr="00E155B3">
        <w:rPr>
          <w:sz w:val="23"/>
          <w:szCs w:val="23"/>
          <w:rtl/>
        </w:rPr>
        <w:t>פני אפרים</w:t>
      </w:r>
      <w:r w:rsidRPr="00E155B3">
        <w:rPr>
          <w:sz w:val="23"/>
          <w:szCs w:val="23"/>
        </w:rPr>
        <w:t xml:space="preserve"> (Tel Aviv: Eshel, 1960), 1.</w:t>
      </w:r>
      <w:r>
        <w:rPr>
          <w:sz w:val="23"/>
          <w:szCs w:val="23"/>
        </w:rPr>
        <w:t xml:space="preserve"> </w:t>
      </w:r>
      <w:r w:rsidRPr="00E155B3">
        <w:rPr>
          <w:sz w:val="23"/>
          <w:szCs w:val="23"/>
        </w:rPr>
        <w:t>106.</w:t>
      </w:r>
      <w:r>
        <w:rPr>
          <w:sz w:val="23"/>
          <w:szCs w:val="23"/>
        </w:rPr>
        <w:t xml:space="preserve"> </w:t>
      </w:r>
    </w:p>
  </w:footnote>
  <w:footnote w:id="24">
    <w:p w:rsidR="00A465C3" w:rsidRPr="00EE6ED7" w:rsidRDefault="00A465C3" w:rsidP="00BC525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n.</w:t>
      </w:r>
      <w:r>
        <w:rPr>
          <w:sz w:val="23"/>
          <w:szCs w:val="23"/>
        </w:rPr>
        <w:t xml:space="preserve"> </w:t>
      </w:r>
      <w:r>
        <w:rPr>
          <w:sz w:val="23"/>
          <w:szCs w:val="23"/>
        </w:rPr>
        <w:fldChar w:fldCharType="begin"/>
      </w:r>
      <w:r>
        <w:rPr>
          <w:sz w:val="23"/>
          <w:szCs w:val="23"/>
        </w:rPr>
        <w:instrText xml:space="preserve"> NOTEREF _Ref200357756 \h </w:instrText>
      </w:r>
      <w:r w:rsidRPr="00A33221">
        <w:rPr>
          <w:sz w:val="23"/>
          <w:szCs w:val="23"/>
        </w:rPr>
      </w:r>
      <w:r>
        <w:rPr>
          <w:sz w:val="23"/>
          <w:szCs w:val="23"/>
        </w:rPr>
        <w:fldChar w:fldCharType="separate"/>
      </w:r>
      <w:r w:rsidR="00300213">
        <w:rPr>
          <w:sz w:val="23"/>
          <w:szCs w:val="23"/>
        </w:rPr>
        <w:t>64</w:t>
      </w:r>
      <w:r>
        <w:rPr>
          <w:sz w:val="23"/>
          <w:szCs w:val="23"/>
        </w:rPr>
        <w:fldChar w:fldCharType="end"/>
      </w:r>
      <w:r w:rsidRPr="00EE6ED7">
        <w:rPr>
          <w:sz w:val="23"/>
          <w:szCs w:val="23"/>
        </w:rPr>
        <w:t xml:space="preserve"> below.</w:t>
      </w:r>
      <w:r w:rsidRPr="000C73DE">
        <w:rPr>
          <w:sz w:val="23"/>
          <w:szCs w:val="23"/>
        </w:rPr>
        <w:t xml:space="preserve"> </w:t>
      </w:r>
      <w:r w:rsidRPr="00EE6ED7">
        <w:rPr>
          <w:sz w:val="23"/>
          <w:szCs w:val="23"/>
        </w:rPr>
        <w:t xml:space="preserve">Despite his translation, it appears that Baneth had not completely freed himself from the notion of four questions, for he continues to refer to the “Fragen” (plural) of </w:t>
      </w:r>
      <w:r w:rsidRPr="00EE6ED7">
        <w:rPr>
          <w:sz w:val="23"/>
          <w:szCs w:val="23"/>
          <w:rtl/>
        </w:rPr>
        <w:t>מה נשתנה</w:t>
      </w:r>
      <w:r w:rsidRPr="00EE6ED7">
        <w:rPr>
          <w:sz w:val="23"/>
          <w:szCs w:val="23"/>
        </w:rPr>
        <w:t xml:space="preserve"> (</w:t>
      </w:r>
      <w:r w:rsidRPr="00EE6ED7">
        <w:rPr>
          <w:i/>
          <w:sz w:val="23"/>
          <w:szCs w:val="23"/>
        </w:rPr>
        <w:t>Ordnung Moëd</w:t>
      </w:r>
      <w:r w:rsidRPr="00EE6ED7">
        <w:rPr>
          <w:sz w:val="23"/>
          <w:szCs w:val="23"/>
        </w:rPr>
        <w:t xml:space="preserve">, 242 passim). The translation in his </w:t>
      </w:r>
      <w:r w:rsidRPr="00EE6ED7">
        <w:rPr>
          <w:i/>
          <w:sz w:val="23"/>
          <w:szCs w:val="23"/>
        </w:rPr>
        <w:t>Der Sederabend</w:t>
      </w:r>
      <w:r>
        <w:rPr>
          <w:sz w:val="23"/>
          <w:szCs w:val="23"/>
        </w:rPr>
        <w:t xml:space="preserve"> (</w:t>
      </w:r>
      <w:smartTag w:uri="urn:schemas-microsoft-com:office:smarttags" w:element="State">
        <w:smartTag w:uri="urn:schemas-microsoft-com:office:smarttags" w:element="place">
          <w:r w:rsidRPr="00EE6ED7">
            <w:rPr>
              <w:sz w:val="23"/>
              <w:szCs w:val="23"/>
            </w:rPr>
            <w:t>Berlin</w:t>
          </w:r>
        </w:smartTag>
      </w:smartTag>
      <w:r w:rsidRPr="00EE6ED7">
        <w:rPr>
          <w:sz w:val="23"/>
          <w:szCs w:val="23"/>
        </w:rPr>
        <w:t>: M. Poppelauer, 1904</w:t>
      </w:r>
      <w:r>
        <w:rPr>
          <w:sz w:val="23"/>
          <w:szCs w:val="23"/>
        </w:rPr>
        <w:t>)</w:t>
      </w:r>
      <w:r w:rsidRPr="00EE6ED7">
        <w:rPr>
          <w:sz w:val="23"/>
          <w:szCs w:val="23"/>
        </w:rPr>
        <w:t>, 27 reflects an earlier stage of his thinking: “Was ist diese Nacht anders als alle Nächte? Sonst</w:t>
      </w:r>
      <w:r>
        <w:rPr>
          <w:sz w:val="23"/>
          <w:szCs w:val="23"/>
        </w:rPr>
        <w:t>...</w:t>
      </w:r>
      <w:r w:rsidRPr="00EE6ED7">
        <w:rPr>
          <w:sz w:val="23"/>
          <w:szCs w:val="23"/>
        </w:rPr>
        <w:t>, heute...; sonst</w:t>
      </w:r>
      <w:r>
        <w:rPr>
          <w:sz w:val="23"/>
          <w:szCs w:val="23"/>
        </w:rPr>
        <w:t>...</w:t>
      </w:r>
      <w:r w:rsidRPr="00EE6ED7">
        <w:rPr>
          <w:sz w:val="23"/>
          <w:szCs w:val="23"/>
        </w:rPr>
        <w:t>, heute...; sonst</w:t>
      </w:r>
      <w:r>
        <w:rPr>
          <w:sz w:val="23"/>
          <w:szCs w:val="23"/>
        </w:rPr>
        <w:t>...</w:t>
      </w:r>
      <w:r w:rsidRPr="00EE6ED7">
        <w:rPr>
          <w:sz w:val="23"/>
          <w:szCs w:val="23"/>
        </w:rPr>
        <w:t>, heute</w:t>
      </w:r>
      <w:r>
        <w:rPr>
          <w:sz w:val="23"/>
          <w:szCs w:val="23"/>
        </w:rPr>
        <w:t>...</w:t>
      </w:r>
      <w:r w:rsidRPr="00EE6ED7">
        <w:rPr>
          <w:sz w:val="23"/>
          <w:szCs w:val="23"/>
        </w:rPr>
        <w:t>” There too, he refers to the “Fragen” (plural). Goldschmidt (</w:t>
      </w:r>
      <w:r w:rsidRPr="00EE6ED7">
        <w:rPr>
          <w:i/>
          <w:sz w:val="23"/>
          <w:szCs w:val="23"/>
        </w:rPr>
        <w:t>Pessach-Haggada</w:t>
      </w:r>
      <w:r w:rsidRPr="00EE6ED7">
        <w:rPr>
          <w:sz w:val="23"/>
          <w:szCs w:val="23"/>
        </w:rPr>
        <w:t>, 34) seems to be more aware of the implications of his translation; he refers to “Die Fragen—besser gesagt: eine Frage mit verschiedenen Begründungen</w:t>
      </w:r>
      <w:r>
        <w:rPr>
          <w:sz w:val="23"/>
          <w:szCs w:val="23"/>
        </w:rPr>
        <w:t>...</w:t>
      </w:r>
      <w:r w:rsidRPr="00EE6ED7">
        <w:rPr>
          <w:sz w:val="23"/>
          <w:szCs w:val="23"/>
        </w:rPr>
        <w:t>”</w:t>
      </w:r>
    </w:p>
  </w:footnote>
  <w:footnote w:id="25">
    <w:p w:rsidR="00A465C3" w:rsidRPr="00EE6ED7" w:rsidRDefault="00A465C3" w:rsidP="002F6ED4">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rFonts w:hint="cs"/>
          <w:sz w:val="23"/>
          <w:szCs w:val="23"/>
          <w:rtl/>
        </w:rPr>
        <w:t>אוצר פירושים</w:t>
      </w:r>
      <w:r>
        <w:rPr>
          <w:sz w:val="23"/>
          <w:szCs w:val="23"/>
        </w:rPr>
        <w:t>, 203a.</w:t>
      </w:r>
    </w:p>
  </w:footnote>
  <w:footnote w:id="26">
    <w:p w:rsidR="00A465C3" w:rsidRPr="00EE6ED7" w:rsidRDefault="00A465C3" w:rsidP="00A3322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It is traditionally vocalized with </w:t>
      </w:r>
      <w:r w:rsidRPr="00EE6ED7">
        <w:rPr>
          <w:sz w:val="23"/>
          <w:szCs w:val="23"/>
          <w:rtl/>
        </w:rPr>
        <w:t>קמץ</w:t>
      </w:r>
      <w:r w:rsidRPr="00EE6ED7">
        <w:rPr>
          <w:sz w:val="23"/>
          <w:szCs w:val="23"/>
        </w:rPr>
        <w:t xml:space="preserve"> rather than </w:t>
      </w:r>
      <w:r w:rsidRPr="00EE6ED7">
        <w:rPr>
          <w:sz w:val="23"/>
          <w:szCs w:val="23"/>
          <w:rtl/>
        </w:rPr>
        <w:t>סגול</w:t>
      </w:r>
      <w:r w:rsidRPr="00EE6ED7">
        <w:rPr>
          <w:sz w:val="23"/>
          <w:szCs w:val="23"/>
        </w:rPr>
        <w:t xml:space="preserve">, and it interchanges with older </w:t>
      </w:r>
      <w:r w:rsidRPr="00EE6ED7">
        <w:rPr>
          <w:sz w:val="23"/>
          <w:szCs w:val="23"/>
          <w:rtl/>
        </w:rPr>
        <w:t>מה שנה</w:t>
      </w:r>
      <w:r w:rsidRPr="00EE6ED7">
        <w:rPr>
          <w:sz w:val="23"/>
          <w:szCs w:val="23"/>
        </w:rPr>
        <w:t xml:space="preserve"> and </w:t>
      </w:r>
      <w:smartTag w:uri="urn:schemas-microsoft-com:office:smarttags" w:element="place">
        <w:smartTag w:uri="urn:schemas-microsoft-com:office:smarttags" w:element="country-region">
          <w:r w:rsidRPr="00EE6ED7">
            <w:rPr>
              <w:sz w:val="23"/>
              <w:szCs w:val="23"/>
            </w:rPr>
            <w:t>Aram</w:t>
          </w:r>
        </w:smartTag>
      </w:smartTag>
      <w:r w:rsidRPr="00EE6ED7">
        <w:rPr>
          <w:sz w:val="23"/>
          <w:szCs w:val="23"/>
        </w:rPr>
        <w:t xml:space="preserve">. </w:t>
      </w:r>
      <w:r w:rsidRPr="00EE6ED7">
        <w:rPr>
          <w:sz w:val="23"/>
          <w:szCs w:val="23"/>
          <w:rtl/>
        </w:rPr>
        <w:t>מאי שנא</w:t>
      </w:r>
      <w:r w:rsidRPr="00EE6ED7">
        <w:rPr>
          <w:sz w:val="23"/>
          <w:szCs w:val="23"/>
        </w:rPr>
        <w:t xml:space="preserve"> (see n. </w:t>
      </w:r>
      <w:r>
        <w:rPr>
          <w:sz w:val="23"/>
          <w:szCs w:val="23"/>
        </w:rPr>
        <w:fldChar w:fldCharType="begin"/>
      </w:r>
      <w:r>
        <w:rPr>
          <w:sz w:val="23"/>
          <w:szCs w:val="23"/>
        </w:rPr>
        <w:instrText xml:space="preserve"> NOTEREF _Ref200357836 \h </w:instrText>
      </w:r>
      <w:r w:rsidRPr="00A33221">
        <w:rPr>
          <w:sz w:val="23"/>
          <w:szCs w:val="23"/>
        </w:rPr>
      </w:r>
      <w:r>
        <w:rPr>
          <w:sz w:val="23"/>
          <w:szCs w:val="23"/>
        </w:rPr>
        <w:fldChar w:fldCharType="separate"/>
      </w:r>
      <w:r w:rsidR="00300213">
        <w:rPr>
          <w:sz w:val="23"/>
          <w:szCs w:val="23"/>
        </w:rPr>
        <w:t>15</w:t>
      </w:r>
      <w:r>
        <w:rPr>
          <w:sz w:val="23"/>
          <w:szCs w:val="23"/>
        </w:rPr>
        <w:fldChar w:fldCharType="end"/>
      </w:r>
      <w:r w:rsidRPr="00EE6ED7">
        <w:rPr>
          <w:sz w:val="23"/>
          <w:szCs w:val="23"/>
        </w:rPr>
        <w:t xml:space="preserve"> above and n. </w:t>
      </w:r>
      <w:r>
        <w:rPr>
          <w:sz w:val="23"/>
          <w:szCs w:val="23"/>
        </w:rPr>
        <w:fldChar w:fldCharType="begin"/>
      </w:r>
      <w:r>
        <w:rPr>
          <w:sz w:val="23"/>
          <w:szCs w:val="23"/>
        </w:rPr>
        <w:instrText xml:space="preserve"> NOTEREF _Ref200357918 \h </w:instrText>
      </w:r>
      <w:r w:rsidRPr="00A33221">
        <w:rPr>
          <w:sz w:val="23"/>
          <w:szCs w:val="23"/>
        </w:rPr>
      </w:r>
      <w:r>
        <w:rPr>
          <w:sz w:val="23"/>
          <w:szCs w:val="23"/>
        </w:rPr>
        <w:fldChar w:fldCharType="separate"/>
      </w:r>
      <w:r w:rsidR="00300213">
        <w:rPr>
          <w:sz w:val="23"/>
          <w:szCs w:val="23"/>
        </w:rPr>
        <w:t>57</w:t>
      </w:r>
      <w:r>
        <w:rPr>
          <w:sz w:val="23"/>
          <w:szCs w:val="23"/>
        </w:rPr>
        <w:fldChar w:fldCharType="end"/>
      </w:r>
      <w:r w:rsidRPr="00EE6ED7">
        <w:rPr>
          <w:sz w:val="23"/>
          <w:szCs w:val="23"/>
        </w:rPr>
        <w:t xml:space="preserve"> below).</w:t>
      </w:r>
    </w:p>
  </w:footnote>
  <w:footnote w:id="27">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אגדתא דפסחא כמנהג עולי תימן</w:t>
      </w:r>
      <w:r w:rsidRPr="00EE6ED7">
        <w:rPr>
          <w:sz w:val="23"/>
          <w:szCs w:val="23"/>
        </w:rPr>
        <w:t xml:space="preserve">, 142: </w:t>
      </w:r>
      <w:r w:rsidRPr="00EE6ED7">
        <w:rPr>
          <w:sz w:val="23"/>
          <w:szCs w:val="23"/>
          <w:rtl/>
        </w:rPr>
        <w:t>במא אכ'תלפת</w:t>
      </w:r>
      <w:r w:rsidRPr="00EE6ED7">
        <w:rPr>
          <w:sz w:val="23"/>
          <w:szCs w:val="23"/>
        </w:rPr>
        <w:t xml:space="preserve"> (m</w:t>
      </w:r>
      <w:r>
        <w:rPr>
          <w:sz w:val="23"/>
          <w:szCs w:val="23"/>
        </w:rPr>
        <w:t>anuscript</w:t>
      </w:r>
      <w:r w:rsidRPr="00EE6ED7">
        <w:rPr>
          <w:sz w:val="23"/>
          <w:szCs w:val="23"/>
        </w:rPr>
        <w:t xml:space="preserve"> from 1498); cf. </w:t>
      </w:r>
      <w:r w:rsidRPr="00EE6ED7">
        <w:rPr>
          <w:i/>
          <w:sz w:val="23"/>
          <w:szCs w:val="23"/>
        </w:rPr>
        <w:t xml:space="preserve">The Haggadah According to the Rite of </w:t>
      </w:r>
      <w:smartTag w:uri="urn:schemas-microsoft-com:office:smarttags" w:element="place">
        <w:smartTag w:uri="urn:schemas-microsoft-com:office:smarttags" w:element="country-region">
          <w:r w:rsidRPr="00EE6ED7">
            <w:rPr>
              <w:i/>
              <w:sz w:val="23"/>
              <w:szCs w:val="23"/>
            </w:rPr>
            <w:t>Yemen</w:t>
          </w:r>
        </w:smartTag>
      </w:smartTag>
      <w:r w:rsidRPr="00EE6ED7">
        <w:rPr>
          <w:sz w:val="23"/>
          <w:szCs w:val="23"/>
        </w:rPr>
        <w:t>, 14.</w:t>
      </w:r>
    </w:p>
  </w:footnote>
  <w:footnote w:id="28">
    <w:p w:rsidR="00A465C3" w:rsidRPr="00EE6ED7" w:rsidRDefault="00A465C3" w:rsidP="002D1C7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xml:space="preserve"> </w:t>
      </w:r>
      <w:r w:rsidRPr="00EE6ED7">
        <w:rPr>
          <w:sz w:val="23"/>
          <w:szCs w:val="23"/>
          <w:rtl/>
        </w:rPr>
        <w:t>ספר חקת הפסח</w:t>
      </w:r>
      <w:r w:rsidRPr="00EE6ED7">
        <w:rPr>
          <w:sz w:val="23"/>
          <w:szCs w:val="23"/>
        </w:rPr>
        <w:t xml:space="preserve"> (Calcutta, 1844)</w:t>
      </w:r>
      <w:r>
        <w:rPr>
          <w:sz w:val="23"/>
          <w:szCs w:val="23"/>
        </w:rPr>
        <w:t xml:space="preserve">, p. </w:t>
      </w:r>
      <w:r>
        <w:rPr>
          <w:rFonts w:hint="cs"/>
          <w:sz w:val="23"/>
          <w:szCs w:val="23"/>
          <w:rtl/>
        </w:rPr>
        <w:t>יד ע"ב</w:t>
      </w:r>
      <w:r w:rsidRPr="00EE6ED7">
        <w:rPr>
          <w:sz w:val="23"/>
          <w:szCs w:val="23"/>
        </w:rPr>
        <w:t xml:space="preserve">: </w:t>
      </w:r>
      <w:r w:rsidRPr="00EE6ED7">
        <w:rPr>
          <w:sz w:val="23"/>
          <w:szCs w:val="23"/>
          <w:rtl/>
        </w:rPr>
        <w:t>במא תג'יירת</w:t>
      </w:r>
      <w:r w:rsidRPr="00EE6ED7">
        <w:rPr>
          <w:sz w:val="23"/>
          <w:szCs w:val="23"/>
        </w:rPr>
        <w:t xml:space="preserve"> (JNUL website);</w:t>
      </w:r>
      <w:r w:rsidRPr="00EE6ED7">
        <w:rPr>
          <w:sz w:val="23"/>
          <w:szCs w:val="23"/>
          <w:rtl/>
        </w:rPr>
        <w:t>ספר הגדה של הפסח</w:t>
      </w:r>
      <w:r w:rsidRPr="00EE6ED7">
        <w:rPr>
          <w:sz w:val="23"/>
          <w:szCs w:val="23"/>
        </w:rPr>
        <w:t xml:space="preserve"> (Baghdad, 1868)</w:t>
      </w:r>
      <w:r>
        <w:rPr>
          <w:sz w:val="23"/>
          <w:szCs w:val="23"/>
        </w:rPr>
        <w:t xml:space="preserve">, p. </w:t>
      </w:r>
      <w:r>
        <w:rPr>
          <w:rFonts w:hint="cs"/>
          <w:sz w:val="23"/>
          <w:szCs w:val="23"/>
          <w:rtl/>
        </w:rPr>
        <w:t>ה ע"א</w:t>
      </w:r>
      <w:r w:rsidRPr="00EE6ED7">
        <w:rPr>
          <w:sz w:val="23"/>
          <w:szCs w:val="23"/>
        </w:rPr>
        <w:t xml:space="preserve">: </w:t>
      </w:r>
      <w:r w:rsidRPr="00EE6ED7">
        <w:rPr>
          <w:sz w:val="23"/>
          <w:szCs w:val="23"/>
          <w:rtl/>
        </w:rPr>
        <w:t>במא תג'יירת</w:t>
      </w:r>
      <w:r w:rsidRPr="00EE6ED7">
        <w:rPr>
          <w:sz w:val="23"/>
          <w:szCs w:val="23"/>
        </w:rPr>
        <w:t xml:space="preserve"> (JNUL website);</w:t>
      </w:r>
      <w:r w:rsidRPr="00EE6ED7">
        <w:rPr>
          <w:sz w:val="23"/>
          <w:szCs w:val="23"/>
          <w:rtl/>
        </w:rPr>
        <w:t>סדר הגדה של פסח עם שרח ערבי ותרגום ערבי כמנהג ק"ק בגדאד</w:t>
      </w:r>
      <w:r w:rsidRPr="00EE6ED7">
        <w:rPr>
          <w:sz w:val="23"/>
          <w:szCs w:val="23"/>
        </w:rPr>
        <w:t xml:space="preserve"> (Livorno, 1887)</w:t>
      </w:r>
      <w:r>
        <w:rPr>
          <w:sz w:val="23"/>
          <w:szCs w:val="23"/>
        </w:rPr>
        <w:t xml:space="preserve">, p. </w:t>
      </w:r>
      <w:r>
        <w:rPr>
          <w:rFonts w:hint="cs"/>
          <w:sz w:val="23"/>
          <w:szCs w:val="23"/>
          <w:rtl/>
        </w:rPr>
        <w:t>לב</w:t>
      </w:r>
      <w:r w:rsidRPr="00EE6ED7">
        <w:rPr>
          <w:sz w:val="23"/>
          <w:szCs w:val="23"/>
        </w:rPr>
        <w:t xml:space="preserve">: </w:t>
      </w:r>
      <w:r w:rsidRPr="00EE6ED7">
        <w:rPr>
          <w:sz w:val="23"/>
          <w:szCs w:val="23"/>
          <w:rtl/>
        </w:rPr>
        <w:t>בִמָא תִגָ'יְירַת</w:t>
      </w:r>
      <w:r w:rsidRPr="00EE6ED7">
        <w:rPr>
          <w:sz w:val="23"/>
          <w:szCs w:val="23"/>
        </w:rPr>
        <w:t xml:space="preserve"> (YU); </w:t>
      </w:r>
      <w:r w:rsidRPr="00EE6ED7">
        <w:rPr>
          <w:sz w:val="23"/>
          <w:szCs w:val="23"/>
          <w:rtl/>
        </w:rPr>
        <w:t>ס</w:t>
      </w:r>
      <w:r>
        <w:rPr>
          <w:rFonts w:hint="cs"/>
          <w:sz w:val="23"/>
          <w:szCs w:val="23"/>
          <w:rtl/>
        </w:rPr>
        <w:t>פ</w:t>
      </w:r>
      <w:r w:rsidRPr="00EE6ED7">
        <w:rPr>
          <w:sz w:val="23"/>
          <w:szCs w:val="23"/>
          <w:rtl/>
        </w:rPr>
        <w:t>ר הגדה של פסח עם שרח הערבי הנהוג בק"ק</w:t>
      </w:r>
      <w:r>
        <w:rPr>
          <w:sz w:val="23"/>
          <w:szCs w:val="23"/>
          <w:rtl/>
        </w:rPr>
        <w:t xml:space="preserve">... </w:t>
      </w:r>
      <w:r w:rsidRPr="00EE6ED7">
        <w:rPr>
          <w:sz w:val="23"/>
          <w:szCs w:val="23"/>
          <w:rtl/>
        </w:rPr>
        <w:t>בגדאד</w:t>
      </w:r>
      <w:r w:rsidRPr="00EE6ED7">
        <w:rPr>
          <w:sz w:val="23"/>
          <w:szCs w:val="23"/>
        </w:rPr>
        <w:t xml:space="preserve"> (Calcutta, 1889)</w:t>
      </w:r>
      <w:r>
        <w:rPr>
          <w:sz w:val="23"/>
          <w:szCs w:val="23"/>
        </w:rPr>
        <w:t xml:space="preserve">, p. </w:t>
      </w:r>
      <w:r>
        <w:rPr>
          <w:rFonts w:hint="cs"/>
          <w:sz w:val="23"/>
          <w:szCs w:val="23"/>
          <w:rtl/>
        </w:rPr>
        <w:t>כא</w:t>
      </w:r>
      <w:r w:rsidRPr="00EE6ED7">
        <w:rPr>
          <w:sz w:val="23"/>
          <w:szCs w:val="23"/>
        </w:rPr>
        <w:t>:</w:t>
      </w:r>
      <w:r w:rsidRPr="00EE6ED7">
        <w:rPr>
          <w:sz w:val="23"/>
          <w:szCs w:val="23"/>
          <w:rtl/>
        </w:rPr>
        <w:t>במא תּג'אייראתּ</w:t>
      </w:r>
      <w:r w:rsidRPr="00EE6ED7">
        <w:rPr>
          <w:sz w:val="23"/>
          <w:szCs w:val="23"/>
        </w:rPr>
        <w:t xml:space="preserve"> (YU). Cf. </w:t>
      </w:r>
      <w:r w:rsidRPr="00EE6ED7">
        <w:rPr>
          <w:sz w:val="23"/>
          <w:szCs w:val="23"/>
          <w:rtl/>
        </w:rPr>
        <w:t>הגדה של פסח עם פרוש</w:t>
      </w:r>
      <w:r w:rsidRPr="00EE6ED7">
        <w:rPr>
          <w:sz w:val="23"/>
          <w:szCs w:val="23"/>
        </w:rPr>
        <w:t xml:space="preserve"> (1640), f</w:t>
      </w:r>
      <w:r>
        <w:rPr>
          <w:sz w:val="23"/>
          <w:szCs w:val="23"/>
        </w:rPr>
        <w:t>ol</w:t>
      </w:r>
      <w:r w:rsidRPr="00EE6ED7">
        <w:rPr>
          <w:sz w:val="23"/>
          <w:szCs w:val="23"/>
        </w:rPr>
        <w:t xml:space="preserve">. </w:t>
      </w:r>
      <w:r>
        <w:rPr>
          <w:rFonts w:hint="cs"/>
          <w:sz w:val="23"/>
          <w:szCs w:val="23"/>
          <w:rtl/>
        </w:rPr>
        <w:t>י ע"ב</w:t>
      </w:r>
      <w:r w:rsidRPr="00EE6ED7">
        <w:rPr>
          <w:sz w:val="23"/>
          <w:szCs w:val="23"/>
        </w:rPr>
        <w:t xml:space="preserve">: </w:t>
      </w:r>
      <w:r w:rsidRPr="00EE6ED7">
        <w:rPr>
          <w:sz w:val="23"/>
          <w:szCs w:val="23"/>
          <w:rtl/>
        </w:rPr>
        <w:t>מד'א אתג'ייראת</w:t>
      </w:r>
      <w:r w:rsidRPr="00EE6ED7">
        <w:rPr>
          <w:sz w:val="23"/>
          <w:szCs w:val="23"/>
        </w:rPr>
        <w:t xml:space="preserve"> (JTSA MS 4419; Reel 626); and </w:t>
      </w:r>
      <w:r w:rsidRPr="00EE6ED7">
        <w:rPr>
          <w:sz w:val="23"/>
          <w:szCs w:val="23"/>
          <w:rtl/>
        </w:rPr>
        <w:t>הגדה של פסח עם שיר השירים עם תרגום</w:t>
      </w:r>
      <w:r w:rsidRPr="00EE6ED7">
        <w:rPr>
          <w:sz w:val="23"/>
          <w:szCs w:val="23"/>
        </w:rPr>
        <w:t xml:space="preserve"> (nineteenth century)</w:t>
      </w:r>
      <w:r>
        <w:rPr>
          <w:sz w:val="23"/>
          <w:szCs w:val="23"/>
        </w:rPr>
        <w:t xml:space="preserve"> fol. </w:t>
      </w:r>
      <w:r w:rsidRPr="00EE6ED7">
        <w:rPr>
          <w:sz w:val="23"/>
          <w:szCs w:val="23"/>
        </w:rPr>
        <w:t xml:space="preserve">4a: </w:t>
      </w:r>
      <w:r w:rsidRPr="00EE6ED7">
        <w:rPr>
          <w:sz w:val="23"/>
          <w:szCs w:val="23"/>
          <w:rtl/>
        </w:rPr>
        <w:t>מד'א תג'יירת</w:t>
      </w:r>
      <w:r w:rsidRPr="00EE6ED7">
        <w:rPr>
          <w:sz w:val="23"/>
          <w:szCs w:val="23"/>
        </w:rPr>
        <w:t xml:space="preserve"> (JTSA MS 4651; Reel 649).</w:t>
      </w:r>
    </w:p>
  </w:footnote>
  <w:footnote w:id="29">
    <w:p w:rsidR="00A465C3" w:rsidRPr="00EE6ED7" w:rsidRDefault="00A465C3" w:rsidP="00F96F1B">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T-S Ar.46.108</w:t>
      </w:r>
      <w:r>
        <w:rPr>
          <w:sz w:val="23"/>
          <w:szCs w:val="23"/>
        </w:rPr>
        <w:t xml:space="preserve"> fol. </w:t>
      </w:r>
      <w:r w:rsidRPr="00EE6ED7">
        <w:rPr>
          <w:sz w:val="23"/>
          <w:szCs w:val="23"/>
        </w:rPr>
        <w:t xml:space="preserve">1a: </w:t>
      </w:r>
      <w:r w:rsidRPr="00EE6ED7">
        <w:rPr>
          <w:sz w:val="23"/>
          <w:szCs w:val="23"/>
          <w:rtl/>
        </w:rPr>
        <w:t>אשמענא אתבדלת</w:t>
      </w:r>
      <w:r w:rsidRPr="00EE6ED7">
        <w:rPr>
          <w:sz w:val="23"/>
          <w:szCs w:val="23"/>
        </w:rPr>
        <w:t xml:space="preserve">; </w:t>
      </w:r>
      <w:r w:rsidRPr="00EE6ED7">
        <w:rPr>
          <w:sz w:val="23"/>
          <w:szCs w:val="23"/>
          <w:rtl/>
        </w:rPr>
        <w:t>ספר חכם לב</w:t>
      </w:r>
      <w:r w:rsidRPr="00EE6ED7">
        <w:rPr>
          <w:sz w:val="23"/>
          <w:szCs w:val="23"/>
        </w:rPr>
        <w:t xml:space="preserve">, ed. Kamus </w:t>
      </w:r>
      <w:r w:rsidRPr="00263CEB">
        <w:rPr>
          <w:rFonts w:ascii="CalSemitic" w:hAnsi="CalSemitic"/>
          <w:szCs w:val="23"/>
        </w:rPr>
        <w:t>-</w:t>
      </w:r>
      <w:r w:rsidRPr="00EE6ED7">
        <w:rPr>
          <w:sz w:val="23"/>
          <w:szCs w:val="23"/>
        </w:rPr>
        <w:t>addad (Livorno, 1887),</w:t>
      </w:r>
      <w:r>
        <w:rPr>
          <w:sz w:val="23"/>
          <w:szCs w:val="23"/>
        </w:rPr>
        <w:t xml:space="preserve"> p.</w:t>
      </w:r>
      <w:r w:rsidRPr="00EE6ED7">
        <w:rPr>
          <w:sz w:val="23"/>
          <w:szCs w:val="23"/>
        </w:rPr>
        <w:t xml:space="preserve"> </w:t>
      </w:r>
      <w:r>
        <w:rPr>
          <w:rFonts w:hint="cs"/>
          <w:sz w:val="23"/>
          <w:szCs w:val="23"/>
          <w:rtl/>
        </w:rPr>
        <w:t>יג</w:t>
      </w:r>
      <w:r w:rsidRPr="00EE6ED7">
        <w:rPr>
          <w:sz w:val="23"/>
          <w:szCs w:val="23"/>
        </w:rPr>
        <w:t xml:space="preserve">: </w:t>
      </w:r>
      <w:r w:rsidRPr="00EE6ED7">
        <w:rPr>
          <w:sz w:val="23"/>
          <w:szCs w:val="23"/>
          <w:rtl/>
        </w:rPr>
        <w:t>האש למענא תבדלת</w:t>
      </w:r>
      <w:r w:rsidRPr="00EE6ED7">
        <w:rPr>
          <w:sz w:val="23"/>
          <w:szCs w:val="23"/>
        </w:rPr>
        <w:t xml:space="preserve">; </w:t>
      </w:r>
      <w:r w:rsidRPr="00EE6ED7">
        <w:rPr>
          <w:sz w:val="23"/>
          <w:szCs w:val="23"/>
          <w:rtl/>
        </w:rPr>
        <w:t>ספר חג הפסח</w:t>
      </w:r>
      <w:r w:rsidRPr="00EE6ED7">
        <w:rPr>
          <w:sz w:val="23"/>
          <w:szCs w:val="23"/>
        </w:rPr>
        <w:t>, ed. Moses Edan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1903), </w:t>
      </w:r>
      <w:r>
        <w:rPr>
          <w:sz w:val="23"/>
          <w:szCs w:val="23"/>
        </w:rPr>
        <w:t xml:space="preserve">p. </w:t>
      </w:r>
      <w:r>
        <w:rPr>
          <w:rFonts w:hint="cs"/>
          <w:sz w:val="23"/>
          <w:szCs w:val="23"/>
          <w:rtl/>
        </w:rPr>
        <w:t>ז ע"א</w:t>
      </w:r>
      <w:r w:rsidRPr="00EE6ED7">
        <w:rPr>
          <w:sz w:val="23"/>
          <w:szCs w:val="23"/>
        </w:rPr>
        <w:t xml:space="preserve">: </w:t>
      </w:r>
      <w:r w:rsidRPr="00EE6ED7">
        <w:rPr>
          <w:sz w:val="23"/>
          <w:szCs w:val="23"/>
          <w:rtl/>
        </w:rPr>
        <w:t>האש למענא תבדלת</w:t>
      </w:r>
      <w:r w:rsidRPr="00EE6ED7">
        <w:rPr>
          <w:sz w:val="23"/>
          <w:szCs w:val="23"/>
        </w:rPr>
        <w:t>.</w:t>
      </w:r>
    </w:p>
  </w:footnote>
  <w:footnote w:id="3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So in the Judeo-Spanish issue of the illustrated Venice Haggadah of 1609 = </w:t>
      </w:r>
      <w:r w:rsidRPr="00EE6ED7">
        <w:rPr>
          <w:i/>
          <w:sz w:val="23"/>
          <w:szCs w:val="23"/>
        </w:rPr>
        <w:t>fue demudada</w:t>
      </w:r>
      <w:r w:rsidRPr="00EE6ED7">
        <w:rPr>
          <w:sz w:val="23"/>
          <w:szCs w:val="23"/>
        </w:rPr>
        <w:t xml:space="preserve"> in </w:t>
      </w:r>
      <w:r w:rsidRPr="00EE6ED7">
        <w:rPr>
          <w:i/>
          <w:sz w:val="23"/>
          <w:szCs w:val="23"/>
        </w:rPr>
        <w:t xml:space="preserve">Libro de Oracyones: </w:t>
      </w:r>
      <w:smartTag w:uri="urn:schemas-microsoft-com:office:smarttags" w:element="place">
        <w:smartTag w:uri="urn:schemas-microsoft-com:office:smarttags" w:element="City">
          <w:r w:rsidRPr="00EE6ED7">
            <w:rPr>
              <w:i/>
              <w:sz w:val="23"/>
              <w:szCs w:val="23"/>
            </w:rPr>
            <w:t>Ferrara</w:t>
          </w:r>
        </w:smartTag>
      </w:smartTag>
      <w:r w:rsidRPr="00EE6ED7">
        <w:rPr>
          <w:i/>
          <w:sz w:val="23"/>
          <w:szCs w:val="23"/>
        </w:rPr>
        <w:t xml:space="preserve"> Ladino Siddur [1552]</w:t>
      </w:r>
      <w:r w:rsidRPr="00EE6ED7">
        <w:rPr>
          <w:sz w:val="23"/>
          <w:szCs w:val="23"/>
        </w:rPr>
        <w:t>, ed. M. Lazar (Culver City, Calif.: Labyrinthos, 1995), 164.</w:t>
      </w:r>
    </w:p>
  </w:footnote>
  <w:footnote w:id="31">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מקרי דרדקי</w:t>
      </w:r>
      <w:r w:rsidRPr="00EE6ED7">
        <w:rPr>
          <w:sz w:val="23"/>
          <w:szCs w:val="23"/>
        </w:rPr>
        <w:t xml:space="preserve">, ed. Z. Gross (Brooklyn, 1979), </w:t>
      </w:r>
      <w:r>
        <w:rPr>
          <w:sz w:val="23"/>
          <w:szCs w:val="23"/>
        </w:rPr>
        <w:t xml:space="preserve">p. </w:t>
      </w:r>
      <w:r>
        <w:rPr>
          <w:rFonts w:hint="cs"/>
          <w:sz w:val="23"/>
          <w:szCs w:val="23"/>
          <w:rtl/>
        </w:rPr>
        <w:t>סב</w:t>
      </w:r>
      <w:r>
        <w:rPr>
          <w:sz w:val="23"/>
          <w:szCs w:val="23"/>
        </w:rPr>
        <w:t>;</w:t>
      </w:r>
      <w:r w:rsidRPr="00EE6ED7">
        <w:rPr>
          <w:sz w:val="23"/>
          <w:szCs w:val="23"/>
          <w:rtl/>
        </w:rPr>
        <w:t>די ערקלערטע הגדה של פסח</w:t>
      </w:r>
      <w:r w:rsidRPr="00EE6ED7">
        <w:rPr>
          <w:sz w:val="23"/>
          <w:szCs w:val="23"/>
        </w:rPr>
        <w:t>, ed. B. Z. Halevy Shisha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1989), </w:t>
      </w:r>
      <w:r>
        <w:rPr>
          <w:sz w:val="23"/>
          <w:szCs w:val="23"/>
        </w:rPr>
        <w:t xml:space="preserve">p. </w:t>
      </w:r>
      <w:r>
        <w:rPr>
          <w:rFonts w:hint="cs"/>
          <w:sz w:val="23"/>
          <w:szCs w:val="23"/>
          <w:rtl/>
        </w:rPr>
        <w:t>לח</w:t>
      </w:r>
      <w:r w:rsidRPr="00EE6ED7">
        <w:rPr>
          <w:sz w:val="23"/>
          <w:szCs w:val="23"/>
        </w:rPr>
        <w:t>.</w:t>
      </w:r>
    </w:p>
  </w:footnote>
  <w:footnote w:id="3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the use of the MH perfect to express states in the present, see Mordechay Mishor, </w:t>
      </w:r>
      <w:r w:rsidRPr="00EE6ED7">
        <w:rPr>
          <w:sz w:val="23"/>
          <w:szCs w:val="23"/>
          <w:rtl/>
        </w:rPr>
        <w:t>מערכת הזמנים בלשון התַנאים</w:t>
      </w:r>
      <w:r w:rsidRPr="00EE6ED7">
        <w:rPr>
          <w:sz w:val="23"/>
          <w:szCs w:val="23"/>
        </w:rPr>
        <w:t xml:space="preserve"> (Hebrew University doctoral dissertation; Jerusalem, 1983), 34–35. The use of the stative perfect </w:t>
      </w:r>
      <w:r w:rsidRPr="00EE6ED7">
        <w:rPr>
          <w:sz w:val="23"/>
          <w:szCs w:val="23"/>
          <w:rtl/>
        </w:rPr>
        <w:t>בושתי</w:t>
      </w:r>
      <w:r w:rsidRPr="00EE6ED7">
        <w:rPr>
          <w:sz w:val="23"/>
          <w:szCs w:val="23"/>
        </w:rPr>
        <w:t xml:space="preserve"> with present meaning (“I am ashamed/perplexed”) in two MH examples is a clear relic of BH usage; see Paul Joüon </w:t>
      </w:r>
      <w:r>
        <w:rPr>
          <w:sz w:val="23"/>
          <w:szCs w:val="23"/>
        </w:rPr>
        <w:t>and</w:t>
      </w:r>
      <w:r w:rsidRPr="00EE6ED7">
        <w:rPr>
          <w:sz w:val="23"/>
          <w:szCs w:val="23"/>
        </w:rPr>
        <w:t xml:space="preserve"> T. Muraoka</w:t>
      </w:r>
      <w:r>
        <w:rPr>
          <w:sz w:val="23"/>
          <w:szCs w:val="23"/>
        </w:rPr>
        <w:t>,</w:t>
      </w:r>
      <w:r w:rsidRPr="00EE6ED7">
        <w:rPr>
          <w:sz w:val="23"/>
          <w:szCs w:val="23"/>
        </w:rPr>
        <w:t xml:space="preserve"> </w:t>
      </w:r>
      <w:r w:rsidRPr="00EE6ED7">
        <w:rPr>
          <w:i/>
          <w:sz w:val="23"/>
          <w:szCs w:val="23"/>
        </w:rPr>
        <w:t>A Grammar of Biblical Hebrew</w:t>
      </w:r>
      <w:r w:rsidRPr="00EE6ED7">
        <w:rPr>
          <w:sz w:val="23"/>
          <w:szCs w:val="23"/>
        </w:rPr>
        <w:t xml:space="preserve"> (Rome: Pontificio Istituto Biblico, 1991), 359 §112a. Since </w:t>
      </w:r>
      <w:r w:rsidRPr="00EE6ED7">
        <w:rPr>
          <w:sz w:val="23"/>
          <w:szCs w:val="23"/>
          <w:rtl/>
        </w:rPr>
        <w:t>שנה</w:t>
      </w:r>
      <w:r w:rsidRPr="00EE6ED7">
        <w:rPr>
          <w:sz w:val="23"/>
          <w:szCs w:val="23"/>
        </w:rPr>
        <w:t xml:space="preserve"> “be/become different” (Mal 3:6) is also a stative verb, the use of </w:t>
      </w:r>
      <w:r w:rsidRPr="00EE6ED7">
        <w:rPr>
          <w:sz w:val="23"/>
          <w:szCs w:val="23"/>
          <w:rtl/>
        </w:rPr>
        <w:t>מה שנה/שנת</w:t>
      </w:r>
      <w:r w:rsidRPr="00EE6ED7">
        <w:rPr>
          <w:sz w:val="23"/>
          <w:szCs w:val="23"/>
        </w:rPr>
        <w:t xml:space="preserve"> (and its offspring </w:t>
      </w:r>
      <w:r w:rsidRPr="00EE6ED7">
        <w:rPr>
          <w:sz w:val="23"/>
          <w:szCs w:val="23"/>
          <w:rtl/>
        </w:rPr>
        <w:t>מה נשתנה/נשתנת</w:t>
      </w:r>
      <w:r w:rsidRPr="00EE6ED7">
        <w:rPr>
          <w:sz w:val="23"/>
          <w:szCs w:val="23"/>
        </w:rPr>
        <w:t>) to express a present state (“what is different about?”) is perfectly understandable.</w:t>
      </w:r>
    </w:p>
  </w:footnote>
  <w:footnote w:id="33">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של פסח עם פירוש חדש זרע גד</w:t>
      </w:r>
      <w:r w:rsidRPr="00EE6ED7">
        <w:rPr>
          <w:sz w:val="23"/>
          <w:szCs w:val="23"/>
        </w:rPr>
        <w:t>, ed. Zevi Hirsch b. Tan</w:t>
      </w:r>
      <w:r w:rsidRPr="00263CEB">
        <w:rPr>
          <w:rFonts w:ascii="CalSemitic" w:hAnsi="CalSemitic"/>
          <w:szCs w:val="23"/>
        </w:rPr>
        <w:t>x</w:t>
      </w:r>
      <w:r w:rsidRPr="00EE6ED7">
        <w:rPr>
          <w:sz w:val="23"/>
          <w:szCs w:val="23"/>
        </w:rPr>
        <w:t xml:space="preserve">um of </w:t>
      </w:r>
      <w:smartTag w:uri="urn:schemas-microsoft-com:office:smarttags" w:element="place">
        <w:smartTag w:uri="urn:schemas-microsoft-com:office:smarttags" w:element="City">
          <w:r w:rsidRPr="00EE6ED7">
            <w:rPr>
              <w:sz w:val="23"/>
              <w:szCs w:val="23"/>
            </w:rPr>
            <w:t>Grodno</w:t>
          </w:r>
        </w:smartTag>
      </w:smartTag>
      <w:r w:rsidRPr="00EE6ED7">
        <w:rPr>
          <w:sz w:val="23"/>
          <w:szCs w:val="23"/>
        </w:rPr>
        <w:t xml:space="preserve"> (Vilna: R. M. Romm, 1852), 21.</w:t>
      </w:r>
    </w:p>
  </w:footnote>
  <w:footnote w:id="3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He refers once to </w:t>
      </w:r>
      <w:r w:rsidRPr="00EE6ED7">
        <w:rPr>
          <w:sz w:val="23"/>
          <w:szCs w:val="23"/>
          <w:rtl/>
        </w:rPr>
        <w:t>שאלתו</w:t>
      </w:r>
      <w:r w:rsidRPr="00EE6ED7">
        <w:rPr>
          <w:sz w:val="23"/>
          <w:szCs w:val="23"/>
        </w:rPr>
        <w:t xml:space="preserve"> in the singular and another time to </w:t>
      </w:r>
      <w:r w:rsidRPr="00EE6ED7">
        <w:rPr>
          <w:sz w:val="23"/>
          <w:szCs w:val="23"/>
          <w:rtl/>
        </w:rPr>
        <w:t>השאלות</w:t>
      </w:r>
      <w:r w:rsidRPr="00EE6ED7">
        <w:rPr>
          <w:sz w:val="23"/>
          <w:szCs w:val="23"/>
        </w:rPr>
        <w:t xml:space="preserve"> in the plural.</w:t>
      </w:r>
    </w:p>
  </w:footnote>
  <w:footnote w:id="35">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section I above.</w:t>
      </w:r>
    </w:p>
  </w:footnote>
  <w:footnote w:id="36">
    <w:p w:rsidR="00A465C3" w:rsidRPr="00EE6ED7" w:rsidRDefault="00A465C3" w:rsidP="000C73D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Cf. the comment of one of the Hasidei Ashkenaz (</w:t>
      </w:r>
      <w:r w:rsidRPr="00EE6ED7">
        <w:rPr>
          <w:sz w:val="23"/>
          <w:szCs w:val="23"/>
          <w:rtl/>
        </w:rPr>
        <w:t>תוספות השלם</w:t>
      </w:r>
      <w:r>
        <w:rPr>
          <w:sz w:val="23"/>
          <w:szCs w:val="23"/>
          <w:rtl/>
        </w:rPr>
        <w:t xml:space="preserve">... </w:t>
      </w:r>
      <w:r w:rsidRPr="00EE6ED7">
        <w:rPr>
          <w:sz w:val="23"/>
          <w:szCs w:val="23"/>
          <w:rtl/>
        </w:rPr>
        <w:t>הגדה של פסח</w:t>
      </w:r>
      <w:r w:rsidRPr="00EE6ED7">
        <w:rPr>
          <w:sz w:val="23"/>
          <w:szCs w:val="23"/>
        </w:rPr>
        <w:t xml:space="preserve">, </w:t>
      </w:r>
      <w:r>
        <w:rPr>
          <w:sz w:val="23"/>
          <w:szCs w:val="23"/>
        </w:rPr>
        <w:t xml:space="preserve">p. </w:t>
      </w:r>
      <w:r>
        <w:rPr>
          <w:rFonts w:hint="cs"/>
          <w:sz w:val="23"/>
          <w:szCs w:val="23"/>
          <w:rtl/>
        </w:rPr>
        <w:t>כו</w:t>
      </w:r>
      <w:r w:rsidRPr="00EE6ED7">
        <w:rPr>
          <w:sz w:val="23"/>
          <w:szCs w:val="23"/>
        </w:rPr>
        <w:t>):</w:t>
      </w:r>
      <w:r w:rsidRPr="00EE6ED7">
        <w:rPr>
          <w:sz w:val="23"/>
          <w:szCs w:val="23"/>
          <w:rtl/>
        </w:rPr>
        <w:t>ויאמר מה נשתנה, דאי נימא מה ישתנה דמשמע להבא, הרי כבר נשתנה קצת להביא הירקות לפנינו</w:t>
      </w:r>
      <w:r>
        <w:rPr>
          <w:rFonts w:hint="cs"/>
          <w:sz w:val="23"/>
          <w:szCs w:val="23"/>
          <w:rtl/>
        </w:rPr>
        <w:t>,</w:t>
      </w:r>
      <w:r w:rsidRPr="00EE6ED7">
        <w:rPr>
          <w:sz w:val="23"/>
          <w:szCs w:val="23"/>
          <w:rtl/>
        </w:rPr>
        <w:t xml:space="preserve"> ועל ידי כך שאלו התינוקות. ונראה לומר מה ישתנה, שהרי עיקר השינוי להבא הוא, מן אכילת מצה וחובת המרור וטיבול שיני, אך מוטב לומר לשון התנאים</w:t>
      </w:r>
      <w:r w:rsidRPr="00EE6ED7">
        <w:rPr>
          <w:sz w:val="23"/>
          <w:szCs w:val="23"/>
        </w:rPr>
        <w:t xml:space="preserve">. The passage is cited in a slightly different version in </w:t>
      </w:r>
      <w:r>
        <w:rPr>
          <w:sz w:val="23"/>
          <w:szCs w:val="23"/>
          <w:rtl/>
        </w:rPr>
        <w:t>אוצר מפרשי התלמוד</w:t>
      </w:r>
      <w:r>
        <w:rPr>
          <w:rFonts w:hint="cs"/>
          <w:sz w:val="23"/>
          <w:szCs w:val="23"/>
          <w:rtl/>
        </w:rPr>
        <w:t>,</w:t>
      </w:r>
      <w:r w:rsidRPr="00EE6ED7">
        <w:rPr>
          <w:sz w:val="23"/>
          <w:szCs w:val="23"/>
          <w:rtl/>
        </w:rPr>
        <w:t xml:space="preserve"> פסחים ד</w:t>
      </w:r>
      <w:r w:rsidRPr="00EE6ED7">
        <w:rPr>
          <w:sz w:val="23"/>
          <w:szCs w:val="23"/>
        </w:rPr>
        <w:t xml:space="preserve"> (Jerusalem: M</w:t>
      </w:r>
      <w:r>
        <w:rPr>
          <w:sz w:val="23"/>
          <w:szCs w:val="23"/>
        </w:rPr>
        <w:t>a</w:t>
      </w:r>
      <w:r w:rsidRPr="00EE6ED7">
        <w:rPr>
          <w:sz w:val="23"/>
          <w:szCs w:val="23"/>
        </w:rPr>
        <w:t xml:space="preserve">chon Yerushalayim, 1994), </w:t>
      </w:r>
      <w:r>
        <w:rPr>
          <w:sz w:val="23"/>
          <w:szCs w:val="23"/>
        </w:rPr>
        <w:t xml:space="preserve">col. </w:t>
      </w:r>
      <w:r>
        <w:rPr>
          <w:rFonts w:hint="cs"/>
          <w:sz w:val="23"/>
          <w:szCs w:val="23"/>
          <w:rtl/>
        </w:rPr>
        <w:t>תרצח</w:t>
      </w:r>
      <w:r w:rsidRPr="00EE6ED7">
        <w:rPr>
          <w:sz w:val="23"/>
          <w:szCs w:val="23"/>
        </w:rPr>
        <w:t xml:space="preserve"> n. 7.</w:t>
      </w:r>
    </w:p>
  </w:footnote>
  <w:footnote w:id="37">
    <w:p w:rsidR="00A465C3" w:rsidRPr="00EE6ED7" w:rsidRDefault="00A465C3" w:rsidP="0029161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n. </w:t>
      </w:r>
      <w:r>
        <w:rPr>
          <w:sz w:val="23"/>
          <w:szCs w:val="23"/>
        </w:rPr>
        <w:fldChar w:fldCharType="begin"/>
      </w:r>
      <w:r>
        <w:rPr>
          <w:sz w:val="23"/>
          <w:szCs w:val="23"/>
        </w:rPr>
        <w:instrText xml:space="preserve"> NOTEREF _Ref200357918 \h </w:instrText>
      </w:r>
      <w:r w:rsidRPr="0029161D">
        <w:rPr>
          <w:sz w:val="23"/>
          <w:szCs w:val="23"/>
        </w:rPr>
      </w:r>
      <w:r>
        <w:rPr>
          <w:sz w:val="23"/>
          <w:szCs w:val="23"/>
        </w:rPr>
        <w:fldChar w:fldCharType="separate"/>
      </w:r>
      <w:r w:rsidR="00300213">
        <w:rPr>
          <w:sz w:val="23"/>
          <w:szCs w:val="23"/>
        </w:rPr>
        <w:t>57</w:t>
      </w:r>
      <w:r>
        <w:rPr>
          <w:sz w:val="23"/>
          <w:szCs w:val="23"/>
        </w:rPr>
        <w:fldChar w:fldCharType="end"/>
      </w:r>
      <w:r w:rsidRPr="00EE6ED7">
        <w:rPr>
          <w:sz w:val="23"/>
          <w:szCs w:val="23"/>
        </w:rPr>
        <w:t xml:space="preserve"> below.</w:t>
      </w:r>
    </w:p>
  </w:footnote>
  <w:footnote w:id="38">
    <w:p w:rsidR="00A465C3" w:rsidRPr="00EE6ED7" w:rsidRDefault="00A465C3" w:rsidP="003B1198">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 xml:space="preserve">The </w:t>
      </w:r>
      <w:r w:rsidRPr="00EE6ED7">
        <w:rPr>
          <w:sz w:val="23"/>
          <w:szCs w:val="23"/>
          <w:rtl/>
        </w:rPr>
        <w:t>הגדה של פסח</w:t>
      </w:r>
      <w:r w:rsidRPr="00EE6ED7">
        <w:rPr>
          <w:sz w:val="23"/>
          <w:szCs w:val="23"/>
        </w:rPr>
        <w:t xml:space="preserve"> </w:t>
      </w:r>
      <w:r w:rsidRPr="00EE6ED7">
        <w:rPr>
          <w:i/>
          <w:sz w:val="23"/>
          <w:szCs w:val="23"/>
        </w:rPr>
        <w:t>containing the Ceremonies and Prayers which are used and read by all Families, in all Houses of the Israelites the Two first Nights of Passover</w:t>
      </w:r>
      <w:r w:rsidRPr="00EE6ED7">
        <w:rPr>
          <w:sz w:val="23"/>
          <w:szCs w:val="23"/>
        </w:rPr>
        <w:t>, transl. A. Alexander and Assistants (London: W. Gilbert, 1770), v (Harvard).</w:t>
      </w:r>
    </w:p>
  </w:footnote>
  <w:footnote w:id="39">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כמנהג אשכנזים וכמנהג ספרדים</w:t>
      </w:r>
      <w:r w:rsidRPr="00EE6ED7">
        <w:rPr>
          <w:sz w:val="23"/>
          <w:szCs w:val="23"/>
        </w:rPr>
        <w:t xml:space="preserve">; </w:t>
      </w:r>
      <w:r w:rsidRPr="00EE6ED7">
        <w:rPr>
          <w:i/>
          <w:sz w:val="23"/>
          <w:szCs w:val="23"/>
        </w:rPr>
        <w:t>Service for the Two First Nights of Passover According to the Custom of the Spanish, Portuguese, and German Jews</w:t>
      </w:r>
      <w:r w:rsidRPr="00EE6ED7">
        <w:rPr>
          <w:sz w:val="23"/>
          <w:szCs w:val="23"/>
        </w:rPr>
        <w:t>, transl. David Levi (</w:t>
      </w:r>
      <w:smartTag w:uri="urn:schemas-microsoft-com:office:smarttags" w:element="place">
        <w:smartTag w:uri="urn:schemas-microsoft-com:office:smarttags" w:element="City">
          <w:r w:rsidRPr="00EE6ED7">
            <w:rPr>
              <w:sz w:val="23"/>
              <w:szCs w:val="23"/>
            </w:rPr>
            <w:t>London</w:t>
          </w:r>
        </w:smartTag>
      </w:smartTag>
      <w:r w:rsidRPr="00EE6ED7">
        <w:rPr>
          <w:sz w:val="23"/>
          <w:szCs w:val="23"/>
        </w:rPr>
        <w:t>: D. Levi, 1794), 6a (JTSA).</w:t>
      </w:r>
    </w:p>
  </w:footnote>
  <w:footnote w:id="40">
    <w:p w:rsidR="00A465C3" w:rsidRPr="00EE6ED7" w:rsidRDefault="00A465C3" w:rsidP="006D19B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Libro de Oracyones</w:t>
      </w:r>
      <w:r w:rsidRPr="00EE6ED7">
        <w:rPr>
          <w:sz w:val="23"/>
          <w:szCs w:val="23"/>
        </w:rPr>
        <w:t>, 164.</w:t>
      </w:r>
      <w:r>
        <w:rPr>
          <w:sz w:val="23"/>
          <w:szCs w:val="23"/>
        </w:rPr>
        <w:t xml:space="preserve"> See n. </w:t>
      </w:r>
      <w:r>
        <w:rPr>
          <w:sz w:val="23"/>
          <w:szCs w:val="23"/>
        </w:rPr>
        <w:fldChar w:fldCharType="begin"/>
      </w:r>
      <w:r>
        <w:rPr>
          <w:sz w:val="23"/>
          <w:szCs w:val="23"/>
        </w:rPr>
        <w:instrText xml:space="preserve"> NOTEREF _Ref200358585 \h </w:instrText>
      </w:r>
      <w:r w:rsidRPr="006D19BE">
        <w:rPr>
          <w:sz w:val="23"/>
          <w:szCs w:val="23"/>
        </w:rPr>
      </w:r>
      <w:r>
        <w:rPr>
          <w:sz w:val="23"/>
          <w:szCs w:val="23"/>
        </w:rPr>
        <w:fldChar w:fldCharType="separate"/>
      </w:r>
      <w:r w:rsidR="00300213">
        <w:rPr>
          <w:sz w:val="23"/>
          <w:szCs w:val="23"/>
        </w:rPr>
        <w:t>148</w:t>
      </w:r>
      <w:r>
        <w:rPr>
          <w:sz w:val="23"/>
          <w:szCs w:val="23"/>
        </w:rPr>
        <w:fldChar w:fldCharType="end"/>
      </w:r>
      <w:r>
        <w:rPr>
          <w:sz w:val="23"/>
          <w:szCs w:val="23"/>
        </w:rPr>
        <w:t xml:space="preserve"> below.</w:t>
      </w:r>
    </w:p>
  </w:footnote>
  <w:footnote w:id="4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So in the photocopy provided by the </w:t>
      </w:r>
      <w:smartTag w:uri="urn:schemas-microsoft-com:office:smarttags" w:element="place">
        <w:smartTag w:uri="urn:schemas-microsoft-com:office:smarttags" w:element="PlaceName">
          <w:r w:rsidRPr="00EE6ED7">
            <w:rPr>
              <w:sz w:val="23"/>
              <w:szCs w:val="23"/>
            </w:rPr>
            <w:t>Hebrew</w:t>
          </w:r>
        </w:smartTag>
        <w:r w:rsidRPr="00EE6ED7">
          <w:rPr>
            <w:sz w:val="23"/>
            <w:szCs w:val="23"/>
          </w:rPr>
          <w:t xml:space="preserve"> </w:t>
        </w:r>
        <w:smartTag w:uri="urn:schemas-microsoft-com:office:smarttags" w:element="PlaceName">
          <w:r w:rsidRPr="00EE6ED7">
            <w:rPr>
              <w:sz w:val="23"/>
              <w:szCs w:val="23"/>
            </w:rPr>
            <w:t>Union</w:t>
          </w:r>
        </w:smartTag>
        <w:r w:rsidRPr="00EE6ED7">
          <w:rPr>
            <w:sz w:val="23"/>
            <w:szCs w:val="23"/>
          </w:rPr>
          <w:t xml:space="preserve"> </w:t>
        </w:r>
        <w:smartTag w:uri="urn:schemas-microsoft-com:office:smarttags" w:element="PlaceType">
          <w:r w:rsidRPr="00EE6ED7">
            <w:rPr>
              <w:sz w:val="23"/>
              <w:szCs w:val="23"/>
            </w:rPr>
            <w:t>College</w:t>
          </w:r>
        </w:smartTag>
      </w:smartTag>
      <w:r w:rsidRPr="00EE6ED7">
        <w:rPr>
          <w:sz w:val="23"/>
          <w:szCs w:val="23"/>
        </w:rPr>
        <w:t xml:space="preserve"> library. The edition (</w:t>
      </w:r>
      <w:r w:rsidRPr="00EE6ED7">
        <w:rPr>
          <w:i/>
          <w:sz w:val="23"/>
          <w:szCs w:val="23"/>
        </w:rPr>
        <w:t>Libro de Oracyones</w:t>
      </w:r>
      <w:r w:rsidRPr="00EE6ED7">
        <w:rPr>
          <w:sz w:val="23"/>
          <w:szCs w:val="23"/>
        </w:rPr>
        <w:t xml:space="preserve">, 170) has </w:t>
      </w:r>
      <w:r w:rsidRPr="004B2E4A">
        <w:rPr>
          <w:i/>
          <w:iCs/>
          <w:sz w:val="23"/>
          <w:szCs w:val="23"/>
        </w:rPr>
        <w:t>¿</w:t>
      </w:r>
      <w:r w:rsidRPr="00EE6ED7">
        <w:rPr>
          <w:i/>
          <w:sz w:val="23"/>
          <w:szCs w:val="23"/>
        </w:rPr>
        <w:t>Que a ti la mar que huiste, el Yarden buelueste atras?</w:t>
      </w:r>
    </w:p>
  </w:footnote>
  <w:footnote w:id="4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owe this point to Adina Moshavi and an anonymous reviewer.</w:t>
      </w:r>
    </w:p>
  </w:footnote>
  <w:footnote w:id="43">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section II above.</w:t>
      </w:r>
    </w:p>
  </w:footnote>
  <w:footnote w:id="4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Adina Moshavi </w:t>
      </w:r>
      <w:r>
        <w:rPr>
          <w:sz w:val="23"/>
          <w:szCs w:val="23"/>
        </w:rPr>
        <w:t xml:space="preserve">(email communication) </w:t>
      </w:r>
      <w:r w:rsidRPr="00EE6ED7">
        <w:rPr>
          <w:sz w:val="23"/>
          <w:szCs w:val="23"/>
        </w:rPr>
        <w:t xml:space="preserve">writes: “Your comment on the apparent meaninglessness of </w:t>
      </w:r>
      <w:r w:rsidRPr="00EE6ED7">
        <w:rPr>
          <w:sz w:val="23"/>
          <w:szCs w:val="23"/>
          <w:rtl/>
        </w:rPr>
        <w:t>ש-</w:t>
      </w:r>
      <w:r w:rsidRPr="00EE6ED7">
        <w:rPr>
          <w:sz w:val="23"/>
          <w:szCs w:val="23"/>
        </w:rPr>
        <w:t xml:space="preserve"> here reminds me of things I have read about discourse markers like ‘for,’ ‘therefore,’ ‘but,’ ‘however,’ etc. It appears that </w:t>
      </w:r>
      <w:r w:rsidRPr="00EE6ED7">
        <w:rPr>
          <w:sz w:val="23"/>
          <w:szCs w:val="23"/>
          <w:rtl/>
        </w:rPr>
        <w:t>ש-</w:t>
      </w:r>
      <w:r w:rsidRPr="00EE6ED7">
        <w:rPr>
          <w:sz w:val="23"/>
          <w:szCs w:val="23"/>
        </w:rPr>
        <w:t xml:space="preserve"> functions as a causal ‘discourse marker,’ specifying the relation between the question and the following sentences (like </w:t>
      </w:r>
      <w:r w:rsidRPr="00EE6ED7">
        <w:rPr>
          <w:sz w:val="23"/>
          <w:szCs w:val="23"/>
          <w:rtl/>
        </w:rPr>
        <w:t>הרי</w:t>
      </w:r>
      <w:r w:rsidRPr="00EE6ED7">
        <w:rPr>
          <w:sz w:val="23"/>
          <w:szCs w:val="23"/>
        </w:rPr>
        <w:t>). It is characteristic of discourse markers that they are always omissible, since the relation between the sentences can be inferred from the content of the sentences. A translation can omit the word ‘for’ and still understand the four sentences as grounds for the question rather than independent questions. Although omissible, the discourse marker is meaningful on the pragmatic level.”</w:t>
      </w:r>
    </w:p>
  </w:footnote>
  <w:footnote w:id="45">
    <w:p w:rsidR="00A465C3" w:rsidRPr="00EE6ED7" w:rsidRDefault="00A465C3" w:rsidP="00BF387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Interpretation B would be easier to analyze if it took </w:t>
      </w:r>
      <w:r w:rsidRPr="00EE6ED7">
        <w:rPr>
          <w:sz w:val="23"/>
          <w:szCs w:val="23"/>
          <w:rtl/>
        </w:rPr>
        <w:t>ש-</w:t>
      </w:r>
      <w:r w:rsidRPr="00EE6ED7">
        <w:rPr>
          <w:sz w:val="23"/>
          <w:szCs w:val="23"/>
        </w:rPr>
        <w:t xml:space="preserve"> to mean “in that”: “Why is this night different from all other nights in that..., in that..., in that..., in that...?” In that case, it would resemble interpretation A in taking the entire</w:t>
      </w:r>
      <w:r w:rsidRPr="00EE6ED7">
        <w:rPr>
          <w:sz w:val="23"/>
          <w:szCs w:val="23"/>
          <w:rtl/>
        </w:rPr>
        <w:t>מה נשתנה</w:t>
      </w:r>
      <w:r w:rsidRPr="00EE6ED7">
        <w:rPr>
          <w:sz w:val="23"/>
          <w:szCs w:val="23"/>
        </w:rPr>
        <w:t xml:space="preserve"> as one long sentence constituting a single question. However, it is difficult to find any unambiguous attestations of this reading, even though a few sources come tantalizingly close (Abraham Pereira Mendes and A. M. Friedman in section VI and </w:t>
      </w:r>
      <w:r w:rsidRPr="00EE6ED7">
        <w:rPr>
          <w:i/>
          <w:sz w:val="23"/>
          <w:szCs w:val="23"/>
        </w:rPr>
        <w:t>Tanya Rabbati</w:t>
      </w:r>
      <w:r w:rsidRPr="00EE6ED7">
        <w:rPr>
          <w:sz w:val="23"/>
          <w:szCs w:val="23"/>
        </w:rPr>
        <w:t xml:space="preserve"> in section VII below). In addition, I am not certain that </w:t>
      </w:r>
      <w:r w:rsidRPr="00EE6ED7">
        <w:rPr>
          <w:sz w:val="23"/>
          <w:szCs w:val="23"/>
          <w:rtl/>
        </w:rPr>
        <w:t>ש-</w:t>
      </w:r>
      <w:r w:rsidRPr="00EE6ED7">
        <w:rPr>
          <w:sz w:val="23"/>
          <w:szCs w:val="23"/>
        </w:rPr>
        <w:t xml:space="preserve"> can mean “in that” in Mishnaic Hebrew. I shall therefore have nothing further to say about this variant of interpretation B.</w:t>
      </w:r>
    </w:p>
  </w:footnote>
  <w:footnote w:id="46">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section VIII below.</w:t>
      </w:r>
    </w:p>
  </w:footnote>
  <w:footnote w:id="47">
    <w:p w:rsidR="00A465C3" w:rsidRPr="00EE6ED7" w:rsidRDefault="00A465C3" w:rsidP="00FF6767">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This passage from the Mekhilta and all of the ones below are cited according to Oxford MS. Marshall Or. 24 as transcribed in the </w:t>
      </w:r>
      <w:r>
        <w:rPr>
          <w:sz w:val="23"/>
          <w:szCs w:val="23"/>
        </w:rPr>
        <w:t>CD-ROM</w:t>
      </w:r>
      <w:r w:rsidRPr="00EE6ED7">
        <w:rPr>
          <w:sz w:val="23"/>
          <w:szCs w:val="23"/>
        </w:rPr>
        <w:t xml:space="preserve"> of the Historical Dictionary Project of the Academy of the Hebrew Language (</w:t>
      </w:r>
      <w:r w:rsidRPr="00EE6ED7">
        <w:rPr>
          <w:i/>
          <w:sz w:val="23"/>
          <w:szCs w:val="23"/>
        </w:rPr>
        <w:t>Maagarim</w:t>
      </w:r>
      <w:r>
        <w:rPr>
          <w:sz w:val="23"/>
          <w:szCs w:val="23"/>
        </w:rPr>
        <w:t xml:space="preserve">), although page numbers to the edition of </w:t>
      </w:r>
      <w:r w:rsidRPr="00EE6ED7">
        <w:rPr>
          <w:sz w:val="23"/>
          <w:szCs w:val="23"/>
        </w:rPr>
        <w:t>H. S. Horovitz and I. A. Rabin (Frankfurt am Main, 1931)</w:t>
      </w:r>
      <w:r>
        <w:rPr>
          <w:sz w:val="23"/>
          <w:szCs w:val="23"/>
        </w:rPr>
        <w:t xml:space="preserve"> have been provided for the reader’s convenience. </w:t>
      </w:r>
      <w:r w:rsidRPr="00EE6ED7">
        <w:rPr>
          <w:sz w:val="23"/>
          <w:szCs w:val="23"/>
        </w:rPr>
        <w:t xml:space="preserve"> Contrast the short version,</w:t>
      </w:r>
      <w:r w:rsidRPr="00EE6ED7">
        <w:rPr>
          <w:sz w:val="23"/>
          <w:szCs w:val="23"/>
          <w:rtl/>
        </w:rPr>
        <w:t>וכי מה נשתנית הודאה זו מכל הודאות שבתורה שלא נאמ' בה הודו לייי כי טוב כי לעולם חסדו</w:t>
      </w:r>
      <w:r w:rsidRPr="00EE6ED7">
        <w:rPr>
          <w:sz w:val="23"/>
          <w:szCs w:val="23"/>
        </w:rPr>
        <w:t xml:space="preserve">, in </w:t>
      </w:r>
      <w:r w:rsidRPr="00EE6ED7">
        <w:rPr>
          <w:i/>
          <w:sz w:val="23"/>
          <w:szCs w:val="23"/>
        </w:rPr>
        <w:t>Mekhilta d’Rabbi Šim‘on b. Jochai</w:t>
      </w:r>
      <w:r w:rsidRPr="00EE6ED7">
        <w:rPr>
          <w:sz w:val="23"/>
          <w:szCs w:val="23"/>
        </w:rPr>
        <w:t>, ed. J. N. Epstein and E. Z. Melamed (Jerusalem: Hillel Press, n.d.), 72.</w:t>
      </w:r>
    </w:p>
  </w:footnote>
  <w:footnote w:id="4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This type of rhetorical question is sometimes called a “reversed polarity question.” I am indebted to Adina Moshavi for this term.</w:t>
      </w:r>
    </w:p>
  </w:footnote>
  <w:footnote w:id="4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in sections V and VI below.</w:t>
      </w:r>
    </w:p>
  </w:footnote>
  <w:footnote w:id="50">
    <w:p w:rsidR="00A465C3" w:rsidRPr="00EE6ED7" w:rsidRDefault="00A465C3" w:rsidP="006D19B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the discussion below. Menahem Kahana </w:t>
      </w:r>
      <w:r>
        <w:rPr>
          <w:sz w:val="23"/>
          <w:szCs w:val="23"/>
        </w:rPr>
        <w:t>(email communication) n</w:t>
      </w:r>
      <w:r w:rsidRPr="00EE6ED7">
        <w:rPr>
          <w:sz w:val="23"/>
          <w:szCs w:val="23"/>
        </w:rPr>
        <w:t xml:space="preserve">otes that this example comes from the scholion of </w:t>
      </w:r>
      <w:r w:rsidRPr="00EE6ED7">
        <w:rPr>
          <w:i/>
          <w:sz w:val="23"/>
          <w:szCs w:val="23"/>
        </w:rPr>
        <w:t>Megillat Ta</w:t>
      </w:r>
      <w:r w:rsidRPr="00EE6ED7">
        <w:rPr>
          <w:sz w:val="23"/>
          <w:szCs w:val="23"/>
        </w:rPr>
        <w:t>‘</w:t>
      </w:r>
      <w:r w:rsidRPr="00EE6ED7">
        <w:rPr>
          <w:i/>
          <w:sz w:val="23"/>
          <w:szCs w:val="23"/>
        </w:rPr>
        <w:t>anit</w:t>
      </w:r>
      <w:r w:rsidRPr="00EE6ED7">
        <w:rPr>
          <w:sz w:val="23"/>
          <w:szCs w:val="23"/>
        </w:rPr>
        <w:t xml:space="preserve">; for variant readings, see </w:t>
      </w:r>
      <w:r w:rsidRPr="00EE6ED7">
        <w:rPr>
          <w:sz w:val="23"/>
          <w:szCs w:val="23"/>
          <w:rtl/>
        </w:rPr>
        <w:t>מגילת תענית</w:t>
      </w:r>
      <w:r w:rsidRPr="00EE6ED7">
        <w:rPr>
          <w:sz w:val="23"/>
          <w:szCs w:val="23"/>
        </w:rPr>
        <w:t>, ed. Vered Noam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Yad Ben-Zvi, 2003), 129, 156–57, 312.</w:t>
      </w:r>
    </w:p>
  </w:footnote>
  <w:footnote w:id="51">
    <w:p w:rsidR="00A465C3" w:rsidRPr="00EE6ED7" w:rsidRDefault="00A465C3" w:rsidP="005174B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Cf. </w:t>
      </w:r>
      <w:r w:rsidRPr="005174BD">
        <w:rPr>
          <w:rFonts w:ascii="CalSemitic" w:hAnsi="CalSemitic"/>
          <w:szCs w:val="23"/>
        </w:rPr>
        <w:t>-</w:t>
      </w:r>
      <w:r w:rsidRPr="00EE6ED7">
        <w:rPr>
          <w:sz w:val="23"/>
          <w:szCs w:val="23"/>
        </w:rPr>
        <w:t>ullin 60b.</w:t>
      </w:r>
    </w:p>
  </w:footnote>
  <w:footnote w:id="52">
    <w:p w:rsidR="00A465C3" w:rsidRPr="00EE6ED7" w:rsidRDefault="00A465C3" w:rsidP="0029161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But see n. </w:t>
      </w:r>
      <w:r>
        <w:rPr>
          <w:sz w:val="23"/>
          <w:szCs w:val="23"/>
        </w:rPr>
        <w:fldChar w:fldCharType="begin"/>
      </w:r>
      <w:r>
        <w:rPr>
          <w:sz w:val="23"/>
          <w:szCs w:val="23"/>
        </w:rPr>
        <w:instrText xml:space="preserve"> NOTEREF _Ref200357918 \h </w:instrText>
      </w:r>
      <w:r w:rsidRPr="0029161D">
        <w:rPr>
          <w:sz w:val="23"/>
          <w:szCs w:val="23"/>
        </w:rPr>
      </w:r>
      <w:r>
        <w:rPr>
          <w:sz w:val="23"/>
          <w:szCs w:val="23"/>
        </w:rPr>
        <w:fldChar w:fldCharType="separate"/>
      </w:r>
      <w:r w:rsidR="00300213">
        <w:rPr>
          <w:sz w:val="23"/>
          <w:szCs w:val="23"/>
        </w:rPr>
        <w:t>57</w:t>
      </w:r>
      <w:r>
        <w:rPr>
          <w:sz w:val="23"/>
          <w:szCs w:val="23"/>
        </w:rPr>
        <w:fldChar w:fldCharType="end"/>
      </w:r>
      <w:r w:rsidRPr="00EE6ED7">
        <w:rPr>
          <w:sz w:val="23"/>
          <w:szCs w:val="23"/>
        </w:rPr>
        <w:t xml:space="preserve"> below.</w:t>
      </w:r>
    </w:p>
  </w:footnote>
  <w:footnote w:id="53">
    <w:p w:rsidR="00A465C3" w:rsidRPr="00EE6ED7" w:rsidRDefault="00A465C3" w:rsidP="006D19B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495FDE">
        <w:rPr>
          <w:sz w:val="23"/>
          <w:szCs w:val="23"/>
        </w:rPr>
        <w:t xml:space="preserve">The question is found only in </w:t>
      </w:r>
      <w:r>
        <w:rPr>
          <w:sz w:val="23"/>
          <w:szCs w:val="23"/>
        </w:rPr>
        <w:t>this edition.</w:t>
      </w:r>
    </w:p>
  </w:footnote>
  <w:footnote w:id="54">
    <w:p w:rsidR="00A465C3" w:rsidRPr="00EE6ED7" w:rsidRDefault="00A465C3" w:rsidP="00695BA0">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495FDE">
        <w:rPr>
          <w:sz w:val="23"/>
          <w:szCs w:val="23"/>
          <w:vertAlign w:val="superscript"/>
        </w:rPr>
        <w:t> </w:t>
      </w:r>
      <w:r w:rsidRPr="00EE6ED7">
        <w:rPr>
          <w:sz w:val="23"/>
          <w:szCs w:val="23"/>
        </w:rPr>
        <w:t xml:space="preserve">The addition of </w:t>
      </w:r>
      <w:r w:rsidRPr="00EE6ED7">
        <w:rPr>
          <w:sz w:val="23"/>
          <w:szCs w:val="23"/>
          <w:rtl/>
        </w:rPr>
        <w:t>במה</w:t>
      </w:r>
      <w:r w:rsidRPr="00EE6ED7">
        <w:rPr>
          <w:sz w:val="23"/>
          <w:szCs w:val="23"/>
        </w:rPr>
        <w:t xml:space="preserve"> is found only in this edition.</w:t>
      </w:r>
    </w:p>
  </w:footnote>
  <w:footnote w:id="55">
    <w:p w:rsidR="00A465C3" w:rsidRPr="00EE6ED7" w:rsidRDefault="00A465C3" w:rsidP="00F2212C">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Cf. </w:t>
      </w:r>
      <w:r w:rsidRPr="00EE6ED7">
        <w:rPr>
          <w:sz w:val="23"/>
          <w:szCs w:val="23"/>
          <w:rtl/>
        </w:rPr>
        <w:t>רוצה שיתן</w:t>
      </w:r>
      <w:r w:rsidRPr="00EE6ED7">
        <w:rPr>
          <w:sz w:val="23"/>
          <w:szCs w:val="23"/>
        </w:rPr>
        <w:t xml:space="preserve"> (m.Avot 5:13) alternating with </w:t>
      </w:r>
      <w:r w:rsidRPr="00EE6ED7">
        <w:rPr>
          <w:sz w:val="23"/>
          <w:szCs w:val="23"/>
          <w:rtl/>
        </w:rPr>
        <w:t>רוצה ליתן</w:t>
      </w:r>
      <w:r w:rsidRPr="00EE6ED7">
        <w:rPr>
          <w:sz w:val="23"/>
          <w:szCs w:val="23"/>
        </w:rPr>
        <w:t xml:space="preserve"> (m.Makkot 1:1) and</w:t>
      </w:r>
      <w:r w:rsidRPr="00EE6ED7">
        <w:rPr>
          <w:sz w:val="23"/>
          <w:szCs w:val="23"/>
          <w:rtl/>
        </w:rPr>
        <w:t>יכול הוא שיאמר</w:t>
      </w:r>
      <w:r w:rsidRPr="00EE6ED7">
        <w:rPr>
          <w:sz w:val="23"/>
          <w:szCs w:val="23"/>
        </w:rPr>
        <w:t xml:space="preserve"> (m.Ketub 6:2) alternating with </w:t>
      </w:r>
      <w:r w:rsidRPr="00EE6ED7">
        <w:rPr>
          <w:sz w:val="23"/>
          <w:szCs w:val="23"/>
          <w:rtl/>
        </w:rPr>
        <w:t>יכול הוא לומר</w:t>
      </w:r>
      <w:r w:rsidRPr="00EE6ED7">
        <w:rPr>
          <w:sz w:val="23"/>
          <w:szCs w:val="23"/>
        </w:rPr>
        <w:t xml:space="preserve"> (m.Demai 6:8). But see n. </w:t>
      </w:r>
      <w:r>
        <w:rPr>
          <w:sz w:val="23"/>
          <w:szCs w:val="23"/>
        </w:rPr>
        <w:fldChar w:fldCharType="begin"/>
      </w:r>
      <w:r>
        <w:rPr>
          <w:sz w:val="23"/>
          <w:szCs w:val="23"/>
        </w:rPr>
        <w:instrText xml:space="preserve"> NOTEREF _Ref200358136 \h </w:instrText>
      </w:r>
      <w:r w:rsidRPr="0029161D">
        <w:rPr>
          <w:sz w:val="23"/>
          <w:szCs w:val="23"/>
        </w:rPr>
      </w:r>
      <w:r>
        <w:rPr>
          <w:sz w:val="23"/>
          <w:szCs w:val="23"/>
        </w:rPr>
        <w:fldChar w:fldCharType="separate"/>
      </w:r>
      <w:r w:rsidR="00300213">
        <w:rPr>
          <w:sz w:val="23"/>
          <w:szCs w:val="23"/>
        </w:rPr>
        <w:t>59</w:t>
      </w:r>
      <w:r>
        <w:rPr>
          <w:sz w:val="23"/>
          <w:szCs w:val="23"/>
        </w:rPr>
        <w:fldChar w:fldCharType="end"/>
      </w:r>
      <w:r w:rsidRPr="00EE6ED7">
        <w:rPr>
          <w:sz w:val="23"/>
          <w:szCs w:val="23"/>
        </w:rPr>
        <w:t xml:space="preserve"> below.</w:t>
      </w:r>
    </w:p>
  </w:footnote>
  <w:footnote w:id="56">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Jacob Mann, “Some Midrashic Genizah Fragments,” </w:t>
      </w:r>
      <w:r w:rsidRPr="00EE6ED7">
        <w:rPr>
          <w:i/>
          <w:sz w:val="23"/>
          <w:szCs w:val="23"/>
        </w:rPr>
        <w:t>HUCA</w:t>
      </w:r>
      <w:r w:rsidRPr="00EE6ED7">
        <w:rPr>
          <w:sz w:val="23"/>
          <w:szCs w:val="23"/>
        </w:rPr>
        <w:t xml:space="preserve"> 14 (1939), 331.</w:t>
      </w:r>
    </w:p>
  </w:footnote>
  <w:footnote w:id="57">
    <w:p w:rsidR="00A465C3" w:rsidRPr="00EE6ED7" w:rsidRDefault="00A465C3" w:rsidP="00010807">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Menahem Kahana (email communication)</w:t>
      </w:r>
      <w:r>
        <w:rPr>
          <w:sz w:val="23"/>
          <w:szCs w:val="23"/>
        </w:rPr>
        <w:t xml:space="preserve"> notes that</w:t>
      </w:r>
      <w:r w:rsidRPr="00EE6ED7">
        <w:rPr>
          <w:sz w:val="23"/>
          <w:szCs w:val="23"/>
        </w:rPr>
        <w:t xml:space="preserve"> this passage comes from Midrash Yelammedenu.</w:t>
      </w:r>
    </w:p>
  </w:footnote>
  <w:footnote w:id="5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Shamma Friedman for the latter reference.</w:t>
      </w:r>
    </w:p>
  </w:footnote>
  <w:footnote w:id="59">
    <w:p w:rsidR="00A465C3" w:rsidRPr="00EE6ED7" w:rsidRDefault="00A465C3" w:rsidP="00A82DE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the Soncino Talmud, passim. Cf. Eliezer Ben Yehuda</w:t>
      </w:r>
      <w:r>
        <w:rPr>
          <w:sz w:val="23"/>
          <w:szCs w:val="23"/>
        </w:rPr>
        <w:t>h</w:t>
      </w:r>
      <w:r w:rsidRPr="00EE6ED7">
        <w:rPr>
          <w:sz w:val="23"/>
          <w:szCs w:val="23"/>
        </w:rPr>
        <w:t>,</w:t>
      </w:r>
      <w:r w:rsidRPr="00EE6ED7">
        <w:rPr>
          <w:sz w:val="23"/>
          <w:szCs w:val="23"/>
          <w:rtl/>
        </w:rPr>
        <w:t>מלון הלשון העברית הישנה והחדשה</w:t>
      </w:r>
      <w:r w:rsidRPr="00EE6ED7">
        <w:rPr>
          <w:sz w:val="23"/>
          <w:szCs w:val="23"/>
        </w:rPr>
        <w:t xml:space="preserve"> (New York–London: T. Yoseloff, 1960), 2821b</w:t>
      </w:r>
      <w:r>
        <w:rPr>
          <w:sz w:val="23"/>
          <w:szCs w:val="23"/>
        </w:rPr>
        <w:t>,</w:t>
      </w:r>
      <w:r w:rsidRPr="00EE6ED7">
        <w:rPr>
          <w:sz w:val="23"/>
          <w:szCs w:val="23"/>
        </w:rPr>
        <w:t xml:space="preserve"> s.v. </w:t>
      </w:r>
      <w:r w:rsidRPr="00EE6ED7">
        <w:rPr>
          <w:sz w:val="23"/>
          <w:szCs w:val="23"/>
          <w:rtl/>
        </w:rPr>
        <w:t>מה</w:t>
      </w:r>
      <w:r w:rsidRPr="00EE6ED7">
        <w:rPr>
          <w:sz w:val="23"/>
          <w:szCs w:val="23"/>
        </w:rPr>
        <w:t xml:space="preserve">. </w:t>
      </w:r>
    </w:p>
  </w:footnote>
  <w:footnote w:id="60">
    <w:p w:rsidR="00A465C3" w:rsidRPr="00EE6ED7" w:rsidRDefault="00A465C3" w:rsidP="00BF387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In the talmudic example, it seems likely that </w:t>
      </w:r>
      <w:r w:rsidRPr="00EE6ED7">
        <w:rPr>
          <w:sz w:val="23"/>
          <w:szCs w:val="23"/>
          <w:rtl/>
        </w:rPr>
        <w:t>מפני</w:t>
      </w:r>
      <w:r w:rsidRPr="00EE6ED7">
        <w:rPr>
          <w:sz w:val="23"/>
          <w:szCs w:val="23"/>
        </w:rPr>
        <w:t xml:space="preserve"> is an interpretive gloss added by copyists. It is missing in </w:t>
      </w:r>
      <w:r>
        <w:rPr>
          <w:sz w:val="23"/>
          <w:szCs w:val="23"/>
        </w:rPr>
        <w:t xml:space="preserve">Mss. </w:t>
      </w:r>
      <w:r w:rsidRPr="00EE6ED7">
        <w:rPr>
          <w:sz w:val="23"/>
          <w:szCs w:val="23"/>
        </w:rPr>
        <w:t>Munich (</w:t>
      </w:r>
      <w:r w:rsidRPr="00EE6ED7">
        <w:rPr>
          <w:sz w:val="23"/>
          <w:szCs w:val="23"/>
          <w:rtl/>
        </w:rPr>
        <w:t>א"ר יצחק מאי שנא מנח' דכת' בה</w:t>
      </w:r>
      <w:r>
        <w:rPr>
          <w:sz w:val="23"/>
          <w:szCs w:val="23"/>
        </w:rPr>
        <w:t xml:space="preserve"> </w:t>
      </w:r>
      <w:r w:rsidRPr="00EE6ED7">
        <w:rPr>
          <w:sz w:val="23"/>
          <w:szCs w:val="23"/>
          <w:rtl/>
        </w:rPr>
        <w:t>נפש</w:t>
      </w:r>
      <w:r w:rsidRPr="00EE6ED7">
        <w:rPr>
          <w:sz w:val="23"/>
          <w:szCs w:val="23"/>
        </w:rPr>
        <w:t>) and Paris (</w:t>
      </w:r>
      <w:r w:rsidRPr="00EE6ED7">
        <w:rPr>
          <w:sz w:val="23"/>
          <w:szCs w:val="23"/>
          <w:rtl/>
        </w:rPr>
        <w:t>א"ר יצחק מאי נשתנת מנחה שנ' בה נפש</w:t>
      </w:r>
      <w:r w:rsidRPr="00EE6ED7">
        <w:rPr>
          <w:sz w:val="23"/>
          <w:szCs w:val="23"/>
        </w:rPr>
        <w:t xml:space="preserve">; I am indebted to </w:t>
      </w:r>
      <w:smartTag w:uri="urn:schemas-microsoft-com:office:smarttags" w:element="PersonName">
        <w:r w:rsidRPr="00EE6ED7">
          <w:rPr>
            <w:sz w:val="23"/>
            <w:szCs w:val="23"/>
          </w:rPr>
          <w:t>Leib Moscovitz</w:t>
        </w:r>
      </w:smartTag>
      <w:r w:rsidRPr="00EE6ED7">
        <w:rPr>
          <w:sz w:val="23"/>
          <w:szCs w:val="23"/>
        </w:rPr>
        <w:t xml:space="preserve"> for this reference). Even in our printed edition, the question is followed by a second, similar question without </w:t>
      </w:r>
      <w:r w:rsidRPr="00EE6ED7">
        <w:rPr>
          <w:sz w:val="23"/>
          <w:szCs w:val="23"/>
          <w:rtl/>
        </w:rPr>
        <w:t>מפני</w:t>
      </w:r>
      <w:r w:rsidRPr="00EE6ED7">
        <w:rPr>
          <w:sz w:val="23"/>
          <w:szCs w:val="23"/>
        </w:rPr>
        <w:t xml:space="preserve">, attributed to the same authority: </w:t>
      </w:r>
      <w:r w:rsidRPr="00EE6ED7">
        <w:rPr>
          <w:sz w:val="23"/>
          <w:szCs w:val="23"/>
          <w:rtl/>
        </w:rPr>
        <w:t>א"ר יצחק: מה נשתנית מנחה שנאמר בה חמשה מיני טיגון הללו?</w:t>
      </w:r>
      <w:r w:rsidRPr="00EE6ED7">
        <w:rPr>
          <w:sz w:val="23"/>
          <w:szCs w:val="23"/>
        </w:rPr>
        <w:t xml:space="preserve">. As for the example from Lam. Rab., Paul Mandel </w:t>
      </w:r>
      <w:r>
        <w:rPr>
          <w:sz w:val="23"/>
          <w:szCs w:val="23"/>
        </w:rPr>
        <w:t>(</w:t>
      </w:r>
      <w:r w:rsidRPr="00EE6ED7">
        <w:rPr>
          <w:sz w:val="23"/>
          <w:szCs w:val="23"/>
        </w:rPr>
        <w:t xml:space="preserve">email </w:t>
      </w:r>
      <w:r>
        <w:rPr>
          <w:sz w:val="23"/>
          <w:szCs w:val="23"/>
        </w:rPr>
        <w:t>communication) writes</w:t>
      </w:r>
      <w:r w:rsidRPr="00EE6ED7">
        <w:rPr>
          <w:sz w:val="23"/>
          <w:szCs w:val="23"/>
        </w:rPr>
        <w:t>: “First of all, that part of the</w:t>
      </w:r>
      <w:r>
        <w:rPr>
          <w:sz w:val="23"/>
          <w:szCs w:val="23"/>
        </w:rPr>
        <w:t xml:space="preserve"> </w:t>
      </w:r>
      <w:r w:rsidRPr="00EE6ED7">
        <w:rPr>
          <w:i/>
          <w:sz w:val="23"/>
          <w:szCs w:val="23"/>
        </w:rPr>
        <w:t>peti</w:t>
      </w:r>
      <w:r w:rsidRPr="00B96777">
        <w:rPr>
          <w:rFonts w:ascii="CalSemitic" w:hAnsi="CalSemitic"/>
          <w:i/>
          <w:iCs/>
          <w:szCs w:val="23"/>
        </w:rPr>
        <w:t>x</w:t>
      </w:r>
      <w:r w:rsidRPr="00EE6ED7">
        <w:rPr>
          <w:i/>
          <w:sz w:val="23"/>
          <w:szCs w:val="23"/>
        </w:rPr>
        <w:t>a</w:t>
      </w:r>
      <w:r w:rsidRPr="00EE6ED7">
        <w:rPr>
          <w:sz w:val="23"/>
          <w:szCs w:val="23"/>
        </w:rPr>
        <w:t xml:space="preserve"> 24 is not attested in the manuscripts to the ‘Ashkenazi’ recension, nor in any genizah fragments. It also has no parallels in the early midrashic-talmudic corpus. It is certainly a late composition, appended onto this </w:t>
      </w:r>
      <w:r w:rsidRPr="00EE6ED7">
        <w:rPr>
          <w:i/>
          <w:sz w:val="23"/>
          <w:szCs w:val="23"/>
        </w:rPr>
        <w:t>peti</w:t>
      </w:r>
      <w:r w:rsidRPr="00B96777">
        <w:rPr>
          <w:rFonts w:ascii="CalSemitic" w:hAnsi="CalSemitic"/>
          <w:i/>
          <w:iCs/>
          <w:szCs w:val="23"/>
        </w:rPr>
        <w:t>x</w:t>
      </w:r>
      <w:r w:rsidRPr="00EE6ED7">
        <w:rPr>
          <w:i/>
          <w:sz w:val="23"/>
          <w:szCs w:val="23"/>
        </w:rPr>
        <w:t>a</w:t>
      </w:r>
      <w:r w:rsidRPr="00EE6ED7">
        <w:rPr>
          <w:sz w:val="23"/>
          <w:szCs w:val="23"/>
        </w:rPr>
        <w:t xml:space="preserve">. That phrase, with </w:t>
      </w:r>
      <w:r w:rsidRPr="00EE6ED7">
        <w:rPr>
          <w:sz w:val="23"/>
          <w:szCs w:val="23"/>
          <w:rtl/>
        </w:rPr>
        <w:t>מפני מה</w:t>
      </w:r>
      <w:r w:rsidRPr="00EE6ED7">
        <w:rPr>
          <w:sz w:val="23"/>
          <w:szCs w:val="23"/>
        </w:rPr>
        <w:t>, does, however, appear in those manuscripts (</w:t>
      </w:r>
      <w:smartTag w:uri="urn:schemas-microsoft-com:office:smarttags" w:element="City">
        <w:r w:rsidRPr="00EE6ED7">
          <w:rPr>
            <w:sz w:val="23"/>
            <w:szCs w:val="23"/>
          </w:rPr>
          <w:t>Mun</w:t>
        </w:r>
        <w:r>
          <w:rPr>
            <w:sz w:val="23"/>
            <w:szCs w:val="23"/>
          </w:rPr>
          <w:t>ich</w:t>
        </w:r>
      </w:smartTag>
      <w:r w:rsidRPr="00EE6ED7">
        <w:rPr>
          <w:sz w:val="23"/>
          <w:szCs w:val="23"/>
        </w:rPr>
        <w:t xml:space="preserve"> 229, </w:t>
      </w:r>
      <w:smartTag w:uri="urn:schemas-microsoft-com:office:smarttags" w:element="City">
        <w:r w:rsidRPr="00EE6ED7">
          <w:rPr>
            <w:sz w:val="23"/>
            <w:szCs w:val="23"/>
          </w:rPr>
          <w:t>Oxford</w:t>
        </w:r>
      </w:smartTag>
      <w:r w:rsidRPr="00EE6ED7">
        <w:rPr>
          <w:sz w:val="23"/>
          <w:szCs w:val="23"/>
        </w:rPr>
        <w:t xml:space="preserve"> 164 and </w:t>
      </w:r>
      <w:smartTag w:uri="urn:schemas-microsoft-com:office:smarttags" w:element="City">
        <w:smartTag w:uri="urn:schemas-microsoft-com:office:smarttags" w:element="place">
          <w:r w:rsidRPr="00EE6ED7">
            <w:rPr>
              <w:sz w:val="23"/>
              <w:szCs w:val="23"/>
            </w:rPr>
            <w:t>Parma</w:t>
          </w:r>
        </w:smartTag>
      </w:smartTag>
      <w:r w:rsidRPr="00EE6ED7">
        <w:rPr>
          <w:sz w:val="23"/>
          <w:szCs w:val="23"/>
        </w:rPr>
        <w:t>, de Rossi 1408) that have this addition; as such it also appears in the printed versions, starting from the editio princeps.”</w:t>
      </w:r>
    </w:p>
  </w:footnote>
  <w:footnote w:id="6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Shamma Friedman for both of these parallels.</w:t>
      </w:r>
    </w:p>
  </w:footnote>
  <w:footnote w:id="62">
    <w:p w:rsidR="00A465C3" w:rsidRPr="00EE6ED7" w:rsidRDefault="00A465C3" w:rsidP="00A82DE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Shamma Friedman (email communication) argues that it is secondary, noting that both examples of </w:t>
      </w:r>
      <w:r w:rsidRPr="00EE6ED7">
        <w:rPr>
          <w:sz w:val="23"/>
          <w:szCs w:val="23"/>
          <w:rtl/>
        </w:rPr>
        <w:t>וכי מה נשתנה...</w:t>
      </w:r>
      <w:r>
        <w:rPr>
          <w:rFonts w:hint="cs"/>
          <w:sz w:val="23"/>
          <w:szCs w:val="23"/>
          <w:rtl/>
        </w:rPr>
        <w:t xml:space="preserve"> </w:t>
      </w:r>
      <w:r w:rsidRPr="00EE6ED7">
        <w:rPr>
          <w:sz w:val="23"/>
          <w:szCs w:val="23"/>
          <w:rtl/>
        </w:rPr>
        <w:t>ל-...</w:t>
      </w:r>
      <w:r w:rsidRPr="00EE6ED7">
        <w:rPr>
          <w:sz w:val="23"/>
          <w:szCs w:val="23"/>
        </w:rPr>
        <w:t xml:space="preserve"> have textual variants of the form</w:t>
      </w:r>
      <w:r w:rsidRPr="00EE6ED7">
        <w:rPr>
          <w:sz w:val="23"/>
          <w:szCs w:val="23"/>
          <w:rtl/>
        </w:rPr>
        <w:t>מה ראה...</w:t>
      </w:r>
      <w:r>
        <w:rPr>
          <w:rFonts w:hint="cs"/>
          <w:sz w:val="23"/>
          <w:szCs w:val="23"/>
          <w:rtl/>
        </w:rPr>
        <w:t xml:space="preserve"> </w:t>
      </w:r>
      <w:r w:rsidRPr="00EE6ED7">
        <w:rPr>
          <w:sz w:val="23"/>
          <w:szCs w:val="23"/>
          <w:rtl/>
        </w:rPr>
        <w:t>ל-...</w:t>
      </w:r>
      <w:r w:rsidRPr="00EE6ED7">
        <w:rPr>
          <w:sz w:val="23"/>
          <w:szCs w:val="23"/>
        </w:rPr>
        <w:t xml:space="preserve"> in other manuscripts and/or recensions. For the replacement </w:t>
      </w:r>
      <w:r>
        <w:rPr>
          <w:sz w:val="23"/>
          <w:szCs w:val="23"/>
        </w:rPr>
        <w:t xml:space="preserve">of </w:t>
      </w:r>
      <w:r>
        <w:rPr>
          <w:sz w:val="23"/>
          <w:szCs w:val="23"/>
        </w:rPr>
        <w:br/>
      </w:r>
      <w:r>
        <w:rPr>
          <w:rFonts w:hint="cs"/>
          <w:sz w:val="23"/>
          <w:szCs w:val="23"/>
          <w:rtl/>
        </w:rPr>
        <w:t>מה ראה</w:t>
      </w:r>
      <w:r>
        <w:rPr>
          <w:sz w:val="23"/>
          <w:szCs w:val="23"/>
        </w:rPr>
        <w:t xml:space="preserve"> </w:t>
      </w:r>
      <w:r w:rsidRPr="00EE6ED7">
        <w:rPr>
          <w:sz w:val="23"/>
          <w:szCs w:val="23"/>
        </w:rPr>
        <w:t xml:space="preserve">with </w:t>
      </w:r>
      <w:r w:rsidRPr="00EE6ED7">
        <w:rPr>
          <w:sz w:val="23"/>
          <w:szCs w:val="23"/>
          <w:rtl/>
        </w:rPr>
        <w:t>מה נשתנה</w:t>
      </w:r>
      <w:r w:rsidRPr="00EE6ED7">
        <w:rPr>
          <w:sz w:val="23"/>
          <w:szCs w:val="23"/>
        </w:rPr>
        <w:t xml:space="preserve"> in the Talmud, see W. Bacher, “Eine verkannte Redensart in Genesis 20,10,” </w:t>
      </w:r>
      <w:r w:rsidRPr="00EE6ED7">
        <w:rPr>
          <w:i/>
          <w:sz w:val="23"/>
          <w:szCs w:val="23"/>
        </w:rPr>
        <w:t>ZAW</w:t>
      </w:r>
      <w:r w:rsidRPr="00EE6ED7">
        <w:rPr>
          <w:sz w:val="23"/>
          <w:szCs w:val="23"/>
        </w:rPr>
        <w:t xml:space="preserve"> 19 (1881), 348.</w:t>
      </w:r>
    </w:p>
  </w:footnote>
  <w:footnote w:id="63">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Bacher, </w:t>
      </w:r>
      <w:r w:rsidRPr="00EE6ED7">
        <w:rPr>
          <w:i/>
          <w:sz w:val="23"/>
          <w:szCs w:val="23"/>
        </w:rPr>
        <w:t>Terminologie</w:t>
      </w:r>
      <w:r w:rsidRPr="00EE6ED7">
        <w:rPr>
          <w:sz w:val="23"/>
          <w:szCs w:val="23"/>
        </w:rPr>
        <w:t xml:space="preserve">, 2. 226; Yalon, </w:t>
      </w:r>
      <w:r w:rsidRPr="00EE6ED7">
        <w:rPr>
          <w:sz w:val="23"/>
          <w:szCs w:val="23"/>
          <w:rtl/>
        </w:rPr>
        <w:t>מבוא</w:t>
      </w:r>
      <w:r w:rsidRPr="00EE6ED7">
        <w:rPr>
          <w:sz w:val="23"/>
          <w:szCs w:val="23"/>
        </w:rPr>
        <w:t>, 107; M</w:t>
      </w:r>
      <w:r>
        <w:rPr>
          <w:sz w:val="23"/>
          <w:szCs w:val="23"/>
        </w:rPr>
        <w:t>ichael</w:t>
      </w:r>
      <w:r w:rsidRPr="00EE6ED7">
        <w:rPr>
          <w:sz w:val="23"/>
          <w:szCs w:val="23"/>
        </w:rPr>
        <w:t xml:space="preserve"> Sokoloff, </w:t>
      </w:r>
      <w:r w:rsidRPr="00EE6ED7">
        <w:rPr>
          <w:i/>
          <w:sz w:val="23"/>
          <w:szCs w:val="23"/>
        </w:rPr>
        <w:t>A Dictionary of Jewish Babylonian Aramaic of the Talmudic and Geonic Periods</w:t>
      </w:r>
      <w:r w:rsidRPr="00EE6ED7">
        <w:rPr>
          <w:sz w:val="23"/>
          <w:szCs w:val="23"/>
        </w:rPr>
        <w:t xml:space="preserve"> (Ramat-Gan: Bar Ilan University Press, 2002), 1164a.</w:t>
      </w:r>
    </w:p>
  </w:footnote>
  <w:footnote w:id="64">
    <w:p w:rsidR="00A465C3" w:rsidRPr="00EE6ED7" w:rsidRDefault="00A465C3" w:rsidP="000C73D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a similar example, see </w:t>
      </w:r>
      <w:r w:rsidRPr="00971E65">
        <w:rPr>
          <w:iCs/>
          <w:sz w:val="23"/>
          <w:szCs w:val="23"/>
        </w:rPr>
        <w:t>Mekhilta</w:t>
      </w:r>
      <w:r w:rsidRPr="00EE6ED7">
        <w:rPr>
          <w:sz w:val="23"/>
          <w:szCs w:val="23"/>
        </w:rPr>
        <w:t xml:space="preserve"> </w:t>
      </w:r>
      <w:r>
        <w:rPr>
          <w:sz w:val="23"/>
          <w:szCs w:val="23"/>
        </w:rPr>
        <w:t xml:space="preserve">(ed. Horovitz and </w:t>
      </w:r>
      <w:r w:rsidRPr="00EE6ED7">
        <w:rPr>
          <w:sz w:val="23"/>
          <w:szCs w:val="23"/>
        </w:rPr>
        <w:t xml:space="preserve">Rabin, </w:t>
      </w:r>
      <w:r>
        <w:rPr>
          <w:sz w:val="23"/>
          <w:szCs w:val="23"/>
        </w:rPr>
        <w:t>6)</w:t>
      </w:r>
      <w:r w:rsidRPr="00EE6ED7">
        <w:rPr>
          <w:sz w:val="23"/>
          <w:szCs w:val="23"/>
        </w:rPr>
        <w:t xml:space="preserve">, where Baruch b. Neriah “complains”: </w:t>
      </w:r>
      <w:r w:rsidRPr="00EE6ED7">
        <w:rPr>
          <w:sz w:val="23"/>
          <w:szCs w:val="23"/>
          <w:rtl/>
        </w:rPr>
        <w:t>מה נשתניתי מכל תלמידי הנביאים</w:t>
      </w:r>
      <w:r w:rsidRPr="00EE6ED7">
        <w:rPr>
          <w:sz w:val="23"/>
          <w:szCs w:val="23"/>
        </w:rPr>
        <w:t>.</w:t>
      </w:r>
    </w:p>
  </w:footnote>
  <w:footnote w:id="65">
    <w:p w:rsidR="00A465C3" w:rsidRPr="00EE6ED7" w:rsidRDefault="00A465C3" w:rsidP="00342445">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The manuscripts have the archaic form </w:t>
      </w:r>
      <w:r w:rsidRPr="00EE6ED7">
        <w:rPr>
          <w:sz w:val="23"/>
          <w:szCs w:val="23"/>
          <w:rtl/>
        </w:rPr>
        <w:t>שנת</w:t>
      </w:r>
      <w:r w:rsidRPr="00EE6ED7">
        <w:rPr>
          <w:sz w:val="23"/>
          <w:szCs w:val="23"/>
        </w:rPr>
        <w:t xml:space="preserve"> instead of </w:t>
      </w:r>
      <w:r w:rsidRPr="00EE6ED7">
        <w:rPr>
          <w:sz w:val="23"/>
          <w:szCs w:val="23"/>
          <w:rtl/>
        </w:rPr>
        <w:t>נשתנת</w:t>
      </w:r>
      <w:r w:rsidRPr="00EE6ED7">
        <w:rPr>
          <w:sz w:val="23"/>
          <w:szCs w:val="23"/>
        </w:rPr>
        <w:t xml:space="preserve">; see n. </w:t>
      </w:r>
      <w:r>
        <w:rPr>
          <w:sz w:val="23"/>
          <w:szCs w:val="23"/>
        </w:rPr>
        <w:fldChar w:fldCharType="begin"/>
      </w:r>
      <w:r>
        <w:rPr>
          <w:sz w:val="23"/>
          <w:szCs w:val="23"/>
        </w:rPr>
        <w:instrText xml:space="preserve"> NOTEREF _Ref200357836 \h </w:instrText>
      </w:r>
      <w:r w:rsidRPr="00342445">
        <w:rPr>
          <w:sz w:val="23"/>
          <w:szCs w:val="23"/>
        </w:rPr>
      </w:r>
      <w:r>
        <w:rPr>
          <w:sz w:val="23"/>
          <w:szCs w:val="23"/>
        </w:rPr>
        <w:fldChar w:fldCharType="separate"/>
      </w:r>
      <w:r w:rsidR="00300213">
        <w:rPr>
          <w:sz w:val="23"/>
          <w:szCs w:val="23"/>
        </w:rPr>
        <w:t>15</w:t>
      </w:r>
      <w:r>
        <w:rPr>
          <w:sz w:val="23"/>
          <w:szCs w:val="23"/>
        </w:rPr>
        <w:fldChar w:fldCharType="end"/>
      </w:r>
      <w:r w:rsidRPr="00EE6ED7">
        <w:rPr>
          <w:sz w:val="23"/>
          <w:szCs w:val="23"/>
        </w:rPr>
        <w:t xml:space="preserve"> above.</w:t>
      </w:r>
    </w:p>
  </w:footnote>
  <w:footnote w:id="66">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As opposed to “why should X be (any) different?”</w:t>
      </w:r>
    </w:p>
  </w:footnote>
  <w:footnote w:id="67">
    <w:p w:rsidR="00A465C3" w:rsidRPr="00EE6ED7" w:rsidRDefault="00A465C3" w:rsidP="0022741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Hence the term “consequential sentence” used by A. B. Davidson (</w:t>
      </w:r>
      <w:r w:rsidRPr="00EE6ED7">
        <w:rPr>
          <w:i/>
          <w:sz w:val="23"/>
          <w:szCs w:val="23"/>
        </w:rPr>
        <w:t>Hebrew Syntax</w:t>
      </w:r>
      <w:r w:rsidRPr="00EE6ED7">
        <w:rPr>
          <w:sz w:val="23"/>
          <w:szCs w:val="23"/>
        </w:rPr>
        <w:t xml:space="preserve"> [3rd ed.; Edinburgh: T. </w:t>
      </w:r>
      <w:r>
        <w:rPr>
          <w:sz w:val="23"/>
          <w:szCs w:val="23"/>
        </w:rPr>
        <w:t>and</w:t>
      </w:r>
      <w:r w:rsidRPr="00EE6ED7">
        <w:rPr>
          <w:sz w:val="23"/>
          <w:szCs w:val="23"/>
        </w:rPr>
        <w:t xml:space="preserve"> T. Clark, 1901], 200). This is a better term than “consecutive clause” and “consecution,” used by W. Gesenius, E. Kautsch </w:t>
      </w:r>
      <w:r>
        <w:rPr>
          <w:sz w:val="23"/>
          <w:szCs w:val="23"/>
        </w:rPr>
        <w:t>and</w:t>
      </w:r>
      <w:r w:rsidRPr="00EE6ED7">
        <w:rPr>
          <w:sz w:val="23"/>
          <w:szCs w:val="23"/>
        </w:rPr>
        <w:t xml:space="preserve"> A. E. Cowley (</w:t>
      </w:r>
      <w:r w:rsidRPr="00EE6ED7">
        <w:rPr>
          <w:i/>
          <w:sz w:val="23"/>
          <w:szCs w:val="23"/>
        </w:rPr>
        <w:t>Gesenius’ Hebrew Grammar</w:t>
      </w:r>
      <w:r w:rsidRPr="00EE6ED7">
        <w:rPr>
          <w:sz w:val="23"/>
          <w:szCs w:val="23"/>
        </w:rPr>
        <w:t xml:space="preserve"> [2nd ed.; Oxford: Clarendon Press, 1910], 504–505 §166); Joüon </w:t>
      </w:r>
      <w:r>
        <w:rPr>
          <w:sz w:val="23"/>
          <w:szCs w:val="23"/>
        </w:rPr>
        <w:t>and</w:t>
      </w:r>
      <w:r w:rsidRPr="00EE6ED7">
        <w:rPr>
          <w:sz w:val="23"/>
          <w:szCs w:val="23"/>
        </w:rPr>
        <w:t xml:space="preserve"> Muraoka (</w:t>
      </w:r>
      <w:r w:rsidRPr="00EE6ED7">
        <w:rPr>
          <w:i/>
          <w:sz w:val="23"/>
          <w:szCs w:val="23"/>
        </w:rPr>
        <w:t>Grammar</w:t>
      </w:r>
      <w:r w:rsidRPr="00EE6ED7">
        <w:rPr>
          <w:sz w:val="23"/>
          <w:szCs w:val="23"/>
        </w:rPr>
        <w:t xml:space="preserve">, 636 §169); and Francis Brown, S. R. Driver </w:t>
      </w:r>
      <w:r>
        <w:rPr>
          <w:sz w:val="23"/>
          <w:szCs w:val="23"/>
        </w:rPr>
        <w:t>and</w:t>
      </w:r>
      <w:r w:rsidRPr="00EE6ED7">
        <w:rPr>
          <w:sz w:val="23"/>
          <w:szCs w:val="23"/>
        </w:rPr>
        <w:t xml:space="preserve"> Charles A. Briggs (</w:t>
      </w:r>
      <w:r w:rsidRPr="00EE6ED7">
        <w:rPr>
          <w:i/>
          <w:sz w:val="23"/>
          <w:szCs w:val="23"/>
        </w:rPr>
        <w:t>A Hebrew and English Lexicon of the Old Testament</w:t>
      </w:r>
      <w:r w:rsidRPr="00EE6ED7">
        <w:rPr>
          <w:sz w:val="23"/>
          <w:szCs w:val="23"/>
        </w:rPr>
        <w:t xml:space="preserve"> [Oxford: Clarendon Press, 1907], 472b–473a</w:t>
      </w:r>
      <w:r>
        <w:rPr>
          <w:sz w:val="23"/>
          <w:szCs w:val="23"/>
        </w:rPr>
        <w:t>,</w:t>
      </w:r>
      <w:r w:rsidRPr="00EE6ED7">
        <w:rPr>
          <w:sz w:val="23"/>
          <w:szCs w:val="23"/>
        </w:rPr>
        <w:t xml:space="preserve"> meaning 1f). Although this </w:t>
      </w:r>
      <w:r w:rsidRPr="00EE6ED7">
        <w:rPr>
          <w:sz w:val="23"/>
          <w:szCs w:val="23"/>
          <w:rtl/>
        </w:rPr>
        <w:t>כי</w:t>
      </w:r>
      <w:r w:rsidRPr="00EE6ED7">
        <w:rPr>
          <w:sz w:val="23"/>
          <w:szCs w:val="23"/>
        </w:rPr>
        <w:t xml:space="preserve"> occasionally interchanges with the </w:t>
      </w:r>
      <w:r w:rsidRPr="00EE6ED7">
        <w:rPr>
          <w:i/>
          <w:sz w:val="23"/>
          <w:szCs w:val="23"/>
        </w:rPr>
        <w:t>waw</w:t>
      </w:r>
      <w:r w:rsidRPr="00EE6ED7">
        <w:rPr>
          <w:sz w:val="23"/>
          <w:szCs w:val="23"/>
        </w:rPr>
        <w:t>-consecutive (</w:t>
      </w:r>
      <w:r>
        <w:rPr>
          <w:sz w:val="23"/>
          <w:szCs w:val="23"/>
        </w:rPr>
        <w:t>compare</w:t>
      </w:r>
      <w:r w:rsidRPr="00EE6ED7">
        <w:rPr>
          <w:sz w:val="23"/>
          <w:szCs w:val="23"/>
        </w:rPr>
        <w:t xml:space="preserve"> Psa 8:5 </w:t>
      </w:r>
      <w:r w:rsidRPr="00EE6ED7">
        <w:rPr>
          <w:sz w:val="23"/>
          <w:szCs w:val="23"/>
          <w:rtl/>
        </w:rPr>
        <w:t>מה אנוש כי תזכרנו ובן אדם כי תפקדנו</w:t>
      </w:r>
      <w:r w:rsidRPr="00EE6ED7">
        <w:rPr>
          <w:sz w:val="23"/>
          <w:szCs w:val="23"/>
        </w:rPr>
        <w:t xml:space="preserve"> with Psa 144:3 </w:t>
      </w:r>
      <w:r w:rsidRPr="00EE6ED7">
        <w:rPr>
          <w:sz w:val="23"/>
          <w:szCs w:val="23"/>
          <w:rtl/>
        </w:rPr>
        <w:t>מה אדם וַתדעהו בן אנוש וַתחשבהו</w:t>
      </w:r>
      <w:r w:rsidRPr="00EE6ED7">
        <w:rPr>
          <w:sz w:val="23"/>
          <w:szCs w:val="23"/>
        </w:rPr>
        <w:t xml:space="preserve">), the latter has a more general meaning. Consequential </w:t>
      </w:r>
      <w:r w:rsidRPr="00EE6ED7">
        <w:rPr>
          <w:sz w:val="23"/>
          <w:szCs w:val="23"/>
          <w:rtl/>
        </w:rPr>
        <w:t>כי</w:t>
      </w:r>
      <w:r w:rsidRPr="00EE6ED7">
        <w:rPr>
          <w:sz w:val="23"/>
          <w:szCs w:val="23"/>
        </w:rPr>
        <w:t xml:space="preserve">-clauses are also used in yes-no questions (e.g., Num 11:12, 16:13, Jud 8:6, 14:3, 1 Sam 17:43, 21:16, 22:7–8, 2 Sam 10:3, 1 Kgs 1:24, 2 Kgs 5:7, Isa 7:13, 29:16, Jer 31:20, Mic 4:9, Mal 3:8, Job 7:12, 10:4–6, 13:25–26). For an analysis of some of these, see A. van Selms, “Motivated Interrogative Sentences in Biblical Hebrew,” </w:t>
      </w:r>
      <w:r w:rsidRPr="00EE6ED7">
        <w:rPr>
          <w:i/>
          <w:sz w:val="23"/>
          <w:szCs w:val="23"/>
        </w:rPr>
        <w:t>Semitics</w:t>
      </w:r>
      <w:r w:rsidRPr="00EE6ED7">
        <w:rPr>
          <w:sz w:val="23"/>
          <w:szCs w:val="23"/>
        </w:rPr>
        <w:t xml:space="preserve"> 2 (1971/72), 143–49; idem, “Motivated Interrogative Sentences in the Book of Job,” </w:t>
      </w:r>
      <w:r w:rsidRPr="00EE6ED7">
        <w:rPr>
          <w:i/>
          <w:sz w:val="23"/>
          <w:szCs w:val="23"/>
        </w:rPr>
        <w:t>Semitics</w:t>
      </w:r>
      <w:r w:rsidRPr="00EE6ED7">
        <w:rPr>
          <w:sz w:val="23"/>
          <w:szCs w:val="23"/>
        </w:rPr>
        <w:t xml:space="preserve"> 6 (1978), 28–35. It can even be found in declarative sentences (e.g., Gen 40:15).</w:t>
      </w:r>
    </w:p>
  </w:footnote>
  <w:footnote w:id="68">
    <w:p w:rsidR="00A465C3" w:rsidRPr="00EE6ED7" w:rsidRDefault="00A465C3" w:rsidP="003E061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Note the </w:t>
      </w:r>
      <w:r>
        <w:rPr>
          <w:sz w:val="23"/>
          <w:szCs w:val="23"/>
        </w:rPr>
        <w:t xml:space="preserve">syntactic </w:t>
      </w:r>
      <w:r w:rsidRPr="00EE6ED7">
        <w:rPr>
          <w:sz w:val="23"/>
          <w:szCs w:val="23"/>
        </w:rPr>
        <w:t xml:space="preserve">bracketing: </w:t>
      </w:r>
      <w:r w:rsidRPr="00EE6ED7">
        <w:rPr>
          <w:sz w:val="23"/>
          <w:szCs w:val="23"/>
          <w:rtl/>
        </w:rPr>
        <w:t>[לא] [עשיתי מאומה כי שמו אתי בבור]</w:t>
      </w:r>
      <w:r w:rsidRPr="00EE6ED7">
        <w:rPr>
          <w:sz w:val="23"/>
          <w:szCs w:val="23"/>
        </w:rPr>
        <w:t xml:space="preserve">. Not all of the biblical questions listed above are rhetorical. Direct answers are recorded for at least four of them (Gen </w:t>
      </w:r>
      <w:smartTag w:uri="urn:schemas-microsoft-com:office:smarttags" w:element="time">
        <w:smartTagPr>
          <w:attr w:name="Hour" w:val="20"/>
          <w:attr w:name="Minute" w:val="10"/>
        </w:smartTagPr>
        <w:r w:rsidRPr="00EE6ED7">
          <w:rPr>
            <w:sz w:val="23"/>
            <w:szCs w:val="23"/>
          </w:rPr>
          <w:t>20:10</w:t>
        </w:r>
      </w:smartTag>
      <w:r w:rsidRPr="00EE6ED7">
        <w:rPr>
          <w:sz w:val="23"/>
          <w:szCs w:val="23"/>
        </w:rPr>
        <w:t xml:space="preserve">, Exod 32:21, Num </w:t>
      </w:r>
      <w:smartTag w:uri="urn:schemas-microsoft-com:office:smarttags" w:element="time">
        <w:smartTagPr>
          <w:attr w:name="Hour" w:val="22"/>
          <w:attr w:name="Minute" w:val="28"/>
        </w:smartTagPr>
        <w:r w:rsidRPr="00EE6ED7">
          <w:rPr>
            <w:sz w:val="23"/>
            <w:szCs w:val="23"/>
          </w:rPr>
          <w:t>22:28</w:t>
        </w:r>
      </w:smartTag>
      <w:r w:rsidRPr="00EE6ED7">
        <w:rPr>
          <w:sz w:val="23"/>
          <w:szCs w:val="23"/>
        </w:rPr>
        <w:t xml:space="preserve">, and Jud </w:t>
      </w:r>
      <w:smartTag w:uri="urn:schemas-microsoft-com:office:smarttags" w:element="time">
        <w:smartTagPr>
          <w:attr w:name="Hour" w:val="11"/>
          <w:attr w:name="Minute" w:val="12"/>
        </w:smartTagPr>
        <w:r w:rsidRPr="00EE6ED7">
          <w:rPr>
            <w:sz w:val="23"/>
            <w:szCs w:val="23"/>
          </w:rPr>
          <w:t>11:12</w:t>
        </w:r>
      </w:smartTag>
      <w:r w:rsidRPr="00EE6ED7">
        <w:rPr>
          <w:sz w:val="23"/>
          <w:szCs w:val="23"/>
        </w:rPr>
        <w:t>). I have not attempted to decide which are the rhetorical questions and mark them with exclamation points in addition to question marks.</w:t>
      </w:r>
    </w:p>
  </w:footnote>
  <w:footnote w:id="6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This is often compared to </w:t>
      </w:r>
      <w:r w:rsidRPr="00EE6ED7">
        <w:rPr>
          <w:sz w:val="23"/>
          <w:szCs w:val="23"/>
          <w:rtl/>
        </w:rPr>
        <w:t>מי עבדך כלב כי זכר אדני את [עבדה</w:t>
      </w:r>
      <w:r w:rsidRPr="00EE6ED7">
        <w:rPr>
          <w:rFonts w:hint="cs"/>
          <w:sz w:val="23"/>
          <w:szCs w:val="23"/>
          <w:rtl/>
        </w:rPr>
        <w:t>]</w:t>
      </w:r>
      <w:r w:rsidRPr="00EE6ED7">
        <w:rPr>
          <w:sz w:val="23"/>
          <w:szCs w:val="23"/>
        </w:rPr>
        <w:t xml:space="preserve"> “who is your servant (but) a dog that my lord remembers his servant” (and two other occurrences of </w:t>
      </w:r>
      <w:r w:rsidRPr="00EE6ED7">
        <w:rPr>
          <w:sz w:val="23"/>
          <w:szCs w:val="23"/>
          <w:rtl/>
        </w:rPr>
        <w:t>מי עבדך כלב כי</w:t>
      </w:r>
      <w:r w:rsidRPr="00EE6ED7">
        <w:rPr>
          <w:sz w:val="23"/>
          <w:szCs w:val="23"/>
        </w:rPr>
        <w:t xml:space="preserve">) in the Lachish letters; see H. Donner and W. Röllig, </w:t>
      </w:r>
      <w:r w:rsidRPr="00EE6ED7">
        <w:rPr>
          <w:i/>
          <w:sz w:val="23"/>
          <w:szCs w:val="23"/>
        </w:rPr>
        <w:t>Kanaanäische und aramäische Inschriften</w:t>
      </w:r>
      <w:r w:rsidRPr="00EE6ED7">
        <w:rPr>
          <w:sz w:val="23"/>
          <w:szCs w:val="23"/>
        </w:rPr>
        <w:t xml:space="preserve"> (Wiesbaden: Harrassowitz, 1971), nos. 192, 195, 196. This formula can be traced back to the Amarna period (fourteenth century B.C.E.); see George W. Coats, “Self-Abasement and Insult Formulas,” </w:t>
      </w:r>
      <w:r w:rsidRPr="00EE6ED7">
        <w:rPr>
          <w:i/>
          <w:sz w:val="23"/>
          <w:szCs w:val="23"/>
        </w:rPr>
        <w:t>JBL</w:t>
      </w:r>
      <w:r w:rsidRPr="00EE6ED7">
        <w:rPr>
          <w:sz w:val="23"/>
          <w:szCs w:val="23"/>
        </w:rPr>
        <w:t xml:space="preserve"> 89 (1970), 15–16, 19.</w:t>
      </w:r>
    </w:p>
  </w:footnote>
  <w:footnote w:id="70">
    <w:p w:rsidR="00A465C3" w:rsidRPr="00EE6ED7" w:rsidRDefault="00A465C3" w:rsidP="00BE64D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Jonah Ibn Janā</w:t>
      </w:r>
      <w:r w:rsidRPr="00BE64DE">
        <w:rPr>
          <w:rFonts w:ascii="CalSemitic" w:hAnsi="CalSemitic"/>
          <w:szCs w:val="23"/>
        </w:rPr>
        <w:t>x</w:t>
      </w:r>
      <w:r w:rsidRPr="00EE6ED7">
        <w:rPr>
          <w:sz w:val="23"/>
          <w:szCs w:val="23"/>
        </w:rPr>
        <w:t xml:space="preserve">, </w:t>
      </w:r>
      <w:r w:rsidRPr="00EE6ED7">
        <w:rPr>
          <w:i/>
          <w:sz w:val="23"/>
          <w:szCs w:val="23"/>
        </w:rPr>
        <w:t>Kitāb al-</w:t>
      </w:r>
      <w:r>
        <w:rPr>
          <w:i/>
          <w:sz w:val="23"/>
          <w:szCs w:val="23"/>
        </w:rPr>
        <w:t>’</w:t>
      </w:r>
      <w:r w:rsidRPr="00EE6ED7">
        <w:rPr>
          <w:i/>
          <w:sz w:val="23"/>
          <w:szCs w:val="23"/>
        </w:rPr>
        <w:t>u</w:t>
      </w:r>
      <w:r w:rsidRPr="00347FDA">
        <w:rPr>
          <w:rFonts w:ascii="CalSemitic" w:hAnsi="CalSemitic"/>
          <w:i/>
          <w:spacing w:val="20"/>
          <w:sz w:val="23"/>
          <w:szCs w:val="23"/>
        </w:rPr>
        <w:t>c</w:t>
      </w:r>
      <w:r w:rsidRPr="00347FDA">
        <w:rPr>
          <w:i/>
          <w:spacing w:val="20"/>
          <w:sz w:val="23"/>
          <w:szCs w:val="23"/>
        </w:rPr>
        <w:t>ū</w:t>
      </w:r>
      <w:r w:rsidRPr="00EE6ED7">
        <w:rPr>
          <w:i/>
          <w:sz w:val="23"/>
          <w:szCs w:val="23"/>
        </w:rPr>
        <w:t>l: The Book of Hebrew Roots</w:t>
      </w:r>
      <w:r w:rsidRPr="00EE6ED7">
        <w:rPr>
          <w:sz w:val="23"/>
          <w:szCs w:val="23"/>
        </w:rPr>
        <w:t xml:space="preserve">, ed. A. Neubauer (Oxford: Clarendon Press, 1875), col. 317, ll. 25–28; </w:t>
      </w:r>
      <w:r w:rsidRPr="00EE6ED7">
        <w:rPr>
          <w:i/>
          <w:sz w:val="23"/>
          <w:szCs w:val="23"/>
        </w:rPr>
        <w:t>Sepher Haschoraschim</w:t>
      </w:r>
      <w:r w:rsidRPr="00EE6ED7">
        <w:rPr>
          <w:sz w:val="23"/>
          <w:szCs w:val="23"/>
        </w:rPr>
        <w:t xml:space="preserve">, ed. W. Bacher (Berlin: H. Itzkowski, 1896), 219. He gives three examples: Exod 3:11 (where Saadia renders </w:t>
      </w:r>
      <w:r w:rsidRPr="00EE6ED7">
        <w:rPr>
          <w:sz w:val="23"/>
          <w:szCs w:val="23"/>
          <w:rtl/>
        </w:rPr>
        <w:t>כי</w:t>
      </w:r>
      <w:r w:rsidRPr="00EE6ED7">
        <w:rPr>
          <w:sz w:val="23"/>
          <w:szCs w:val="23"/>
        </w:rPr>
        <w:t xml:space="preserve"> with </w:t>
      </w:r>
      <w:r w:rsidRPr="00EE6ED7">
        <w:rPr>
          <w:sz w:val="23"/>
          <w:szCs w:val="23"/>
          <w:rtl/>
        </w:rPr>
        <w:t>חתי</w:t>
      </w:r>
      <w:r w:rsidRPr="00EE6ED7">
        <w:rPr>
          <w:sz w:val="23"/>
          <w:szCs w:val="23"/>
        </w:rPr>
        <w:t xml:space="preserve">), 2 Sam </w:t>
      </w:r>
      <w:smartTag w:uri="urn:schemas-microsoft-com:office:smarttags" w:element="time">
        <w:smartTagPr>
          <w:attr w:name="Hour" w:val="7"/>
          <w:attr w:name="Minute" w:val="18"/>
        </w:smartTagPr>
        <w:r w:rsidRPr="00EE6ED7">
          <w:rPr>
            <w:sz w:val="23"/>
            <w:szCs w:val="23"/>
          </w:rPr>
          <w:t>7:18</w:t>
        </w:r>
      </w:smartTag>
      <w:r w:rsidRPr="00EE6ED7">
        <w:rPr>
          <w:sz w:val="23"/>
          <w:szCs w:val="23"/>
        </w:rPr>
        <w:t xml:space="preserve">, and Jud 8:6. He is followed by Judah Ibn Bal‘am; see </w:t>
      </w:r>
      <w:r w:rsidRPr="00EE6ED7">
        <w:rPr>
          <w:sz w:val="23"/>
          <w:szCs w:val="23"/>
          <w:rtl/>
        </w:rPr>
        <w:t>שלושה ספרים של רב יהודה בן בלעם</w:t>
      </w:r>
      <w:r w:rsidRPr="00EE6ED7">
        <w:rPr>
          <w:sz w:val="23"/>
          <w:szCs w:val="23"/>
        </w:rPr>
        <w:t>, ed. S. Abramson (Jerusalem: Kiryat-Sepher, 1975), 121. For a modern treatment, see Coats, “Self-Abasement,” 14–26.</w:t>
      </w:r>
    </w:p>
  </w:footnote>
  <w:footnote w:id="71">
    <w:p w:rsidR="00A465C3" w:rsidRPr="00EE6ED7" w:rsidRDefault="00A465C3" w:rsidP="00412B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מדרש בראשית רבא</w:t>
      </w:r>
      <w:r w:rsidRPr="00EE6ED7">
        <w:rPr>
          <w:sz w:val="23"/>
          <w:szCs w:val="23"/>
        </w:rPr>
        <w:t xml:space="preserve">, ed. J. Theodor </w:t>
      </w:r>
      <w:r>
        <w:rPr>
          <w:sz w:val="23"/>
          <w:szCs w:val="23"/>
        </w:rPr>
        <w:t>and</w:t>
      </w:r>
      <w:r w:rsidRPr="00EE6ED7">
        <w:rPr>
          <w:sz w:val="23"/>
          <w:szCs w:val="23"/>
        </w:rPr>
        <w:t xml:space="preserve"> C. Albeck (</w:t>
      </w:r>
      <w:r>
        <w:rPr>
          <w:sz w:val="23"/>
          <w:szCs w:val="23"/>
        </w:rPr>
        <w:t xml:space="preserve">2nd ed.;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Wahrmann, 1965), </w:t>
      </w:r>
      <w:r>
        <w:rPr>
          <w:sz w:val="23"/>
          <w:szCs w:val="23"/>
        </w:rPr>
        <w:t xml:space="preserve">11.5, pp. </w:t>
      </w:r>
      <w:r w:rsidRPr="00EE6ED7">
        <w:rPr>
          <w:sz w:val="23"/>
          <w:szCs w:val="23"/>
        </w:rPr>
        <w:t>92–93.</w:t>
      </w:r>
      <w:r>
        <w:rPr>
          <w:sz w:val="23"/>
          <w:szCs w:val="23"/>
        </w:rPr>
        <w:t xml:space="preserve"> In Ms. </w:t>
      </w:r>
      <w:smartTag w:uri="urn:schemas-microsoft-com:office:smarttags" w:element="place">
        <w:r>
          <w:rPr>
            <w:sz w:val="23"/>
            <w:szCs w:val="23"/>
          </w:rPr>
          <w:t>Vatican</w:t>
        </w:r>
      </w:smartTag>
      <w:r>
        <w:rPr>
          <w:sz w:val="23"/>
          <w:szCs w:val="23"/>
        </w:rPr>
        <w:t xml:space="preserve"> 60, as transcribed in the CD-ROM of the Historical Dictionary Project of  the Academy of the Hebrew Language (</w:t>
      </w:r>
      <w:r w:rsidRPr="00BC5253">
        <w:rPr>
          <w:i/>
          <w:iCs/>
          <w:sz w:val="23"/>
          <w:szCs w:val="23"/>
        </w:rPr>
        <w:t>Maagarim</w:t>
      </w:r>
      <w:r>
        <w:rPr>
          <w:sz w:val="23"/>
          <w:szCs w:val="23"/>
        </w:rPr>
        <w:t xml:space="preserve">), </w:t>
      </w:r>
      <w:r w:rsidRPr="00EE6ED7">
        <w:rPr>
          <w:sz w:val="23"/>
          <w:szCs w:val="23"/>
        </w:rPr>
        <w:t>both the riddle and its interpretation are in Aramaic:</w:t>
      </w:r>
      <w:r w:rsidRPr="00EE6ED7">
        <w:rPr>
          <w:sz w:val="23"/>
          <w:szCs w:val="23"/>
          <w:rtl/>
        </w:rPr>
        <w:t>מה יום מן יומין</w:t>
      </w:r>
      <w:r w:rsidRPr="00EE6ED7">
        <w:rPr>
          <w:sz w:val="23"/>
          <w:szCs w:val="23"/>
        </w:rPr>
        <w:t xml:space="preserve"> and </w:t>
      </w:r>
      <w:r w:rsidRPr="00EE6ED7">
        <w:rPr>
          <w:sz w:val="23"/>
          <w:szCs w:val="23"/>
          <w:rtl/>
        </w:rPr>
        <w:t>מה שנא יומא דשבתא מן כל יומיה</w:t>
      </w:r>
      <w:r w:rsidRPr="00EE6ED7">
        <w:rPr>
          <w:sz w:val="23"/>
          <w:szCs w:val="23"/>
        </w:rPr>
        <w:t>.</w:t>
      </w:r>
    </w:p>
  </w:footnote>
  <w:footnote w:id="7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I am indebted to Shamma Friedman for calling my attention to this second MH formula. F</w:t>
      </w:r>
      <w:r w:rsidRPr="00EE6ED7">
        <w:rPr>
          <w:sz w:val="23"/>
          <w:szCs w:val="23"/>
        </w:rPr>
        <w:t xml:space="preserve">or the connection between Gen 20:10 and the MH formula, see Bacher, “Eine verkannte Redensart,” 345–49 and idem, </w:t>
      </w:r>
      <w:r w:rsidRPr="00EE6ED7">
        <w:rPr>
          <w:i/>
          <w:sz w:val="23"/>
          <w:szCs w:val="23"/>
        </w:rPr>
        <w:t>Terminologie</w:t>
      </w:r>
      <w:r w:rsidRPr="00EE6ED7">
        <w:rPr>
          <w:sz w:val="23"/>
          <w:szCs w:val="23"/>
        </w:rPr>
        <w:t>, 1</w:t>
      </w:r>
      <w:r>
        <w:rPr>
          <w:sz w:val="23"/>
          <w:szCs w:val="23"/>
        </w:rPr>
        <w:t>.</w:t>
      </w:r>
      <w:r w:rsidRPr="00EE6ED7">
        <w:rPr>
          <w:sz w:val="23"/>
          <w:szCs w:val="23"/>
        </w:rPr>
        <w:t xml:space="preserve"> 177–78.</w:t>
      </w:r>
    </w:p>
  </w:footnote>
  <w:footnote w:id="73">
    <w:p w:rsidR="00A465C3" w:rsidRPr="00EE6ED7" w:rsidRDefault="00A465C3" w:rsidP="00342445">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n. </w:t>
      </w:r>
      <w:r>
        <w:rPr>
          <w:sz w:val="23"/>
          <w:szCs w:val="23"/>
        </w:rPr>
        <w:fldChar w:fldCharType="begin"/>
      </w:r>
      <w:r>
        <w:rPr>
          <w:sz w:val="23"/>
          <w:szCs w:val="23"/>
        </w:rPr>
        <w:instrText xml:space="preserve"> NOTEREF _Ref200358314 \h </w:instrText>
      </w:r>
      <w:r w:rsidRPr="00342445">
        <w:rPr>
          <w:sz w:val="23"/>
          <w:szCs w:val="23"/>
        </w:rPr>
      </w:r>
      <w:r>
        <w:rPr>
          <w:sz w:val="23"/>
          <w:szCs w:val="23"/>
        </w:rPr>
        <w:fldChar w:fldCharType="separate"/>
      </w:r>
      <w:r w:rsidR="00300213">
        <w:rPr>
          <w:sz w:val="23"/>
          <w:szCs w:val="23"/>
        </w:rPr>
        <w:t>52</w:t>
      </w:r>
      <w:r>
        <w:rPr>
          <w:sz w:val="23"/>
          <w:szCs w:val="23"/>
        </w:rPr>
        <w:fldChar w:fldCharType="end"/>
      </w:r>
      <w:r w:rsidRPr="00EE6ED7">
        <w:rPr>
          <w:sz w:val="23"/>
          <w:szCs w:val="23"/>
        </w:rPr>
        <w:t xml:space="preserve"> above.</w:t>
      </w:r>
    </w:p>
  </w:footnote>
  <w:footnote w:id="74">
    <w:p w:rsidR="00A465C3" w:rsidRPr="00EE6ED7" w:rsidRDefault="00A465C3" w:rsidP="000C73D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Cf. the formulation of the question attributed to the disciples of R. Johanan b. Zakkai in b.BQ 79b: </w:t>
      </w:r>
      <w:r w:rsidRPr="00EE6ED7">
        <w:rPr>
          <w:sz w:val="23"/>
          <w:szCs w:val="23"/>
          <w:u w:val="single"/>
          <w:rtl/>
        </w:rPr>
        <w:t>מפני מה</w:t>
      </w:r>
      <w:r w:rsidRPr="00EE6ED7">
        <w:rPr>
          <w:sz w:val="23"/>
          <w:szCs w:val="23"/>
          <w:rtl/>
        </w:rPr>
        <w:t xml:space="preserve"> החמירה תורה בגנב יותר מגזלן</w:t>
      </w:r>
      <w:r w:rsidRPr="00EE6ED7">
        <w:rPr>
          <w:sz w:val="23"/>
          <w:szCs w:val="23"/>
        </w:rPr>
        <w:t>. As noted by Bacher (“Eine verkannte Redensart,” 346, 348), more original forms of the question, with the same attribution, appear in the Mekhilta</w:t>
      </w:r>
      <w:r>
        <w:rPr>
          <w:sz w:val="23"/>
          <w:szCs w:val="23"/>
        </w:rPr>
        <w:t xml:space="preserve"> (ed. Horovitz and Rabin,</w:t>
      </w:r>
      <w:r w:rsidRPr="00EE6ED7">
        <w:rPr>
          <w:sz w:val="23"/>
          <w:szCs w:val="23"/>
        </w:rPr>
        <w:t xml:space="preserve"> 299</w:t>
      </w:r>
      <w:r>
        <w:rPr>
          <w:sz w:val="23"/>
          <w:szCs w:val="23"/>
        </w:rPr>
        <w:t>)</w:t>
      </w:r>
      <w:r w:rsidRPr="00EE6ED7">
        <w:rPr>
          <w:sz w:val="23"/>
          <w:szCs w:val="23"/>
        </w:rPr>
        <w:t xml:space="preserve"> (</w:t>
      </w:r>
      <w:r w:rsidRPr="00EE6ED7">
        <w:rPr>
          <w:sz w:val="23"/>
          <w:szCs w:val="23"/>
          <w:u w:val="single"/>
          <w:rtl/>
        </w:rPr>
        <w:t>מה ראת</w:t>
      </w:r>
      <w:r w:rsidRPr="00EE6ED7">
        <w:rPr>
          <w:sz w:val="23"/>
          <w:szCs w:val="23"/>
          <w:rtl/>
        </w:rPr>
        <w:t xml:space="preserve"> </w:t>
      </w:r>
      <w:r>
        <w:rPr>
          <w:rFonts w:hint="cs"/>
          <w:sz w:val="23"/>
          <w:szCs w:val="23"/>
          <w:rtl/>
        </w:rPr>
        <w:t>ה</w:t>
      </w:r>
      <w:r w:rsidRPr="00EE6ED7">
        <w:rPr>
          <w:sz w:val="23"/>
          <w:szCs w:val="23"/>
          <w:rtl/>
        </w:rPr>
        <w:t>תורה להחמיר על</w:t>
      </w:r>
      <w:r>
        <w:rPr>
          <w:rFonts w:hint="cs"/>
          <w:sz w:val="23"/>
          <w:szCs w:val="23"/>
          <w:rtl/>
        </w:rPr>
        <w:t xml:space="preserve"> </w:t>
      </w:r>
      <w:r w:rsidRPr="00EE6ED7">
        <w:rPr>
          <w:sz w:val="23"/>
          <w:szCs w:val="23"/>
          <w:rtl/>
        </w:rPr>
        <w:t>הגנב יותר מן הגזלן</w:t>
      </w:r>
      <w:r w:rsidRPr="00EE6ED7">
        <w:rPr>
          <w:sz w:val="23"/>
          <w:szCs w:val="23"/>
        </w:rPr>
        <w:t>) and in t.BQ 7:2 (</w:t>
      </w:r>
      <w:r w:rsidRPr="00EE6ED7">
        <w:rPr>
          <w:sz w:val="23"/>
          <w:szCs w:val="23"/>
          <w:u w:val="single"/>
          <w:rtl/>
        </w:rPr>
        <w:t>וכי מה ראת</w:t>
      </w:r>
      <w:r w:rsidRPr="00EE6ED7">
        <w:rPr>
          <w:sz w:val="23"/>
          <w:szCs w:val="23"/>
          <w:rtl/>
        </w:rPr>
        <w:t xml:space="preserve"> תורה</w:t>
      </w:r>
      <w:r>
        <w:rPr>
          <w:sz w:val="23"/>
          <w:szCs w:val="23"/>
        </w:rPr>
        <w:br/>
      </w:r>
      <w:r w:rsidRPr="00EE6ED7">
        <w:rPr>
          <w:sz w:val="23"/>
          <w:szCs w:val="23"/>
          <w:rtl/>
        </w:rPr>
        <w:t>להחמיר בגנב יותר מבגזלן</w:t>
      </w:r>
      <w:r w:rsidRPr="00EE6ED7">
        <w:rPr>
          <w:sz w:val="23"/>
          <w:szCs w:val="23"/>
        </w:rPr>
        <w:t xml:space="preserve">). Cf. also the paraphrase of </w:t>
      </w:r>
      <w:r w:rsidRPr="00EE6ED7">
        <w:rPr>
          <w:sz w:val="23"/>
          <w:szCs w:val="23"/>
          <w:u w:val="single"/>
          <w:rtl/>
        </w:rPr>
        <w:t>מה ראית</w:t>
      </w:r>
      <w:r w:rsidRPr="00EE6ED7">
        <w:rPr>
          <w:sz w:val="23"/>
          <w:szCs w:val="23"/>
          <w:rtl/>
        </w:rPr>
        <w:t xml:space="preserve"> כי ע</w:t>
      </w:r>
      <w:r>
        <w:rPr>
          <w:rFonts w:hint="cs"/>
          <w:sz w:val="23"/>
          <w:szCs w:val="23"/>
          <w:rtl/>
        </w:rPr>
        <w:t xml:space="preserve">שית </w:t>
      </w:r>
      <w:r w:rsidRPr="00EE6ED7">
        <w:rPr>
          <w:sz w:val="23"/>
          <w:szCs w:val="23"/>
          <w:rtl/>
        </w:rPr>
        <w:t>את הדבר הזה</w:t>
      </w:r>
      <w:r w:rsidRPr="00EE6ED7">
        <w:rPr>
          <w:sz w:val="23"/>
          <w:szCs w:val="23"/>
        </w:rPr>
        <w:t xml:space="preserve"> offered by Bekhor Shor in his commentary to Gen 20:10: </w:t>
      </w:r>
      <w:r w:rsidRPr="00EE6ED7">
        <w:rPr>
          <w:sz w:val="23"/>
          <w:szCs w:val="23"/>
          <w:u w:val="single"/>
          <w:rtl/>
        </w:rPr>
        <w:t>למה</w:t>
      </w:r>
      <w:r w:rsidRPr="00EE6ED7">
        <w:rPr>
          <w:sz w:val="23"/>
          <w:szCs w:val="23"/>
          <w:rtl/>
        </w:rPr>
        <w:t xml:space="preserve"> עשית זאת</w:t>
      </w:r>
      <w:r w:rsidRPr="00EE6ED7">
        <w:rPr>
          <w:sz w:val="23"/>
          <w:szCs w:val="23"/>
        </w:rPr>
        <w:t>.</w:t>
      </w:r>
    </w:p>
  </w:footnote>
  <w:footnote w:id="75">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A person who exclaims </w:t>
      </w:r>
      <w:r w:rsidRPr="00EE6ED7">
        <w:rPr>
          <w:sz w:val="23"/>
          <w:szCs w:val="23"/>
          <w:rtl/>
        </w:rPr>
        <w:t>מה נאה אילן זה</w:t>
      </w:r>
      <w:r w:rsidRPr="00EE6ED7">
        <w:rPr>
          <w:sz w:val="23"/>
          <w:szCs w:val="23"/>
        </w:rPr>
        <w:t xml:space="preserve"> is not asking (even implicitly) to what extent the tree is beautiful or in what way it is beautiful or how it got to be so beautiful.</w:t>
      </w:r>
    </w:p>
  </w:footnote>
  <w:footnote w:id="76">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The rendering “changed more than” (rather than “different from”) is standard in early European translations (see</w:t>
      </w:r>
      <w:r>
        <w:rPr>
          <w:sz w:val="23"/>
          <w:szCs w:val="23"/>
        </w:rPr>
        <w:t xml:space="preserve"> n. </w:t>
      </w:r>
      <w:r>
        <w:rPr>
          <w:sz w:val="23"/>
          <w:szCs w:val="23"/>
        </w:rPr>
        <w:fldChar w:fldCharType="begin"/>
      </w:r>
      <w:r>
        <w:rPr>
          <w:sz w:val="23"/>
          <w:szCs w:val="23"/>
        </w:rPr>
        <w:instrText xml:space="preserve"> NOTEREF _Ref200357836 \h </w:instrText>
      </w:r>
      <w:r w:rsidRPr="006B23A6">
        <w:rPr>
          <w:sz w:val="23"/>
          <w:szCs w:val="23"/>
        </w:rPr>
      </w:r>
      <w:r>
        <w:rPr>
          <w:sz w:val="23"/>
          <w:szCs w:val="23"/>
        </w:rPr>
        <w:fldChar w:fldCharType="separate"/>
      </w:r>
      <w:r w:rsidR="00300213">
        <w:rPr>
          <w:sz w:val="23"/>
          <w:szCs w:val="23"/>
        </w:rPr>
        <w:t>15</w:t>
      </w:r>
      <w:r>
        <w:rPr>
          <w:sz w:val="23"/>
          <w:szCs w:val="23"/>
        </w:rPr>
        <w:fldChar w:fldCharType="end"/>
      </w:r>
      <w:r>
        <w:rPr>
          <w:sz w:val="23"/>
          <w:szCs w:val="23"/>
        </w:rPr>
        <w:t xml:space="preserve"> above and </w:t>
      </w:r>
      <w:r w:rsidRPr="00EE6ED7">
        <w:rPr>
          <w:sz w:val="23"/>
          <w:szCs w:val="23"/>
        </w:rPr>
        <w:t xml:space="preserve">the other examples cited in section VIII below). The translators apparently viewed the Passover question as parallel to </w:t>
      </w:r>
      <w:r w:rsidRPr="00EE6ED7">
        <w:rPr>
          <w:sz w:val="23"/>
          <w:szCs w:val="23"/>
          <w:rtl/>
        </w:rPr>
        <w:t>מה טבו דדיך מיין</w:t>
      </w:r>
      <w:r w:rsidRPr="00EE6ED7">
        <w:rPr>
          <w:sz w:val="23"/>
          <w:szCs w:val="23"/>
        </w:rPr>
        <w:t xml:space="preserve"> (Song </w:t>
      </w:r>
      <w:smartTag w:uri="urn:schemas-microsoft-com:office:smarttags" w:element="time">
        <w:smartTagPr>
          <w:attr w:name="Minute" w:val="10"/>
          <w:attr w:name="Hour" w:val="4"/>
        </w:smartTagPr>
        <w:r w:rsidRPr="00EE6ED7">
          <w:rPr>
            <w:sz w:val="23"/>
            <w:szCs w:val="23"/>
          </w:rPr>
          <w:t>4:10</w:t>
        </w:r>
      </w:smartTag>
      <w:r w:rsidRPr="00EE6ED7">
        <w:rPr>
          <w:sz w:val="23"/>
          <w:szCs w:val="23"/>
        </w:rPr>
        <w:t>).</w:t>
      </w:r>
    </w:p>
  </w:footnote>
  <w:footnote w:id="77">
    <w:p w:rsidR="00A465C3" w:rsidRPr="00EE6ED7" w:rsidRDefault="00A465C3" w:rsidP="002F1AE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rFonts w:hint="cs"/>
          <w:sz w:val="23"/>
          <w:szCs w:val="23"/>
          <w:rtl/>
        </w:rPr>
        <w:t>סדר נשים</w:t>
      </w:r>
      <w:r>
        <w:rPr>
          <w:sz w:val="23"/>
          <w:szCs w:val="23"/>
        </w:rPr>
        <w:t xml:space="preserve"> (Salonica, ca. 1550), 116–117 (JNUL website).</w:t>
      </w:r>
    </w:p>
  </w:footnote>
  <w:footnote w:id="7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Ladino Pentateuch (</w:t>
      </w:r>
      <w:smartTag w:uri="urn:schemas-microsoft-com:office:smarttags" w:element="place">
        <w:r w:rsidRPr="00EE6ED7">
          <w:rPr>
            <w:i/>
            <w:sz w:val="23"/>
            <w:szCs w:val="23"/>
          </w:rPr>
          <w:t>Constantinople</w:t>
        </w:r>
      </w:smartTag>
      <w:r w:rsidRPr="00EE6ED7">
        <w:rPr>
          <w:i/>
          <w:sz w:val="23"/>
          <w:szCs w:val="23"/>
        </w:rPr>
        <w:t>, 1547)</w:t>
      </w:r>
      <w:r w:rsidRPr="00EE6ED7">
        <w:rPr>
          <w:sz w:val="23"/>
          <w:szCs w:val="23"/>
        </w:rPr>
        <w:t>, ed. M. Lazar (Culver City, Calif.: Labyrinthos, 1988), 68–69, 394–95. The Hebrew stative verb, which has no counterpart in European languages, is slavishly imitated by a Ladino verb ending in -</w:t>
      </w:r>
      <w:r w:rsidRPr="00EE6ED7">
        <w:rPr>
          <w:i/>
          <w:sz w:val="23"/>
          <w:szCs w:val="23"/>
        </w:rPr>
        <w:t>iguar</w:t>
      </w:r>
      <w:r w:rsidRPr="00EE6ED7">
        <w:rPr>
          <w:sz w:val="23"/>
          <w:szCs w:val="23"/>
        </w:rPr>
        <w:t>.</w:t>
      </w:r>
    </w:p>
  </w:footnote>
  <w:footnote w:id="79">
    <w:p w:rsidR="00A465C3" w:rsidRPr="00EE6ED7" w:rsidRDefault="00A465C3" w:rsidP="006B23A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The Ladino Scriptures: Constantinople-Salonica [1540–1572]</w:t>
      </w:r>
      <w:r w:rsidRPr="00EE6ED7">
        <w:rPr>
          <w:sz w:val="23"/>
          <w:szCs w:val="23"/>
        </w:rPr>
        <w:t>, ed. M. Lazar (</w:t>
      </w:r>
      <w:smartTag w:uri="urn:schemas-microsoft-com:office:smarttags" w:element="place">
        <w:smartTag w:uri="urn:schemas-microsoft-com:office:smarttags" w:element="City">
          <w:r>
            <w:rPr>
              <w:sz w:val="23"/>
              <w:szCs w:val="23"/>
            </w:rPr>
            <w:t>Lancaster</w:t>
          </w:r>
        </w:smartTag>
        <w:r>
          <w:rPr>
            <w:sz w:val="23"/>
            <w:szCs w:val="23"/>
          </w:rPr>
          <w:t>,</w:t>
        </w:r>
        <w:r w:rsidRPr="00EE6ED7">
          <w:rPr>
            <w:sz w:val="23"/>
            <w:szCs w:val="23"/>
          </w:rPr>
          <w:t xml:space="preserve"> </w:t>
        </w:r>
        <w:smartTag w:uri="urn:schemas-microsoft-com:office:smarttags" w:element="State">
          <w:r w:rsidRPr="00EE6ED7">
            <w:rPr>
              <w:sz w:val="23"/>
              <w:szCs w:val="23"/>
            </w:rPr>
            <w:t>Calif.</w:t>
          </w:r>
        </w:smartTag>
      </w:smartTag>
      <w:r w:rsidRPr="00EE6ED7">
        <w:rPr>
          <w:sz w:val="23"/>
          <w:szCs w:val="23"/>
        </w:rPr>
        <w:t xml:space="preserve">: Labyrinthos, 2000), </w:t>
      </w:r>
      <w:r>
        <w:rPr>
          <w:sz w:val="23"/>
          <w:szCs w:val="23"/>
        </w:rPr>
        <w:t xml:space="preserve">2. </w:t>
      </w:r>
      <w:r w:rsidRPr="00EE6ED7">
        <w:rPr>
          <w:sz w:val="23"/>
          <w:szCs w:val="23"/>
        </w:rPr>
        <w:t>1744–45.</w:t>
      </w:r>
    </w:p>
  </w:footnote>
  <w:footnote w:id="8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Libro de Oracyones</w:t>
      </w:r>
      <w:r w:rsidRPr="00EE6ED7">
        <w:rPr>
          <w:sz w:val="23"/>
          <w:szCs w:val="23"/>
        </w:rPr>
        <w:t>, 183.</w:t>
      </w:r>
    </w:p>
  </w:footnote>
  <w:footnote w:id="81">
    <w:p w:rsidR="00A465C3" w:rsidRPr="00EE6ED7" w:rsidRDefault="00A465C3" w:rsidP="00D60C7E">
      <w:pPr>
        <w:suppressAutoHyphens/>
        <w:autoSpaceDE w:val="0"/>
        <w:autoSpaceDN w:val="0"/>
        <w:adjustRightInd w:val="0"/>
        <w:spacing w:line="270" w:lineRule="exact"/>
        <w:jc w:val="both"/>
        <w:rPr>
          <w:sz w:val="23"/>
          <w:szCs w:val="23"/>
          <w:lang w:val="pt-BR"/>
        </w:rPr>
      </w:pPr>
      <w:r w:rsidRPr="00EE6ED7">
        <w:rPr>
          <w:sz w:val="23"/>
          <w:szCs w:val="23"/>
          <w:vertAlign w:val="superscript"/>
        </w:rPr>
        <w:footnoteRef/>
      </w:r>
      <w:r w:rsidRPr="00EE6ED7">
        <w:rPr>
          <w:sz w:val="23"/>
          <w:szCs w:val="23"/>
          <w:vertAlign w:val="superscript"/>
          <w:lang w:val="pt-BR"/>
        </w:rPr>
        <w:t> </w:t>
      </w:r>
      <w:r w:rsidRPr="00EE6ED7">
        <w:rPr>
          <w:sz w:val="23"/>
          <w:szCs w:val="23"/>
          <w:lang w:val="pt-BR"/>
        </w:rPr>
        <w:t xml:space="preserve">In the anonymous </w:t>
      </w:r>
      <w:r w:rsidRPr="00EE6ED7">
        <w:rPr>
          <w:i/>
          <w:sz w:val="23"/>
          <w:szCs w:val="23"/>
          <w:lang w:val="pt-BR"/>
        </w:rPr>
        <w:t>Cancionero de Juan Fernández de Íxar</w:t>
      </w:r>
      <w:r w:rsidRPr="00EE6ED7">
        <w:rPr>
          <w:sz w:val="23"/>
          <w:szCs w:val="23"/>
          <w:lang w:val="pt-BR"/>
        </w:rPr>
        <w:t xml:space="preserve"> (1424–1520), we find </w:t>
      </w:r>
      <w:r w:rsidRPr="00EE6ED7">
        <w:rPr>
          <w:i/>
          <w:sz w:val="23"/>
          <w:szCs w:val="23"/>
          <w:lang w:val="pt-BR"/>
        </w:rPr>
        <w:t>quanto fue + passive participle</w:t>
      </w:r>
      <w:r w:rsidRPr="00EE6ED7">
        <w:rPr>
          <w:sz w:val="23"/>
          <w:szCs w:val="23"/>
          <w:lang w:val="pt-BR"/>
        </w:rPr>
        <w:t xml:space="preserve"> in exclamations such as “O quanto fue reprouado Theolomeo por la muerte de Ponpeo, e menguado!” and “quanto fue menguada, fuerte!” See Real Academia Española: Banco de datos. Corpus diacrónico del Español (www.rae.es).</w:t>
      </w:r>
    </w:p>
  </w:footnote>
  <w:footnote w:id="82">
    <w:p w:rsidR="00A465C3" w:rsidRPr="00EE6ED7" w:rsidRDefault="00A465C3" w:rsidP="00F2212C">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N. H. Tur-Sinai, </w:t>
      </w:r>
      <w:r w:rsidRPr="00EE6ED7">
        <w:rPr>
          <w:sz w:val="23"/>
          <w:szCs w:val="23"/>
          <w:rtl/>
        </w:rPr>
        <w:t>מה נשתנה ה"מה נשתנה"</w:t>
      </w:r>
      <w:r w:rsidRPr="00EE6ED7">
        <w:rPr>
          <w:sz w:val="23"/>
          <w:szCs w:val="23"/>
        </w:rPr>
        <w:t xml:space="preserve"> in </w:t>
      </w:r>
      <w:r w:rsidRPr="00EE6ED7">
        <w:rPr>
          <w:sz w:val="23"/>
          <w:szCs w:val="23"/>
          <w:rtl/>
        </w:rPr>
        <w:t>הלשון והספר</w:t>
      </w:r>
      <w:r>
        <w:rPr>
          <w:rFonts w:hint="cs"/>
          <w:sz w:val="23"/>
          <w:szCs w:val="23"/>
          <w:rtl/>
        </w:rPr>
        <w:t>,</w:t>
      </w:r>
      <w:r w:rsidRPr="00EE6ED7">
        <w:rPr>
          <w:sz w:val="23"/>
          <w:szCs w:val="23"/>
          <w:rtl/>
        </w:rPr>
        <w:t xml:space="preserve"> כרך האמונות והדעות</w:t>
      </w:r>
      <w:r w:rsidRPr="00EE6ED7">
        <w:rPr>
          <w:sz w:val="23"/>
          <w:szCs w:val="23"/>
        </w:rPr>
        <w:t xml:space="preserve"> (Jerusalem: Bialik, 1955), 286–91; </w:t>
      </w:r>
      <w:r w:rsidRPr="00EE6ED7">
        <w:rPr>
          <w:i/>
          <w:sz w:val="23"/>
          <w:szCs w:val="23"/>
        </w:rPr>
        <w:t>The Mishnah</w:t>
      </w:r>
      <w:r w:rsidRPr="00EE6ED7">
        <w:rPr>
          <w:sz w:val="23"/>
          <w:szCs w:val="23"/>
        </w:rPr>
        <w:t xml:space="preserve">, ed. J. Neusner (New Haven: Yale University Press, 1988), 250. I am indebted to Daniel Sperber for the former reference. See also </w:t>
      </w:r>
      <w:r w:rsidRPr="00EE6ED7">
        <w:rPr>
          <w:sz w:val="23"/>
          <w:szCs w:val="23"/>
          <w:rtl/>
        </w:rPr>
        <w:t>ערוך השולחן סי' תעג סעי' כא</w:t>
      </w:r>
      <w:r w:rsidRPr="00EE6ED7">
        <w:rPr>
          <w:sz w:val="23"/>
          <w:szCs w:val="23"/>
        </w:rPr>
        <w:t xml:space="preserve"> and</w:t>
      </w:r>
      <w:r>
        <w:rPr>
          <w:rFonts w:hint="cs"/>
          <w:sz w:val="23"/>
          <w:szCs w:val="23"/>
          <w:rtl/>
        </w:rPr>
        <w:t xml:space="preserve">סדר </w:t>
      </w:r>
      <w:r w:rsidRPr="00EE6ED7">
        <w:rPr>
          <w:sz w:val="23"/>
          <w:szCs w:val="23"/>
          <w:rtl/>
        </w:rPr>
        <w:t>הגדה של פסח עם באור</w:t>
      </w:r>
      <w:r>
        <w:rPr>
          <w:sz w:val="23"/>
          <w:szCs w:val="23"/>
          <w:rtl/>
        </w:rPr>
        <w:t xml:space="preserve">... </w:t>
      </w:r>
      <w:r w:rsidRPr="00EE6ED7">
        <w:rPr>
          <w:sz w:val="23"/>
          <w:szCs w:val="23"/>
          <w:rtl/>
        </w:rPr>
        <w:t>תבלין למצוה</w:t>
      </w:r>
      <w:r w:rsidRPr="00EE6ED7">
        <w:rPr>
          <w:sz w:val="23"/>
          <w:szCs w:val="23"/>
        </w:rPr>
        <w:t>, ed. A. A. Prag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1910), </w:t>
      </w:r>
      <w:r>
        <w:rPr>
          <w:sz w:val="23"/>
          <w:szCs w:val="23"/>
        </w:rPr>
        <w:t xml:space="preserve">p. </w:t>
      </w:r>
      <w:r>
        <w:rPr>
          <w:rFonts w:hint="cs"/>
          <w:sz w:val="23"/>
          <w:szCs w:val="23"/>
          <w:rtl/>
        </w:rPr>
        <w:t>ט ע"ב</w:t>
      </w:r>
      <w:r>
        <w:rPr>
          <w:sz w:val="23"/>
          <w:szCs w:val="23"/>
        </w:rPr>
        <w:t xml:space="preserve"> </w:t>
      </w:r>
      <w:r w:rsidRPr="00EE6ED7">
        <w:rPr>
          <w:sz w:val="23"/>
          <w:szCs w:val="23"/>
        </w:rPr>
        <w:t xml:space="preserve">and the other references cited in </w:t>
      </w:r>
      <w:r w:rsidRPr="00EE6ED7">
        <w:rPr>
          <w:sz w:val="23"/>
          <w:szCs w:val="23"/>
          <w:rtl/>
        </w:rPr>
        <w:t>אוצר מפרשי התלמוד</w:t>
      </w:r>
      <w:r>
        <w:rPr>
          <w:rFonts w:hint="cs"/>
          <w:sz w:val="23"/>
          <w:szCs w:val="23"/>
          <w:rtl/>
        </w:rPr>
        <w:t>,</w:t>
      </w:r>
      <w:r w:rsidRPr="00EE6ED7">
        <w:rPr>
          <w:sz w:val="23"/>
          <w:szCs w:val="23"/>
          <w:rtl/>
        </w:rPr>
        <w:t xml:space="preserve"> פסחים ד</w:t>
      </w:r>
      <w:r w:rsidRPr="00EE6ED7">
        <w:rPr>
          <w:sz w:val="23"/>
          <w:szCs w:val="23"/>
        </w:rPr>
        <w:t xml:space="preserve">, 698 n. 11. </w:t>
      </w:r>
    </w:p>
  </w:footnote>
  <w:footnote w:id="83">
    <w:p w:rsidR="00A465C3" w:rsidRPr="00EE6ED7" w:rsidRDefault="00A465C3" w:rsidP="00342445">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Tur-Sinai, </w:t>
      </w:r>
      <w:r w:rsidRPr="00EE6ED7">
        <w:rPr>
          <w:sz w:val="23"/>
          <w:szCs w:val="23"/>
          <w:rtl/>
        </w:rPr>
        <w:t>מה נשתנה</w:t>
      </w:r>
      <w:r w:rsidRPr="00EE6ED7">
        <w:rPr>
          <w:sz w:val="23"/>
          <w:szCs w:val="23"/>
        </w:rPr>
        <w:t xml:space="preserve">, 287. See n. </w:t>
      </w:r>
      <w:r>
        <w:rPr>
          <w:sz w:val="23"/>
          <w:szCs w:val="23"/>
        </w:rPr>
        <w:fldChar w:fldCharType="begin"/>
      </w:r>
      <w:r>
        <w:rPr>
          <w:sz w:val="23"/>
          <w:szCs w:val="23"/>
        </w:rPr>
        <w:instrText xml:space="preserve"> NOTEREF _Ref200358402 \h </w:instrText>
      </w:r>
      <w:r w:rsidRPr="00342445">
        <w:rPr>
          <w:sz w:val="23"/>
          <w:szCs w:val="23"/>
        </w:rPr>
      </w:r>
      <w:r>
        <w:rPr>
          <w:sz w:val="23"/>
          <w:szCs w:val="23"/>
        </w:rPr>
        <w:fldChar w:fldCharType="separate"/>
      </w:r>
      <w:r w:rsidR="00300213">
        <w:rPr>
          <w:sz w:val="23"/>
          <w:szCs w:val="23"/>
        </w:rPr>
        <w:t>47</w:t>
      </w:r>
      <w:r>
        <w:rPr>
          <w:sz w:val="23"/>
          <w:szCs w:val="23"/>
        </w:rPr>
        <w:fldChar w:fldCharType="end"/>
      </w:r>
      <w:r w:rsidRPr="00EE6ED7">
        <w:rPr>
          <w:sz w:val="23"/>
          <w:szCs w:val="23"/>
        </w:rPr>
        <w:t xml:space="preserve"> above.</w:t>
      </w:r>
    </w:p>
  </w:footnote>
  <w:footnote w:id="8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section IV above.</w:t>
      </w:r>
    </w:p>
  </w:footnote>
  <w:footnote w:id="85">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Adina Moshavi for calling the opposed implications to my attention.</w:t>
      </w:r>
    </w:p>
  </w:footnote>
  <w:footnote w:id="86">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differences between interrogative and exclamative </w:t>
      </w:r>
      <w:r w:rsidRPr="00EE6ED7">
        <w:rPr>
          <w:i/>
          <w:sz w:val="23"/>
          <w:szCs w:val="23"/>
        </w:rPr>
        <w:t>how</w:t>
      </w:r>
      <w:r w:rsidRPr="00EE6ED7">
        <w:rPr>
          <w:sz w:val="23"/>
          <w:szCs w:val="23"/>
        </w:rPr>
        <w:t>/</w:t>
      </w:r>
      <w:r w:rsidRPr="00EE6ED7">
        <w:rPr>
          <w:i/>
          <w:sz w:val="23"/>
          <w:szCs w:val="23"/>
        </w:rPr>
        <w:t>what</w:t>
      </w:r>
      <w:r w:rsidRPr="00EE6ED7">
        <w:rPr>
          <w:sz w:val="23"/>
          <w:szCs w:val="23"/>
        </w:rPr>
        <w:t xml:space="preserve"> in English, see R. D. Huddleston, “Sentence Types and Clause Subordination,” in </w:t>
      </w:r>
      <w:r w:rsidRPr="00EE6ED7">
        <w:rPr>
          <w:i/>
          <w:sz w:val="23"/>
          <w:szCs w:val="23"/>
        </w:rPr>
        <w:t>The Encyclopedia of Language and Linguistics</w:t>
      </w:r>
      <w:r w:rsidRPr="00EE6ED7">
        <w:rPr>
          <w:sz w:val="23"/>
          <w:szCs w:val="23"/>
        </w:rPr>
        <w:t xml:space="preserve"> (ed. R. E. Asher; 1st ed.; Oxford: Pergamon, 1994), 7. 3851; and James D. McCawley, </w:t>
      </w:r>
      <w:r w:rsidRPr="00EE6ED7">
        <w:rPr>
          <w:i/>
          <w:sz w:val="23"/>
          <w:szCs w:val="23"/>
        </w:rPr>
        <w:t>The Syntactic Phenomena of English</w:t>
      </w:r>
      <w:r w:rsidRPr="00EE6ED7">
        <w:rPr>
          <w:sz w:val="23"/>
          <w:szCs w:val="23"/>
        </w:rPr>
        <w:t xml:space="preserve"> (2nd ed.; </w:t>
      </w:r>
      <w:smartTag w:uri="urn:schemas-microsoft-com:office:smarttags" w:element="City">
        <w:r w:rsidRPr="00EE6ED7">
          <w:rPr>
            <w:sz w:val="23"/>
            <w:szCs w:val="23"/>
          </w:rPr>
          <w:t>Chicago</w:t>
        </w:r>
      </w:smartTag>
      <w:r w:rsidRPr="00EE6ED7">
        <w:rPr>
          <w:sz w:val="23"/>
          <w:szCs w:val="23"/>
        </w:rPr>
        <w:t xml:space="preserve">: </w:t>
      </w:r>
      <w:smartTag w:uri="urn:schemas-microsoft-com:office:smarttags" w:element="place">
        <w:smartTag w:uri="urn:schemas-microsoft-com:office:smarttags" w:element="PlaceType">
          <w:r w:rsidRPr="00EE6ED7">
            <w:rPr>
              <w:sz w:val="23"/>
              <w:szCs w:val="23"/>
            </w:rPr>
            <w:t>University</w:t>
          </w:r>
        </w:smartTag>
        <w:r w:rsidRPr="00EE6ED7">
          <w:rPr>
            <w:sz w:val="23"/>
            <w:szCs w:val="23"/>
          </w:rPr>
          <w:t xml:space="preserve"> of </w:t>
        </w:r>
        <w:smartTag w:uri="urn:schemas-microsoft-com:office:smarttags" w:element="PlaceName">
          <w:r w:rsidRPr="00EE6ED7">
            <w:rPr>
              <w:sz w:val="23"/>
              <w:szCs w:val="23"/>
            </w:rPr>
            <w:t>Chicago</w:t>
          </w:r>
        </w:smartTag>
      </w:smartTag>
      <w:r w:rsidRPr="00EE6ED7">
        <w:rPr>
          <w:sz w:val="23"/>
          <w:szCs w:val="23"/>
        </w:rPr>
        <w:t xml:space="preserve"> Press, 1998), 554–60.</w:t>
      </w:r>
    </w:p>
  </w:footnote>
  <w:footnote w:id="87">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the exclamative use of </w:t>
      </w:r>
      <w:r w:rsidRPr="00EE6ED7">
        <w:rPr>
          <w:sz w:val="23"/>
          <w:szCs w:val="23"/>
          <w:rtl/>
        </w:rPr>
        <w:t>כמה</w:t>
      </w:r>
      <w:r w:rsidRPr="00EE6ED7">
        <w:rPr>
          <w:sz w:val="23"/>
          <w:szCs w:val="23"/>
        </w:rPr>
        <w:t xml:space="preserve"> in Rabbinic literature (outside of the Mishnah), see Ben Yehudah, </w:t>
      </w:r>
      <w:r w:rsidRPr="00EE6ED7">
        <w:rPr>
          <w:sz w:val="23"/>
          <w:szCs w:val="23"/>
          <w:rtl/>
        </w:rPr>
        <w:t>מלון</w:t>
      </w:r>
      <w:r w:rsidRPr="00EE6ED7">
        <w:rPr>
          <w:sz w:val="23"/>
          <w:szCs w:val="23"/>
        </w:rPr>
        <w:t xml:space="preserve">, 2414b s.v. </w:t>
      </w:r>
      <w:r w:rsidRPr="00EE6ED7">
        <w:rPr>
          <w:sz w:val="23"/>
          <w:szCs w:val="23"/>
          <w:rtl/>
        </w:rPr>
        <w:t>כמה</w:t>
      </w:r>
      <w:r w:rsidRPr="00EE6ED7">
        <w:rPr>
          <w:sz w:val="23"/>
          <w:szCs w:val="23"/>
        </w:rPr>
        <w:t>. For a biblical precedent (Psa 78:40), see BDB 553b–554a.</w:t>
      </w:r>
    </w:p>
  </w:footnote>
  <w:footnote w:id="88">
    <w:p w:rsidR="00A465C3" w:rsidRPr="00EE6ED7" w:rsidRDefault="00A465C3" w:rsidP="002043CF">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This </w:t>
      </w:r>
      <w:r w:rsidRPr="00EE6ED7">
        <w:rPr>
          <w:sz w:val="23"/>
          <w:szCs w:val="23"/>
          <w:rtl/>
        </w:rPr>
        <w:t>מה נשתנה</w:t>
      </w:r>
      <w:r w:rsidRPr="00EE6ED7">
        <w:rPr>
          <w:sz w:val="23"/>
          <w:szCs w:val="23"/>
        </w:rPr>
        <w:t xml:space="preserve"> question concerning the eve of Sabbath parallels the </w:t>
      </w:r>
      <w:r w:rsidRPr="00EE6ED7">
        <w:rPr>
          <w:sz w:val="23"/>
          <w:szCs w:val="23"/>
          <w:rtl/>
        </w:rPr>
        <w:t>מה נשתנה</w:t>
      </w:r>
      <w:r w:rsidRPr="00EE6ED7">
        <w:rPr>
          <w:sz w:val="23"/>
          <w:szCs w:val="23"/>
        </w:rPr>
        <w:t xml:space="preserve"> question for the night of Passover in a number of ways. </w:t>
      </w:r>
      <w:r>
        <w:rPr>
          <w:sz w:val="23"/>
          <w:szCs w:val="23"/>
        </w:rPr>
        <w:t>Shamma Friedman (</w:t>
      </w:r>
      <w:r w:rsidRPr="00EE6ED7">
        <w:rPr>
          <w:sz w:val="23"/>
          <w:szCs w:val="23"/>
        </w:rPr>
        <w:t>email communication</w:t>
      </w:r>
      <w:r>
        <w:rPr>
          <w:sz w:val="23"/>
          <w:szCs w:val="23"/>
        </w:rPr>
        <w:t xml:space="preserve">) </w:t>
      </w:r>
      <w:r w:rsidRPr="00EE6ED7">
        <w:rPr>
          <w:sz w:val="23"/>
          <w:szCs w:val="23"/>
        </w:rPr>
        <w:t>sums up the similarities as follows:</w:t>
      </w:r>
      <w:r w:rsidRPr="00EE6ED7">
        <w:rPr>
          <w:sz w:val="23"/>
          <w:szCs w:val="23"/>
          <w:rtl/>
        </w:rPr>
        <w:t xml:space="preserve">השינוי בכמות </w:t>
      </w:r>
      <w:r w:rsidRPr="00B56912">
        <w:rPr>
          <w:sz w:val="23"/>
          <w:szCs w:val="23"/>
          <w:rtl/>
        </w:rPr>
        <w:t>המן</w:t>
      </w:r>
      <w:r w:rsidRPr="00EE6ED7">
        <w:rPr>
          <w:sz w:val="23"/>
          <w:szCs w:val="23"/>
          <w:rtl/>
        </w:rPr>
        <w:t xml:space="preserve"> מקביל לשינויים שבליל הפסח; הנשיאים כבנים הם, ומשה כאביהם. מבחינת הסוגה, כאן הדגם הקרוב ביותר ל'מה נשתנה' של ליל הפסח</w:t>
      </w:r>
      <w:r w:rsidRPr="00EE6ED7">
        <w:rPr>
          <w:sz w:val="23"/>
          <w:szCs w:val="23"/>
        </w:rPr>
        <w:t>.</w:t>
      </w:r>
    </w:p>
  </w:footnote>
  <w:footnote w:id="8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Shamma Friedman for this observation.</w:t>
      </w:r>
    </w:p>
  </w:footnote>
  <w:footnote w:id="90">
    <w:p w:rsidR="00A465C3" w:rsidRPr="00EE6ED7" w:rsidRDefault="00A465C3" w:rsidP="00342445">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Libro de Oracyones</w:t>
      </w:r>
      <w:r w:rsidRPr="00EE6ED7">
        <w:rPr>
          <w:sz w:val="23"/>
          <w:szCs w:val="23"/>
        </w:rPr>
        <w:t xml:space="preserve">, 164. See also n. </w:t>
      </w:r>
      <w:r>
        <w:rPr>
          <w:sz w:val="23"/>
          <w:szCs w:val="23"/>
        </w:rPr>
        <w:fldChar w:fldCharType="begin"/>
      </w:r>
      <w:r>
        <w:rPr>
          <w:sz w:val="23"/>
          <w:szCs w:val="23"/>
        </w:rPr>
        <w:instrText xml:space="preserve"> NOTEREF _Ref200358585 \h </w:instrText>
      </w:r>
      <w:r w:rsidRPr="00342445">
        <w:rPr>
          <w:sz w:val="23"/>
          <w:szCs w:val="23"/>
        </w:rPr>
      </w:r>
      <w:r>
        <w:rPr>
          <w:sz w:val="23"/>
          <w:szCs w:val="23"/>
        </w:rPr>
        <w:fldChar w:fldCharType="separate"/>
      </w:r>
      <w:r w:rsidR="00300213">
        <w:rPr>
          <w:sz w:val="23"/>
          <w:szCs w:val="23"/>
        </w:rPr>
        <w:t>148</w:t>
      </w:r>
      <w:r>
        <w:rPr>
          <w:sz w:val="23"/>
          <w:szCs w:val="23"/>
        </w:rPr>
        <w:fldChar w:fldCharType="end"/>
      </w:r>
      <w:r w:rsidRPr="00EE6ED7">
        <w:rPr>
          <w:sz w:val="23"/>
          <w:szCs w:val="23"/>
        </w:rPr>
        <w:t xml:space="preserve"> below. The conjunction </w:t>
      </w:r>
      <w:r w:rsidRPr="00EE6ED7">
        <w:rPr>
          <w:i/>
          <w:sz w:val="23"/>
          <w:szCs w:val="23"/>
        </w:rPr>
        <w:t>y</w:t>
      </w:r>
      <w:r w:rsidRPr="00EE6ED7">
        <w:rPr>
          <w:sz w:val="23"/>
          <w:szCs w:val="23"/>
        </w:rPr>
        <w:t xml:space="preserve"> “and” occurs also in the second </w:t>
      </w:r>
      <w:r w:rsidRPr="00EE6ED7">
        <w:rPr>
          <w:i/>
          <w:sz w:val="23"/>
          <w:szCs w:val="23"/>
        </w:rPr>
        <w:t>que</w:t>
      </w:r>
      <w:r w:rsidRPr="00EE6ED7">
        <w:rPr>
          <w:sz w:val="23"/>
          <w:szCs w:val="23"/>
        </w:rPr>
        <w:t>-clause</w:t>
      </w:r>
      <w:r>
        <w:rPr>
          <w:sz w:val="23"/>
          <w:szCs w:val="23"/>
        </w:rPr>
        <w:t>,</w:t>
      </w:r>
      <w:r w:rsidRPr="00EE6ED7">
        <w:rPr>
          <w:sz w:val="23"/>
          <w:szCs w:val="23"/>
        </w:rPr>
        <w:t xml:space="preserve"> but not the third and fourth.</w:t>
      </w:r>
    </w:p>
  </w:footnote>
  <w:footnote w:id="9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section I above.</w:t>
      </w:r>
    </w:p>
  </w:footnote>
  <w:footnote w:id="92">
    <w:p w:rsidR="00A465C3" w:rsidRPr="00EE6ED7" w:rsidRDefault="00A465C3" w:rsidP="00C51FE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M. </w:t>
      </w:r>
      <w:r>
        <w:rPr>
          <w:sz w:val="23"/>
          <w:szCs w:val="23"/>
        </w:rPr>
        <w:t xml:space="preserve">R. </w:t>
      </w:r>
      <w:r w:rsidRPr="00EE6ED7">
        <w:rPr>
          <w:sz w:val="23"/>
          <w:szCs w:val="23"/>
        </w:rPr>
        <w:t>Lehman</w:t>
      </w:r>
      <w:r>
        <w:rPr>
          <w:sz w:val="23"/>
          <w:szCs w:val="23"/>
        </w:rPr>
        <w:t>n</w:t>
      </w:r>
      <w:r w:rsidRPr="00EE6ED7">
        <w:rPr>
          <w:sz w:val="23"/>
          <w:szCs w:val="23"/>
        </w:rPr>
        <w:t xml:space="preserve">, </w:t>
      </w:r>
      <w:r w:rsidRPr="00EE6ED7">
        <w:rPr>
          <w:sz w:val="23"/>
          <w:szCs w:val="23"/>
          <w:rtl/>
        </w:rPr>
        <w:t>סדר והגדה של פסח לרב נטרונאי גאון על־פי כתב־יד קדמון</w:t>
      </w:r>
      <w:r w:rsidRPr="00EE6ED7">
        <w:rPr>
          <w:sz w:val="23"/>
          <w:szCs w:val="23"/>
        </w:rPr>
        <w:t xml:space="preserve">, in </w:t>
      </w:r>
      <w:r w:rsidRPr="00EE6ED7">
        <w:rPr>
          <w:i/>
          <w:sz w:val="23"/>
          <w:szCs w:val="23"/>
        </w:rPr>
        <w:t>Jubilee Volume in Honor of Moreinu Hagaon Rabbi Joseph B. Soloveitchik</w:t>
      </w:r>
      <w:r w:rsidRPr="00EE6ED7">
        <w:rPr>
          <w:sz w:val="23"/>
          <w:szCs w:val="23"/>
        </w:rPr>
        <w:t>, ed. S. Israeli et al. (Jerusalem: Mos</w:t>
      </w:r>
      <w:r>
        <w:rPr>
          <w:sz w:val="23"/>
          <w:szCs w:val="23"/>
        </w:rPr>
        <w:t>s</w:t>
      </w:r>
      <w:r w:rsidRPr="00EE6ED7">
        <w:rPr>
          <w:sz w:val="23"/>
          <w:szCs w:val="23"/>
        </w:rPr>
        <w:t>ad Harav Kook</w:t>
      </w:r>
      <w:r>
        <w:rPr>
          <w:sz w:val="23"/>
          <w:szCs w:val="23"/>
        </w:rPr>
        <w:t>, 1984</w:t>
      </w:r>
      <w:r w:rsidRPr="00EE6ED7">
        <w:rPr>
          <w:sz w:val="23"/>
          <w:szCs w:val="23"/>
        </w:rPr>
        <w:t>)</w:t>
      </w:r>
      <w:r>
        <w:rPr>
          <w:sz w:val="23"/>
          <w:szCs w:val="23"/>
        </w:rPr>
        <w:t xml:space="preserve"> 2. </w:t>
      </w:r>
      <w:r w:rsidRPr="00EE6ED7">
        <w:rPr>
          <w:sz w:val="23"/>
          <w:szCs w:val="23"/>
        </w:rPr>
        <w:t>986.</w:t>
      </w:r>
    </w:p>
  </w:footnote>
  <w:footnote w:id="93">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w:t>
      </w:r>
      <w:r>
        <w:rPr>
          <w:sz w:val="23"/>
          <w:szCs w:val="23"/>
        </w:rPr>
        <w:t xml:space="preserve">p. </w:t>
      </w:r>
      <w:r>
        <w:rPr>
          <w:rFonts w:hint="cs"/>
          <w:sz w:val="23"/>
          <w:szCs w:val="23"/>
          <w:rtl/>
        </w:rPr>
        <w:t>ל</w:t>
      </w:r>
      <w:r w:rsidRPr="00EE6ED7">
        <w:rPr>
          <w:sz w:val="23"/>
          <w:szCs w:val="23"/>
        </w:rPr>
        <w:t>.</w:t>
      </w:r>
    </w:p>
  </w:footnote>
  <w:footnote w:id="94">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אוצר הראשונים על הגדה של פסח</w:t>
      </w:r>
      <w:r w:rsidRPr="00EE6ED7">
        <w:rPr>
          <w:sz w:val="23"/>
          <w:szCs w:val="23"/>
        </w:rPr>
        <w:t>, 195.</w:t>
      </w:r>
    </w:p>
  </w:footnote>
  <w:footnote w:id="95">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ספר תניא רבתי</w:t>
      </w:r>
      <w:r w:rsidRPr="00EE6ED7">
        <w:rPr>
          <w:sz w:val="23"/>
          <w:szCs w:val="23"/>
        </w:rPr>
        <w:t xml:space="preserve"> (Warsaw: Y. Goldman, 1879)</w:t>
      </w:r>
      <w:r>
        <w:rPr>
          <w:sz w:val="23"/>
          <w:szCs w:val="23"/>
        </w:rPr>
        <w:t xml:space="preserve">, </w:t>
      </w:r>
      <w:r w:rsidRPr="00EE6ED7">
        <w:rPr>
          <w:sz w:val="23"/>
          <w:szCs w:val="23"/>
        </w:rPr>
        <w:t>96.</w:t>
      </w:r>
    </w:p>
  </w:footnote>
  <w:footnote w:id="96">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w:t>
      </w:r>
      <w:r>
        <w:rPr>
          <w:sz w:val="23"/>
          <w:szCs w:val="23"/>
        </w:rPr>
        <w:t xml:space="preserve">p. </w:t>
      </w:r>
      <w:r>
        <w:rPr>
          <w:rFonts w:hint="cs"/>
          <w:sz w:val="23"/>
          <w:szCs w:val="23"/>
          <w:rtl/>
        </w:rPr>
        <w:t>ל</w:t>
      </w:r>
      <w:r w:rsidRPr="00EE6ED7">
        <w:rPr>
          <w:sz w:val="23"/>
          <w:szCs w:val="23"/>
        </w:rPr>
        <w:t>.</w:t>
      </w:r>
    </w:p>
  </w:footnote>
  <w:footnote w:id="97">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אוצר הראשונים על הגדה של פסח</w:t>
      </w:r>
      <w:r w:rsidRPr="00EE6ED7">
        <w:rPr>
          <w:sz w:val="23"/>
          <w:szCs w:val="23"/>
        </w:rPr>
        <w:t>, 15.</w:t>
      </w:r>
    </w:p>
  </w:footnote>
  <w:footnote w:id="98">
    <w:p w:rsidR="00A465C3" w:rsidRPr="00EE6ED7" w:rsidRDefault="00A465C3" w:rsidP="0043578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Our printed editions have punctuation here, but this contradicts all of the textual witnesses, according to Kasher, </w:t>
      </w:r>
      <w:r w:rsidRPr="00EE6ED7">
        <w:rPr>
          <w:sz w:val="23"/>
          <w:szCs w:val="23"/>
          <w:rtl/>
        </w:rPr>
        <w:t>הגדה שלמה</w:t>
      </w:r>
      <w:r w:rsidRPr="00EE6ED7">
        <w:rPr>
          <w:sz w:val="23"/>
          <w:szCs w:val="23"/>
        </w:rPr>
        <w:t xml:space="preserve">, pp. 35 and </w:t>
      </w:r>
      <w:r w:rsidRPr="00EE6ED7">
        <w:rPr>
          <w:sz w:val="23"/>
          <w:szCs w:val="23"/>
          <w:rtl/>
        </w:rPr>
        <w:t>רב</w:t>
      </w:r>
      <w:r w:rsidRPr="00EE6ED7">
        <w:rPr>
          <w:sz w:val="23"/>
          <w:szCs w:val="23"/>
        </w:rPr>
        <w:t xml:space="preserve">; and D. Halivni, </w:t>
      </w:r>
      <w:r w:rsidRPr="00EE6ED7">
        <w:rPr>
          <w:sz w:val="23"/>
          <w:szCs w:val="23"/>
          <w:rtl/>
        </w:rPr>
        <w:t>ב</w:t>
      </w:r>
      <w:r>
        <w:rPr>
          <w:rFonts w:hint="cs"/>
          <w:sz w:val="23"/>
          <w:szCs w:val="23"/>
          <w:rtl/>
        </w:rPr>
        <w:t>י</w:t>
      </w:r>
      <w:r w:rsidRPr="00EE6ED7">
        <w:rPr>
          <w:sz w:val="23"/>
          <w:szCs w:val="23"/>
          <w:rtl/>
        </w:rPr>
        <w:t>אורים בשאלות 'מה נשתנה'</w:t>
      </w:r>
      <w:r w:rsidRPr="00EE6ED7">
        <w:rPr>
          <w:sz w:val="23"/>
          <w:szCs w:val="23"/>
        </w:rPr>
        <w:t xml:space="preserve"> in </w:t>
      </w:r>
      <w:r w:rsidRPr="00EE6ED7">
        <w:rPr>
          <w:i/>
          <w:sz w:val="23"/>
          <w:szCs w:val="23"/>
        </w:rPr>
        <w:t>Studies in Aggadah, Targum and Jewish Liturgy in Memory of Joseph Heinemann</w:t>
      </w:r>
      <w:r w:rsidRPr="00EE6ED7">
        <w:rPr>
          <w:sz w:val="23"/>
          <w:szCs w:val="23"/>
        </w:rPr>
        <w:t xml:space="preserve">, ed. J. J. Petuchowski and E. Fleischer (Jerusalem: Magnes, 1981), pp. </w:t>
      </w:r>
      <w:r w:rsidRPr="00EE6ED7">
        <w:rPr>
          <w:sz w:val="23"/>
          <w:szCs w:val="23"/>
          <w:rtl/>
        </w:rPr>
        <w:t>סח</w:t>
      </w:r>
      <w:r w:rsidRPr="00EE6ED7">
        <w:rPr>
          <w:sz w:val="23"/>
          <w:szCs w:val="23"/>
        </w:rPr>
        <w:t>–</w:t>
      </w:r>
      <w:r w:rsidRPr="00EE6ED7">
        <w:rPr>
          <w:sz w:val="23"/>
          <w:szCs w:val="23"/>
          <w:rtl/>
        </w:rPr>
        <w:t>סט</w:t>
      </w:r>
      <w:r w:rsidRPr="00EE6ED7">
        <w:rPr>
          <w:sz w:val="23"/>
          <w:szCs w:val="23"/>
        </w:rPr>
        <w:t xml:space="preserve"> = id</w:t>
      </w:r>
      <w:r>
        <w:rPr>
          <w:sz w:val="23"/>
          <w:szCs w:val="23"/>
        </w:rPr>
        <w:t>em</w:t>
      </w:r>
      <w:r w:rsidRPr="00EE6ED7">
        <w:rPr>
          <w:sz w:val="23"/>
          <w:szCs w:val="23"/>
        </w:rPr>
        <w:t>,</w:t>
      </w:r>
      <w:r>
        <w:rPr>
          <w:sz w:val="23"/>
          <w:szCs w:val="23"/>
          <w:rtl/>
        </w:rPr>
        <w:t>מקורות ומסורות</w:t>
      </w:r>
      <w:r>
        <w:rPr>
          <w:rFonts w:hint="cs"/>
          <w:sz w:val="23"/>
          <w:szCs w:val="23"/>
          <w:rtl/>
        </w:rPr>
        <w:t>,</w:t>
      </w:r>
      <w:r w:rsidRPr="00EE6ED7">
        <w:rPr>
          <w:sz w:val="23"/>
          <w:szCs w:val="23"/>
          <w:rtl/>
        </w:rPr>
        <w:t xml:space="preserve"> מסכתות עירובין ופסחים</w:t>
      </w:r>
      <w:r w:rsidRPr="00EE6ED7">
        <w:rPr>
          <w:sz w:val="23"/>
          <w:szCs w:val="23"/>
        </w:rPr>
        <w:t xml:space="preserve"> (Jerusalem: JTSA: 1982), pp. </w:t>
      </w:r>
      <w:r w:rsidRPr="00EE6ED7">
        <w:rPr>
          <w:sz w:val="23"/>
          <w:szCs w:val="23"/>
          <w:rtl/>
        </w:rPr>
        <w:t>תקפ</w:t>
      </w:r>
      <w:r w:rsidRPr="00EE6ED7">
        <w:rPr>
          <w:sz w:val="23"/>
          <w:szCs w:val="23"/>
        </w:rPr>
        <w:t>–</w:t>
      </w:r>
      <w:r w:rsidRPr="00EE6ED7">
        <w:rPr>
          <w:sz w:val="23"/>
          <w:szCs w:val="23"/>
          <w:rtl/>
        </w:rPr>
        <w:t>תקפא</w:t>
      </w:r>
      <w:r w:rsidRPr="00EE6ED7">
        <w:rPr>
          <w:sz w:val="23"/>
          <w:szCs w:val="23"/>
        </w:rPr>
        <w:t>.</w:t>
      </w:r>
    </w:p>
  </w:footnote>
  <w:footnote w:id="9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Cf. </w:t>
      </w:r>
      <w:r w:rsidRPr="00EE6ED7">
        <w:rPr>
          <w:i/>
          <w:sz w:val="23"/>
          <w:szCs w:val="23"/>
        </w:rPr>
        <w:t>Der Babylonische Talmud</w:t>
      </w:r>
      <w:r w:rsidRPr="00EE6ED7">
        <w:rPr>
          <w:sz w:val="23"/>
          <w:szCs w:val="23"/>
        </w:rPr>
        <w:t>, transl. Lazarus Goldschmidt (Berlin: Jüdisc</w:t>
      </w:r>
      <w:r>
        <w:rPr>
          <w:sz w:val="23"/>
          <w:szCs w:val="23"/>
        </w:rPr>
        <w:t>her Verlag, 1930), 2. 664: “...</w:t>
      </w:r>
      <w:r w:rsidRPr="00EE6ED7">
        <w:rPr>
          <w:sz w:val="23"/>
          <w:szCs w:val="23"/>
        </w:rPr>
        <w:t>und nun richte das Kind an seinen Vater die folgenden Fragen, die, wenn das Kind dazu keinen Verstand hat, sein Vater es lehre: Warum</w:t>
      </w:r>
      <w:r>
        <w:rPr>
          <w:sz w:val="23"/>
          <w:szCs w:val="23"/>
        </w:rPr>
        <w:t>...</w:t>
      </w:r>
      <w:r w:rsidRPr="00EE6ED7">
        <w:rPr>
          <w:sz w:val="23"/>
          <w:szCs w:val="23"/>
        </w:rPr>
        <w:t xml:space="preserve">” Contrast Tur-Sinai, </w:t>
      </w:r>
      <w:r w:rsidRPr="00EE6ED7">
        <w:rPr>
          <w:sz w:val="23"/>
          <w:szCs w:val="23"/>
          <w:rtl/>
        </w:rPr>
        <w:t>מה נשתנה</w:t>
      </w:r>
      <w:r w:rsidRPr="00EE6ED7">
        <w:rPr>
          <w:sz w:val="23"/>
          <w:szCs w:val="23"/>
        </w:rPr>
        <w:t xml:space="preserve">, 288–91; Shmuel Safrai and Ze’ev Safrai, </w:t>
      </w:r>
      <w:r w:rsidRPr="00EE6ED7">
        <w:rPr>
          <w:sz w:val="23"/>
          <w:szCs w:val="23"/>
          <w:rtl/>
        </w:rPr>
        <w:t>הגדת חז"ל</w:t>
      </w:r>
      <w:r w:rsidRPr="00EE6ED7">
        <w:rPr>
          <w:sz w:val="23"/>
          <w:szCs w:val="23"/>
        </w:rPr>
        <w:t xml:space="preserve"> (Jerusalem: </w:t>
      </w:r>
      <w:r>
        <w:rPr>
          <w:sz w:val="23"/>
          <w:szCs w:val="23"/>
        </w:rPr>
        <w:t>C</w:t>
      </w:r>
      <w:r w:rsidRPr="00EE6ED7">
        <w:rPr>
          <w:sz w:val="23"/>
          <w:szCs w:val="23"/>
        </w:rPr>
        <w:t xml:space="preserve">arta, 1998), 31–32, 206; and Halivni, </w:t>
      </w:r>
      <w:r w:rsidRPr="00EE6ED7">
        <w:rPr>
          <w:sz w:val="23"/>
          <w:szCs w:val="23"/>
          <w:rtl/>
        </w:rPr>
        <w:t>באורים</w:t>
      </w:r>
      <w:r w:rsidRPr="00EE6ED7">
        <w:rPr>
          <w:sz w:val="23"/>
          <w:szCs w:val="23"/>
        </w:rPr>
        <w:t xml:space="preserve">, pp. </w:t>
      </w:r>
      <w:r w:rsidRPr="00EE6ED7">
        <w:rPr>
          <w:sz w:val="23"/>
          <w:szCs w:val="23"/>
          <w:rtl/>
        </w:rPr>
        <w:t>סז</w:t>
      </w:r>
      <w:r w:rsidRPr="00EE6ED7">
        <w:rPr>
          <w:sz w:val="23"/>
          <w:szCs w:val="23"/>
        </w:rPr>
        <w:t>–</w:t>
      </w:r>
      <w:r w:rsidRPr="00EE6ED7">
        <w:rPr>
          <w:sz w:val="23"/>
          <w:szCs w:val="23"/>
          <w:rtl/>
        </w:rPr>
        <w:t>סח</w:t>
      </w:r>
      <w:r w:rsidRPr="00EE6ED7">
        <w:rPr>
          <w:sz w:val="23"/>
          <w:szCs w:val="23"/>
        </w:rPr>
        <w:t xml:space="preserve"> = </w:t>
      </w:r>
      <w:r w:rsidRPr="00EE6ED7">
        <w:rPr>
          <w:sz w:val="23"/>
          <w:szCs w:val="23"/>
          <w:rtl/>
        </w:rPr>
        <w:t>מקורות ומסורות</w:t>
      </w:r>
      <w:r w:rsidRPr="00EE6ED7">
        <w:rPr>
          <w:sz w:val="23"/>
          <w:szCs w:val="23"/>
        </w:rPr>
        <w:t xml:space="preserve">, p. </w:t>
      </w:r>
      <w:r w:rsidRPr="00EE6ED7">
        <w:rPr>
          <w:sz w:val="23"/>
          <w:szCs w:val="23"/>
          <w:rtl/>
        </w:rPr>
        <w:t>תקפ</w:t>
      </w:r>
      <w:r w:rsidRPr="00EE6ED7">
        <w:rPr>
          <w:sz w:val="23"/>
          <w:szCs w:val="23"/>
        </w:rPr>
        <w:t>.</w:t>
      </w:r>
    </w:p>
  </w:footnote>
  <w:footnote w:id="100">
    <w:p w:rsidR="00A465C3" w:rsidRPr="00EE6ED7" w:rsidRDefault="00A465C3" w:rsidP="00DD1E1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Shamma Friedman for this point.</w:t>
      </w:r>
      <w:r>
        <w:rPr>
          <w:sz w:val="23"/>
          <w:szCs w:val="23"/>
        </w:rPr>
        <w:t xml:space="preserve"> Cf. R. Eliezer b. Joel Ha-Levi’s paraphrase: </w:t>
      </w:r>
      <w:r>
        <w:rPr>
          <w:rFonts w:hint="cs"/>
          <w:sz w:val="23"/>
          <w:szCs w:val="23"/>
          <w:rtl/>
        </w:rPr>
        <w:t>ואם אינו יודע הבן לשאול</w:t>
      </w:r>
      <w:r>
        <w:rPr>
          <w:sz w:val="23"/>
          <w:szCs w:val="23"/>
        </w:rPr>
        <w:t>, cited above.</w:t>
      </w:r>
    </w:p>
  </w:footnote>
  <w:footnote w:id="101">
    <w:p w:rsidR="00A465C3" w:rsidRPr="00EE6ED7" w:rsidRDefault="00A465C3" w:rsidP="00BC525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 xml:space="preserve">For the BT witnesses, see the CD-ROM of the Saul Lieberman Institute, search query: </w:t>
      </w:r>
      <w:r>
        <w:rPr>
          <w:rFonts w:hint="cs"/>
          <w:sz w:val="23"/>
          <w:szCs w:val="23"/>
          <w:rtl/>
        </w:rPr>
        <w:t>דעת לשאול</w:t>
      </w:r>
      <w:r>
        <w:rPr>
          <w:sz w:val="23"/>
          <w:szCs w:val="23"/>
        </w:rPr>
        <w:t xml:space="preserve">. (I am indebted to </w:t>
      </w:r>
      <w:smartTag w:uri="urn:schemas-microsoft-com:office:smarttags" w:element="PersonName">
        <w:r>
          <w:rPr>
            <w:sz w:val="23"/>
            <w:szCs w:val="23"/>
          </w:rPr>
          <w:t>Leib Moscovitz</w:t>
        </w:r>
      </w:smartTag>
      <w:r>
        <w:rPr>
          <w:sz w:val="23"/>
          <w:szCs w:val="23"/>
        </w:rPr>
        <w:t xml:space="preserve"> for calling my attention to these witnesses.) The reading </w:t>
      </w:r>
      <w:r>
        <w:rPr>
          <w:rFonts w:hint="cs"/>
          <w:sz w:val="23"/>
          <w:szCs w:val="23"/>
          <w:rtl/>
        </w:rPr>
        <w:t>דעת לשאול</w:t>
      </w:r>
      <w:r>
        <w:rPr>
          <w:sz w:val="23"/>
          <w:szCs w:val="23"/>
        </w:rPr>
        <w:t xml:space="preserve"> is almost certainly less original than its competitor, </w:t>
      </w:r>
      <w:r>
        <w:rPr>
          <w:rFonts w:hint="cs"/>
          <w:sz w:val="23"/>
          <w:szCs w:val="23"/>
          <w:rtl/>
        </w:rPr>
        <w:t>דעת לישאל</w:t>
      </w:r>
      <w:r>
        <w:rPr>
          <w:sz w:val="23"/>
          <w:szCs w:val="23"/>
        </w:rPr>
        <w:t xml:space="preserve">; cf. </w:t>
      </w:r>
      <w:r w:rsidRPr="00EE6ED7">
        <w:rPr>
          <w:sz w:val="23"/>
          <w:szCs w:val="23"/>
        </w:rPr>
        <w:t xml:space="preserve">t.Toh 3:7, </w:t>
      </w:r>
      <w:r>
        <w:rPr>
          <w:sz w:val="23"/>
          <w:szCs w:val="23"/>
        </w:rPr>
        <w:t xml:space="preserve">where </w:t>
      </w:r>
      <w:r w:rsidRPr="00EE6ED7">
        <w:rPr>
          <w:sz w:val="23"/>
          <w:szCs w:val="23"/>
        </w:rPr>
        <w:t xml:space="preserve">the phrase is parallel to the phrase </w:t>
      </w:r>
      <w:r w:rsidRPr="00EE6ED7">
        <w:rPr>
          <w:sz w:val="23"/>
          <w:szCs w:val="23"/>
          <w:rtl/>
        </w:rPr>
        <w:t>אביו נשאל עליו</w:t>
      </w:r>
      <w:r w:rsidRPr="00EE6ED7">
        <w:rPr>
          <w:sz w:val="23"/>
          <w:szCs w:val="23"/>
        </w:rPr>
        <w:t xml:space="preserve">, </w:t>
      </w:r>
      <w:r>
        <w:rPr>
          <w:sz w:val="23"/>
          <w:szCs w:val="23"/>
        </w:rPr>
        <w:t>with an</w:t>
      </w:r>
      <w:r w:rsidRPr="00EE6ED7">
        <w:rPr>
          <w:sz w:val="23"/>
          <w:szCs w:val="23"/>
        </w:rPr>
        <w:t xml:space="preserve"> unambiguous </w:t>
      </w:r>
      <w:r w:rsidRPr="00EE6ED7">
        <w:rPr>
          <w:i/>
          <w:sz w:val="23"/>
          <w:szCs w:val="23"/>
        </w:rPr>
        <w:t>nif‘al</w:t>
      </w:r>
      <w:r w:rsidRPr="00EE6ED7">
        <w:rPr>
          <w:sz w:val="23"/>
          <w:szCs w:val="23"/>
        </w:rPr>
        <w:t>.</w:t>
      </w:r>
      <w:r>
        <w:rPr>
          <w:sz w:val="23"/>
          <w:szCs w:val="23"/>
        </w:rPr>
        <w:t xml:space="preserve"> Nevertheless, the change may shed light on how the Mishnah’s phrase </w:t>
      </w:r>
      <w:r>
        <w:rPr>
          <w:rFonts w:hint="cs"/>
          <w:sz w:val="23"/>
          <w:szCs w:val="23"/>
          <w:rtl/>
        </w:rPr>
        <w:t>אם אין דעת בבן</w:t>
      </w:r>
      <w:r>
        <w:rPr>
          <w:sz w:val="23"/>
          <w:szCs w:val="23"/>
        </w:rPr>
        <w:t xml:space="preserve"> was understood at an early period.</w:t>
      </w:r>
    </w:p>
  </w:footnote>
  <w:footnote w:id="10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M</w:t>
      </w:r>
      <w:r>
        <w:rPr>
          <w:sz w:val="23"/>
          <w:szCs w:val="23"/>
        </w:rPr>
        <w:t>oshe</w:t>
      </w:r>
      <w:r w:rsidRPr="00EE6ED7">
        <w:rPr>
          <w:sz w:val="23"/>
          <w:szCs w:val="23"/>
        </w:rPr>
        <w:t xml:space="preserve"> Azar, </w:t>
      </w:r>
      <w:r w:rsidRPr="00EE6ED7">
        <w:rPr>
          <w:sz w:val="23"/>
          <w:szCs w:val="23"/>
          <w:rtl/>
        </w:rPr>
        <w:t>תחביר לשון המשנה</w:t>
      </w:r>
      <w:r w:rsidRPr="00EE6ED7">
        <w:rPr>
          <w:sz w:val="23"/>
          <w:szCs w:val="23"/>
        </w:rPr>
        <w:t xml:space="preserve"> (Jerusalem: The Academy of the Hebrew Language, 1995), 294–95.</w:t>
      </w:r>
    </w:p>
  </w:footnote>
  <w:footnote w:id="103">
    <w:p w:rsidR="00A465C3" w:rsidRPr="00EE6ED7" w:rsidRDefault="00A465C3" w:rsidP="00901BA2">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לליל שמרים כמנהג אשכנז ופולין</w:t>
      </w:r>
      <w:r w:rsidRPr="00EE6ED7">
        <w:rPr>
          <w:sz w:val="23"/>
          <w:szCs w:val="23"/>
        </w:rPr>
        <w:t xml:space="preserve">; </w:t>
      </w:r>
      <w:r w:rsidRPr="00EE6ED7">
        <w:rPr>
          <w:i/>
          <w:sz w:val="23"/>
          <w:szCs w:val="23"/>
        </w:rPr>
        <w:t>Service for the First Nights of Passover According to the Custom of the German and Polish Jews</w:t>
      </w:r>
      <w:r w:rsidRPr="00EE6ED7">
        <w:rPr>
          <w:sz w:val="23"/>
          <w:szCs w:val="23"/>
        </w:rPr>
        <w:t>, transl. A. P. Mendes (</w:t>
      </w:r>
      <w:r>
        <w:rPr>
          <w:sz w:val="23"/>
          <w:szCs w:val="23"/>
        </w:rPr>
        <w:t xml:space="preserve">3rd ed.; </w:t>
      </w:r>
      <w:smartTag w:uri="urn:schemas-microsoft-com:office:smarttags" w:element="City">
        <w:smartTag w:uri="urn:schemas-microsoft-com:office:smarttags" w:element="place">
          <w:r w:rsidRPr="00EE6ED7">
            <w:rPr>
              <w:sz w:val="23"/>
              <w:szCs w:val="23"/>
            </w:rPr>
            <w:t>London</w:t>
          </w:r>
        </w:smartTag>
      </w:smartTag>
      <w:r w:rsidRPr="00EE6ED7">
        <w:rPr>
          <w:sz w:val="23"/>
          <w:szCs w:val="23"/>
        </w:rPr>
        <w:t>: P. Vallentine, 1862), 7–8.</w:t>
      </w:r>
    </w:p>
  </w:footnote>
  <w:footnote w:id="104">
    <w:p w:rsidR="00A465C3" w:rsidRPr="00EE6ED7" w:rsidRDefault="00A465C3" w:rsidP="00032B0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Cf. the later translations of Baneth and Goldschmidt quoted in section II above</w:t>
      </w:r>
      <w:r>
        <w:rPr>
          <w:sz w:val="23"/>
          <w:szCs w:val="23"/>
        </w:rPr>
        <w:t>.</w:t>
      </w:r>
      <w:r w:rsidRPr="00EE6ED7">
        <w:rPr>
          <w:sz w:val="23"/>
          <w:szCs w:val="23"/>
        </w:rPr>
        <w:t xml:space="preserve"> But cf. also n. </w:t>
      </w:r>
      <w:r>
        <w:rPr>
          <w:sz w:val="23"/>
          <w:szCs w:val="23"/>
        </w:rPr>
        <w:fldChar w:fldCharType="begin"/>
      </w:r>
      <w:r>
        <w:rPr>
          <w:sz w:val="23"/>
          <w:szCs w:val="23"/>
        </w:rPr>
        <w:instrText xml:space="preserve"> NOTEREF _Ref200358700 \h </w:instrText>
      </w:r>
      <w:r w:rsidRPr="00032B0E">
        <w:rPr>
          <w:sz w:val="23"/>
          <w:szCs w:val="23"/>
        </w:rPr>
      </w:r>
      <w:r>
        <w:rPr>
          <w:sz w:val="23"/>
          <w:szCs w:val="23"/>
        </w:rPr>
        <w:fldChar w:fldCharType="separate"/>
      </w:r>
      <w:r w:rsidR="00300213">
        <w:rPr>
          <w:sz w:val="23"/>
          <w:szCs w:val="23"/>
        </w:rPr>
        <w:t>42</w:t>
      </w:r>
      <w:r>
        <w:rPr>
          <w:sz w:val="23"/>
          <w:szCs w:val="23"/>
        </w:rPr>
        <w:fldChar w:fldCharType="end"/>
      </w:r>
      <w:r>
        <w:rPr>
          <w:sz w:val="23"/>
          <w:szCs w:val="23"/>
        </w:rPr>
        <w:t xml:space="preserve"> </w:t>
      </w:r>
      <w:r w:rsidRPr="00EE6ED7">
        <w:rPr>
          <w:sz w:val="23"/>
          <w:szCs w:val="23"/>
        </w:rPr>
        <w:t>above.</w:t>
      </w:r>
    </w:p>
  </w:footnote>
  <w:footnote w:id="105">
    <w:p w:rsidR="00A465C3" w:rsidRPr="00EE6ED7" w:rsidRDefault="00A465C3" w:rsidP="003D77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w:t>
      </w:r>
      <w:r>
        <w:rPr>
          <w:sz w:val="23"/>
          <w:szCs w:val="23"/>
          <w:rtl/>
        </w:rPr>
        <w:t xml:space="preserve">... </w:t>
      </w:r>
      <w:r w:rsidRPr="00EE6ED7">
        <w:rPr>
          <w:sz w:val="23"/>
          <w:szCs w:val="23"/>
          <w:rtl/>
        </w:rPr>
        <w:t>ארבע יסודות וארבע עמודי עולם</w:t>
      </w:r>
      <w:r w:rsidRPr="00EE6ED7">
        <w:rPr>
          <w:sz w:val="23"/>
          <w:szCs w:val="23"/>
        </w:rPr>
        <w:t xml:space="preserve"> (Amsterdam: Yo</w:t>
      </w:r>
      <w:r w:rsidRPr="007C0E5A">
        <w:rPr>
          <w:rFonts w:ascii="CalSemitic" w:hAnsi="CalSemitic"/>
          <w:szCs w:val="23"/>
        </w:rPr>
        <w:t>x</w:t>
      </w:r>
      <w:r w:rsidRPr="00EE6ED7">
        <w:rPr>
          <w:sz w:val="23"/>
          <w:szCs w:val="23"/>
        </w:rPr>
        <w:t xml:space="preserve">anan Levi Rofe, 1783), 20b. (In addition to this edition, YU owns two other editions of the commentary printed—apparently a few years later—in </w:t>
      </w:r>
      <w:smartTag w:uri="urn:schemas-microsoft-com:office:smarttags" w:element="place">
        <w:smartTag w:uri="urn:schemas-microsoft-com:office:smarttags" w:element="City">
          <w:r w:rsidRPr="00EE6ED7">
            <w:rPr>
              <w:sz w:val="23"/>
              <w:szCs w:val="23"/>
            </w:rPr>
            <w:t>Offenbach</w:t>
          </w:r>
        </w:smartTag>
      </w:smartTag>
      <w:r w:rsidRPr="00EE6ED7">
        <w:rPr>
          <w:sz w:val="23"/>
          <w:szCs w:val="23"/>
        </w:rPr>
        <w:t xml:space="preserve"> by Zevi Hirsh Segal Spitz of Pressburg; see the next footnote.) The translation appears in the </w:t>
      </w:r>
      <w:r w:rsidRPr="00EE6ED7">
        <w:rPr>
          <w:sz w:val="23"/>
          <w:szCs w:val="23"/>
          <w:rtl/>
        </w:rPr>
        <w:t>יסוד האהבה</w:t>
      </w:r>
      <w:r w:rsidRPr="00EE6ED7">
        <w:rPr>
          <w:sz w:val="23"/>
          <w:szCs w:val="23"/>
        </w:rPr>
        <w:t xml:space="preserve"> component of the </w:t>
      </w:r>
      <w:r w:rsidRPr="00EE6ED7">
        <w:rPr>
          <w:sz w:val="23"/>
          <w:szCs w:val="23"/>
          <w:rtl/>
        </w:rPr>
        <w:t>ארבע יסודות</w:t>
      </w:r>
      <w:r w:rsidRPr="00EE6ED7">
        <w:rPr>
          <w:sz w:val="23"/>
          <w:szCs w:val="23"/>
        </w:rPr>
        <w:t xml:space="preserve"> commentary.</w:t>
      </w:r>
    </w:p>
  </w:footnote>
  <w:footnote w:id="106">
    <w:p w:rsidR="00A465C3" w:rsidRPr="00EE6ED7" w:rsidRDefault="00A465C3" w:rsidP="008D69CA">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Middle German </w:t>
      </w:r>
      <w:r w:rsidRPr="00EE6ED7">
        <w:rPr>
          <w:i/>
          <w:sz w:val="23"/>
          <w:szCs w:val="23"/>
        </w:rPr>
        <w:t>min</w:t>
      </w:r>
      <w:r w:rsidRPr="00EE6ED7">
        <w:rPr>
          <w:sz w:val="23"/>
          <w:szCs w:val="23"/>
        </w:rPr>
        <w:t xml:space="preserve"> “less,” </w:t>
      </w:r>
      <w:r w:rsidRPr="00EE6ED7">
        <w:rPr>
          <w:i/>
          <w:sz w:val="23"/>
          <w:szCs w:val="23"/>
        </w:rPr>
        <w:t>weder</w:t>
      </w:r>
      <w:r w:rsidRPr="00EE6ED7">
        <w:rPr>
          <w:sz w:val="23"/>
          <w:szCs w:val="23"/>
        </w:rPr>
        <w:t xml:space="preserve"> “than” and </w:t>
      </w:r>
      <w:r w:rsidRPr="00EE6ED7">
        <w:rPr>
          <w:i/>
          <w:sz w:val="23"/>
          <w:szCs w:val="23"/>
        </w:rPr>
        <w:t>mehrer</w:t>
      </w:r>
      <w:r w:rsidRPr="00EE6ED7">
        <w:rPr>
          <w:sz w:val="23"/>
          <w:szCs w:val="23"/>
        </w:rPr>
        <w:t xml:space="preserve"> “more,” see Jacob and Wilhelm Grimm, </w:t>
      </w:r>
      <w:r w:rsidRPr="00EE6ED7">
        <w:rPr>
          <w:i/>
          <w:sz w:val="23"/>
          <w:szCs w:val="23"/>
        </w:rPr>
        <w:t>Deutsches Wörterbuch</w:t>
      </w:r>
      <w:r w:rsidRPr="00EE6ED7">
        <w:rPr>
          <w:sz w:val="23"/>
          <w:szCs w:val="23"/>
        </w:rPr>
        <w:t xml:space="preserve"> (Leipzig: 1854–1960), s.v. (I used the online edition.) The commentary explains later that the night is </w:t>
      </w:r>
      <w:r w:rsidRPr="00EE6ED7">
        <w:rPr>
          <w:sz w:val="23"/>
          <w:szCs w:val="23"/>
          <w:rtl/>
        </w:rPr>
        <w:t>חסר</w:t>
      </w:r>
      <w:r w:rsidRPr="00EE6ED7">
        <w:rPr>
          <w:sz w:val="23"/>
          <w:szCs w:val="23"/>
        </w:rPr>
        <w:t xml:space="preserve"> in one respect (unleavened bread) and </w:t>
      </w:r>
      <w:r w:rsidRPr="00EE6ED7">
        <w:rPr>
          <w:sz w:val="23"/>
          <w:szCs w:val="23"/>
          <w:rtl/>
        </w:rPr>
        <w:t>יתיר</w:t>
      </w:r>
      <w:r w:rsidRPr="00EE6ED7">
        <w:rPr>
          <w:sz w:val="23"/>
          <w:szCs w:val="23"/>
        </w:rPr>
        <w:t xml:space="preserve"> in another (dipping). This unique translation disappears in the two </w:t>
      </w:r>
      <w:smartTag w:uri="urn:schemas-microsoft-com:office:smarttags" w:element="place">
        <w:smartTag w:uri="urn:schemas-microsoft-com:office:smarttags" w:element="City">
          <w:r w:rsidRPr="00EE6ED7">
            <w:rPr>
              <w:sz w:val="23"/>
              <w:szCs w:val="23"/>
            </w:rPr>
            <w:t>Offenbach</w:t>
          </w:r>
        </w:smartTag>
      </w:smartTag>
      <w:r w:rsidRPr="00EE6ED7">
        <w:rPr>
          <w:sz w:val="23"/>
          <w:szCs w:val="23"/>
        </w:rPr>
        <w:t xml:space="preserve"> editions mentioned in the previous footnote. In those editions, the words </w:t>
      </w:r>
      <w:r w:rsidRPr="00EE6ED7">
        <w:rPr>
          <w:sz w:val="23"/>
          <w:szCs w:val="23"/>
          <w:rtl/>
        </w:rPr>
        <w:t>מין װעדר אודיר</w:t>
      </w:r>
      <w:r w:rsidRPr="00EE6ED7">
        <w:rPr>
          <w:sz w:val="23"/>
          <w:szCs w:val="23"/>
        </w:rPr>
        <w:t xml:space="preserve"> are omitted (and in one of them </w:t>
      </w:r>
      <w:r w:rsidRPr="00EE6ED7">
        <w:rPr>
          <w:sz w:val="23"/>
          <w:szCs w:val="23"/>
          <w:rtl/>
        </w:rPr>
        <w:t>מעהרר</w:t>
      </w:r>
      <w:r w:rsidRPr="00EE6ED7">
        <w:rPr>
          <w:sz w:val="23"/>
          <w:szCs w:val="23"/>
        </w:rPr>
        <w:t xml:space="preserve"> is changed to </w:t>
      </w:r>
      <w:r w:rsidRPr="00EE6ED7">
        <w:rPr>
          <w:sz w:val="23"/>
          <w:szCs w:val="23"/>
          <w:rtl/>
        </w:rPr>
        <w:t>מעהר</w:t>
      </w:r>
      <w:r w:rsidRPr="00EE6ED7">
        <w:rPr>
          <w:sz w:val="23"/>
          <w:szCs w:val="23"/>
        </w:rPr>
        <w:t>).</w:t>
      </w:r>
    </w:p>
  </w:footnote>
  <w:footnote w:id="107">
    <w:p w:rsidR="00A465C3" w:rsidRPr="00EE6ED7" w:rsidRDefault="00A465C3" w:rsidP="00901BA2">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the former, see </w:t>
      </w:r>
      <w:r w:rsidRPr="00EE6ED7">
        <w:rPr>
          <w:sz w:val="23"/>
          <w:szCs w:val="23"/>
          <w:rtl/>
        </w:rPr>
        <w:t>הגדה של פסח מקרי דרדקי</w:t>
      </w:r>
      <w:r w:rsidRPr="00EE6ED7">
        <w:rPr>
          <w:sz w:val="23"/>
          <w:szCs w:val="23"/>
        </w:rPr>
        <w:t>, ed. Z. Gross (</w:t>
      </w:r>
      <w:smartTag w:uri="urn:schemas-microsoft-com:office:smarttags" w:element="place">
        <w:r w:rsidRPr="00EE6ED7">
          <w:rPr>
            <w:sz w:val="23"/>
            <w:szCs w:val="23"/>
          </w:rPr>
          <w:t>Brooklyn</w:t>
        </w:r>
      </w:smartTag>
      <w:r w:rsidRPr="00EE6ED7">
        <w:rPr>
          <w:sz w:val="23"/>
          <w:szCs w:val="23"/>
        </w:rPr>
        <w:t xml:space="preserve">, 1979), </w:t>
      </w:r>
      <w:r>
        <w:rPr>
          <w:sz w:val="23"/>
          <w:szCs w:val="23"/>
        </w:rPr>
        <w:t xml:space="preserve">p. </w:t>
      </w:r>
      <w:r>
        <w:rPr>
          <w:rFonts w:hint="cs"/>
          <w:sz w:val="23"/>
          <w:szCs w:val="23"/>
          <w:rtl/>
        </w:rPr>
        <w:t>סב</w:t>
      </w:r>
      <w:r w:rsidRPr="00EE6ED7">
        <w:rPr>
          <w:sz w:val="23"/>
          <w:szCs w:val="23"/>
        </w:rPr>
        <w:t xml:space="preserve">. For the latter, see </w:t>
      </w:r>
      <w:r w:rsidRPr="00EE6ED7">
        <w:rPr>
          <w:sz w:val="23"/>
          <w:szCs w:val="23"/>
          <w:rtl/>
        </w:rPr>
        <w:t>די ערקלערטע הגדה של פסח</w:t>
      </w:r>
      <w:r w:rsidRPr="00EE6ED7">
        <w:rPr>
          <w:sz w:val="23"/>
          <w:szCs w:val="23"/>
        </w:rPr>
        <w:t>, ed. B. Z. Halevy Shisha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1989), </w:t>
      </w:r>
      <w:r>
        <w:rPr>
          <w:sz w:val="23"/>
          <w:szCs w:val="23"/>
        </w:rPr>
        <w:t xml:space="preserve">p. </w:t>
      </w:r>
      <w:r>
        <w:rPr>
          <w:rFonts w:hint="cs"/>
          <w:sz w:val="23"/>
          <w:szCs w:val="23"/>
          <w:rtl/>
        </w:rPr>
        <w:t>לח</w:t>
      </w:r>
      <w:r w:rsidRPr="00EE6ED7">
        <w:rPr>
          <w:sz w:val="23"/>
          <w:szCs w:val="23"/>
        </w:rPr>
        <w:t xml:space="preserve">. The difference between </w:t>
      </w:r>
      <w:r w:rsidRPr="00EE6ED7">
        <w:rPr>
          <w:sz w:val="23"/>
          <w:szCs w:val="23"/>
          <w:rtl/>
        </w:rPr>
        <w:t>דיך פֿרעגן</w:t>
      </w:r>
      <w:r w:rsidRPr="00EE6ED7">
        <w:rPr>
          <w:sz w:val="23"/>
          <w:szCs w:val="23"/>
        </w:rPr>
        <w:t xml:space="preserve"> and </w:t>
      </w:r>
      <w:r w:rsidRPr="00EE6ED7">
        <w:rPr>
          <w:sz w:val="23"/>
          <w:szCs w:val="23"/>
          <w:rtl/>
        </w:rPr>
        <w:t>דיר פֿרעגן</w:t>
      </w:r>
      <w:r w:rsidRPr="00EE6ED7">
        <w:rPr>
          <w:sz w:val="23"/>
          <w:szCs w:val="23"/>
        </w:rPr>
        <w:t xml:space="preserve"> is a dialectal one.</w:t>
      </w:r>
    </w:p>
  </w:footnote>
  <w:footnote w:id="10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A. M. Friedman, </w:t>
      </w:r>
      <w:r w:rsidRPr="00EE6ED7">
        <w:rPr>
          <w:sz w:val="23"/>
          <w:szCs w:val="23"/>
          <w:rtl/>
        </w:rPr>
        <w:t>"מי אמר 'מה נשתנה הלילה הזה'</w:t>
      </w:r>
      <w:r>
        <w:rPr>
          <w:rFonts w:hint="cs"/>
          <w:sz w:val="23"/>
          <w:szCs w:val="23"/>
          <w:rtl/>
        </w:rPr>
        <w:t>...</w:t>
      </w:r>
      <w:r w:rsidRPr="00EE6ED7">
        <w:rPr>
          <w:sz w:val="23"/>
          <w:szCs w:val="23"/>
          <w:rtl/>
        </w:rPr>
        <w:t>"</w:t>
      </w:r>
      <w:r w:rsidRPr="00EE6ED7">
        <w:rPr>
          <w:sz w:val="23"/>
          <w:szCs w:val="23"/>
        </w:rPr>
        <w:t xml:space="preserve">, </w:t>
      </w:r>
      <w:r w:rsidRPr="00EE6ED7">
        <w:rPr>
          <w:i/>
          <w:sz w:val="23"/>
          <w:szCs w:val="23"/>
        </w:rPr>
        <w:t>Hadarom</w:t>
      </w:r>
      <w:r w:rsidRPr="00EE6ED7">
        <w:rPr>
          <w:sz w:val="23"/>
          <w:szCs w:val="23"/>
        </w:rPr>
        <w:t xml:space="preserve"> 2 (Nisan, 1957), 46. Pace Kasher (</w:t>
      </w:r>
      <w:r w:rsidRPr="00EE6ED7">
        <w:rPr>
          <w:sz w:val="23"/>
          <w:szCs w:val="23"/>
          <w:rtl/>
        </w:rPr>
        <w:t>הגדה שלמה</w:t>
      </w:r>
      <w:r w:rsidRPr="00EE6ED7">
        <w:rPr>
          <w:sz w:val="23"/>
          <w:szCs w:val="23"/>
        </w:rPr>
        <w:t xml:space="preserve">, p. </w:t>
      </w:r>
      <w:r w:rsidRPr="00EE6ED7">
        <w:rPr>
          <w:sz w:val="23"/>
          <w:szCs w:val="23"/>
          <w:rtl/>
        </w:rPr>
        <w:t>רג</w:t>
      </w:r>
      <w:r w:rsidRPr="00EE6ED7">
        <w:rPr>
          <w:sz w:val="23"/>
          <w:szCs w:val="23"/>
        </w:rPr>
        <w:t xml:space="preserve">), Friedman belongs here, because he views the son as explaining his own question rather than answering it. For a </w:t>
      </w:r>
      <w:r>
        <w:rPr>
          <w:sz w:val="23"/>
          <w:szCs w:val="23"/>
        </w:rPr>
        <w:br/>
      </w:r>
      <w:r w:rsidRPr="00EE6ED7">
        <w:rPr>
          <w:sz w:val="23"/>
          <w:szCs w:val="23"/>
        </w:rPr>
        <w:t xml:space="preserve">similar view (with the </w:t>
      </w:r>
      <w:r w:rsidRPr="00EE6ED7">
        <w:rPr>
          <w:i/>
          <w:sz w:val="23"/>
          <w:szCs w:val="23"/>
        </w:rPr>
        <w:t>father</w:t>
      </w:r>
      <w:r w:rsidRPr="00EE6ED7">
        <w:rPr>
          <w:sz w:val="23"/>
          <w:szCs w:val="23"/>
        </w:rPr>
        <w:t xml:space="preserve"> explaining his own question), see H</w:t>
      </w:r>
      <w:r>
        <w:rPr>
          <w:sz w:val="23"/>
          <w:szCs w:val="23"/>
        </w:rPr>
        <w:t>einrich</w:t>
      </w:r>
      <w:r w:rsidRPr="00EE6ED7">
        <w:rPr>
          <w:sz w:val="23"/>
          <w:szCs w:val="23"/>
        </w:rPr>
        <w:t xml:space="preserve"> Guggenheimer, </w:t>
      </w:r>
      <w:r w:rsidRPr="00EE6ED7">
        <w:rPr>
          <w:i/>
          <w:sz w:val="23"/>
          <w:szCs w:val="23"/>
        </w:rPr>
        <w:t>The Scholar’s Haggadah</w:t>
      </w:r>
      <w:r w:rsidRPr="00EE6ED7">
        <w:rPr>
          <w:sz w:val="23"/>
          <w:szCs w:val="23"/>
        </w:rPr>
        <w:t xml:space="preserve"> (Northvale, New Jersey: Jason Aronson, 1995), 251.</w:t>
      </w:r>
    </w:p>
  </w:footnote>
  <w:footnote w:id="109">
    <w:p w:rsidR="00A465C3" w:rsidRPr="00EE6ED7" w:rsidRDefault="00A465C3" w:rsidP="00032B0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But cf. n. </w:t>
      </w:r>
      <w:r>
        <w:rPr>
          <w:sz w:val="23"/>
          <w:szCs w:val="23"/>
        </w:rPr>
        <w:fldChar w:fldCharType="begin"/>
      </w:r>
      <w:r>
        <w:rPr>
          <w:sz w:val="23"/>
          <w:szCs w:val="23"/>
        </w:rPr>
        <w:instrText xml:space="preserve"> NOTEREF _Ref200358700 \h </w:instrText>
      </w:r>
      <w:r w:rsidRPr="00032B0E">
        <w:rPr>
          <w:sz w:val="23"/>
          <w:szCs w:val="23"/>
        </w:rPr>
      </w:r>
      <w:r>
        <w:rPr>
          <w:sz w:val="23"/>
          <w:szCs w:val="23"/>
        </w:rPr>
        <w:fldChar w:fldCharType="separate"/>
      </w:r>
      <w:r w:rsidR="00300213">
        <w:rPr>
          <w:sz w:val="23"/>
          <w:szCs w:val="23"/>
        </w:rPr>
        <w:t>42</w:t>
      </w:r>
      <w:r>
        <w:rPr>
          <w:sz w:val="23"/>
          <w:szCs w:val="23"/>
        </w:rPr>
        <w:fldChar w:fldCharType="end"/>
      </w:r>
      <w:r w:rsidRPr="00EE6ED7">
        <w:rPr>
          <w:sz w:val="23"/>
          <w:szCs w:val="23"/>
        </w:rPr>
        <w:t xml:space="preserve"> above.</w:t>
      </w:r>
    </w:p>
  </w:footnote>
  <w:footnote w:id="11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The Haggadah of Passover</w:t>
      </w:r>
      <w:r>
        <w:rPr>
          <w:i/>
          <w:sz w:val="23"/>
          <w:szCs w:val="23"/>
        </w:rPr>
        <w:t xml:space="preserve">... </w:t>
      </w:r>
      <w:r w:rsidRPr="00EE6ED7">
        <w:rPr>
          <w:i/>
          <w:sz w:val="23"/>
          <w:szCs w:val="23"/>
        </w:rPr>
        <w:t>for Members of the Armed Forces of the United States</w:t>
      </w:r>
      <w:r w:rsidRPr="00EE6ED7">
        <w:rPr>
          <w:sz w:val="23"/>
          <w:szCs w:val="23"/>
        </w:rPr>
        <w:t>, ed. David and Tamar de Sola Pool (New York: National Jewish Welfare Board, 1945), 19–21. The same punctuation is found in the 1947 edition, but the original 1943 edition had an exclamation point followed by four periods instead of question marks.</w:t>
      </w:r>
    </w:p>
  </w:footnote>
  <w:footnote w:id="11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Hagadah de Pesaj illustrada; Servicio para las noches del seder segun el rito tradicional</w:t>
      </w:r>
      <w:r w:rsidRPr="00EE6ED7">
        <w:rPr>
          <w:sz w:val="23"/>
          <w:szCs w:val="23"/>
        </w:rPr>
        <w:t>, transl. Tibor H. Stern (Kansas City, Mo.: Emes, 1947), 9.</w:t>
      </w:r>
    </w:p>
  </w:footnote>
  <w:footnote w:id="11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See further in section VIII below.</w:t>
      </w:r>
    </w:p>
  </w:footnote>
  <w:footnote w:id="113">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של פסח עם שני פירושים חדשים: חת"ם סופר...</w:t>
      </w:r>
      <w:r>
        <w:rPr>
          <w:rFonts w:hint="cs"/>
          <w:sz w:val="23"/>
          <w:szCs w:val="23"/>
          <w:rtl/>
        </w:rPr>
        <w:t xml:space="preserve"> </w:t>
      </w:r>
      <w:r w:rsidRPr="00EE6ED7">
        <w:rPr>
          <w:sz w:val="23"/>
          <w:szCs w:val="23"/>
          <w:rtl/>
        </w:rPr>
        <w:t>חתן סופר...</w:t>
      </w:r>
      <w:r w:rsidRPr="00EE6ED7">
        <w:rPr>
          <w:sz w:val="23"/>
          <w:szCs w:val="23"/>
        </w:rPr>
        <w:t>, ed. D. Z. Ehrenfeld (</w:t>
      </w:r>
      <w:smartTag w:uri="urn:schemas-microsoft-com:office:smarttags" w:element="place">
        <w:smartTag w:uri="urn:schemas-microsoft-com:office:smarttags" w:element="City">
          <w:r w:rsidRPr="00EE6ED7">
            <w:rPr>
              <w:sz w:val="23"/>
              <w:szCs w:val="23"/>
            </w:rPr>
            <w:t>Vienna</w:t>
          </w:r>
        </w:smartTag>
      </w:smartTag>
      <w:r w:rsidRPr="00EE6ED7">
        <w:rPr>
          <w:sz w:val="23"/>
          <w:szCs w:val="23"/>
        </w:rPr>
        <w:t xml:space="preserve">, 1884), </w:t>
      </w:r>
      <w:r>
        <w:rPr>
          <w:sz w:val="23"/>
          <w:szCs w:val="23"/>
        </w:rPr>
        <w:t xml:space="preserve">p. </w:t>
      </w:r>
      <w:r>
        <w:rPr>
          <w:rFonts w:hint="cs"/>
          <w:sz w:val="23"/>
          <w:szCs w:val="23"/>
          <w:rtl/>
        </w:rPr>
        <w:t>יד</w:t>
      </w:r>
      <w:r w:rsidRPr="00EE6ED7">
        <w:rPr>
          <w:sz w:val="23"/>
          <w:szCs w:val="23"/>
        </w:rPr>
        <w:t>.</w:t>
      </w:r>
    </w:p>
  </w:footnote>
  <w:footnote w:id="11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 C. Kook, </w:t>
      </w:r>
      <w:r w:rsidRPr="00EE6ED7">
        <w:rPr>
          <w:sz w:val="23"/>
          <w:szCs w:val="23"/>
          <w:rtl/>
        </w:rPr>
        <w:t>עיונים ומחקרים</w:t>
      </w:r>
      <w:r w:rsidRPr="00EE6ED7">
        <w:rPr>
          <w:sz w:val="23"/>
          <w:szCs w:val="23"/>
        </w:rPr>
        <w:t xml:space="preserve"> (Jerusalem: Mossad Harav Kook, 1959), 149.</w:t>
      </w:r>
    </w:p>
  </w:footnote>
  <w:footnote w:id="115">
    <w:p w:rsidR="00A465C3" w:rsidRPr="00EE6ED7" w:rsidRDefault="00A465C3" w:rsidP="00586E8F">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So in </w:t>
      </w:r>
      <w:r>
        <w:rPr>
          <w:sz w:val="23"/>
          <w:szCs w:val="23"/>
        </w:rPr>
        <w:t xml:space="preserve">Mss. </w:t>
      </w:r>
      <w:r w:rsidRPr="00EE6ED7">
        <w:rPr>
          <w:sz w:val="23"/>
          <w:szCs w:val="23"/>
        </w:rPr>
        <w:t xml:space="preserve">Kaufmann and </w:t>
      </w:r>
      <w:smartTag w:uri="urn:schemas-microsoft-com:office:smarttags" w:element="place">
        <w:smartTag w:uri="urn:schemas-microsoft-com:office:smarttags" w:element="City">
          <w:r w:rsidRPr="00EE6ED7">
            <w:rPr>
              <w:sz w:val="23"/>
              <w:szCs w:val="23"/>
            </w:rPr>
            <w:t>Parma</w:t>
          </w:r>
        </w:smartTag>
      </w:smartTag>
      <w:r w:rsidRPr="00EE6ED7">
        <w:rPr>
          <w:sz w:val="23"/>
          <w:szCs w:val="23"/>
        </w:rPr>
        <w:t>.</w:t>
      </w:r>
      <w:r>
        <w:rPr>
          <w:sz w:val="23"/>
          <w:szCs w:val="23"/>
        </w:rPr>
        <w:t xml:space="preserve"> Our printed editions read </w:t>
      </w:r>
      <w:r>
        <w:rPr>
          <w:rFonts w:hint="cs"/>
          <w:sz w:val="23"/>
          <w:szCs w:val="23"/>
          <w:rtl/>
        </w:rPr>
        <w:t>פסול ואין בו כרת</w:t>
      </w:r>
      <w:r>
        <w:rPr>
          <w:sz w:val="23"/>
          <w:szCs w:val="23"/>
        </w:rPr>
        <w:t>.</w:t>
      </w:r>
    </w:p>
  </w:footnote>
  <w:footnote w:id="116">
    <w:p w:rsidR="00A465C3" w:rsidRPr="00EE6ED7" w:rsidRDefault="00A465C3" w:rsidP="00621C89">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So in Ms.</w:t>
      </w:r>
      <w:r w:rsidRPr="00EE6ED7">
        <w:rPr>
          <w:sz w:val="23"/>
          <w:szCs w:val="23"/>
        </w:rPr>
        <w:t xml:space="preserve"> Vatican 110 as transcribed in the </w:t>
      </w:r>
      <w:r>
        <w:rPr>
          <w:sz w:val="23"/>
          <w:szCs w:val="23"/>
        </w:rPr>
        <w:t>CD-ROM</w:t>
      </w:r>
      <w:r w:rsidRPr="00EE6ED7">
        <w:rPr>
          <w:sz w:val="23"/>
          <w:szCs w:val="23"/>
        </w:rPr>
        <w:t xml:space="preserve"> of the Historical Dictionary Project of the Academy of the Hebrew Language (</w:t>
      </w:r>
      <w:r w:rsidRPr="00EE6ED7">
        <w:rPr>
          <w:i/>
          <w:iCs/>
          <w:sz w:val="23"/>
          <w:szCs w:val="23"/>
        </w:rPr>
        <w:t>Maagarim</w:t>
      </w:r>
      <w:r w:rsidRPr="00EE6ED7">
        <w:rPr>
          <w:sz w:val="23"/>
          <w:szCs w:val="23"/>
        </w:rPr>
        <w:t>)</w:t>
      </w:r>
      <w:r>
        <w:rPr>
          <w:sz w:val="23"/>
          <w:szCs w:val="23"/>
        </w:rPr>
        <w:t xml:space="preserve">; cf. </w:t>
      </w:r>
      <w:r w:rsidRPr="00EE6ED7">
        <w:rPr>
          <w:sz w:val="23"/>
          <w:szCs w:val="23"/>
        </w:rPr>
        <w:t xml:space="preserve">Rashi (here and </w:t>
      </w:r>
      <w:r>
        <w:rPr>
          <w:sz w:val="23"/>
          <w:szCs w:val="23"/>
        </w:rPr>
        <w:t>b.</w:t>
      </w:r>
      <w:r>
        <w:rPr>
          <w:rFonts w:ascii="CalSemitic" w:hAnsi="CalSemitic"/>
          <w:sz w:val="23"/>
          <w:szCs w:val="23"/>
        </w:rPr>
        <w:t>-</w:t>
      </w:r>
      <w:r>
        <w:rPr>
          <w:sz w:val="23"/>
          <w:szCs w:val="23"/>
        </w:rPr>
        <w:t>ul 89a</w:t>
      </w:r>
      <w:r w:rsidRPr="00EE6ED7">
        <w:rPr>
          <w:sz w:val="23"/>
          <w:szCs w:val="23"/>
        </w:rPr>
        <w:t xml:space="preserve">). In our </w:t>
      </w:r>
      <w:r>
        <w:rPr>
          <w:sz w:val="23"/>
          <w:szCs w:val="23"/>
        </w:rPr>
        <w:t xml:space="preserve">printed </w:t>
      </w:r>
      <w:r w:rsidRPr="00EE6ED7">
        <w:rPr>
          <w:sz w:val="23"/>
          <w:szCs w:val="23"/>
        </w:rPr>
        <w:t>edition</w:t>
      </w:r>
      <w:r>
        <w:rPr>
          <w:sz w:val="23"/>
          <w:szCs w:val="23"/>
        </w:rPr>
        <w:t xml:space="preserve">s </w:t>
      </w:r>
      <w:r w:rsidRPr="00EE6ED7">
        <w:rPr>
          <w:sz w:val="23"/>
          <w:szCs w:val="23"/>
        </w:rPr>
        <w:t>and M</w:t>
      </w:r>
      <w:r>
        <w:rPr>
          <w:sz w:val="23"/>
          <w:szCs w:val="23"/>
        </w:rPr>
        <w:t>s</w:t>
      </w:r>
      <w:r w:rsidRPr="00EE6ED7">
        <w:rPr>
          <w:sz w:val="23"/>
          <w:szCs w:val="23"/>
        </w:rPr>
        <w:t xml:space="preserve">. Munich 95, the text reads </w:t>
      </w:r>
      <w:r w:rsidRPr="00EE6ED7">
        <w:rPr>
          <w:sz w:val="23"/>
          <w:szCs w:val="23"/>
          <w:rtl/>
        </w:rPr>
        <w:t>מפני ש</w:t>
      </w:r>
      <w:r w:rsidRPr="00EE6ED7">
        <w:rPr>
          <w:rFonts w:hint="cs"/>
          <w:sz w:val="23"/>
          <w:szCs w:val="23"/>
          <w:rtl/>
        </w:rPr>
        <w:t>(</w:t>
      </w:r>
      <w:r w:rsidRPr="00EE6ED7">
        <w:rPr>
          <w:sz w:val="23"/>
          <w:szCs w:val="23"/>
          <w:rtl/>
        </w:rPr>
        <w:t>ה</w:t>
      </w:r>
      <w:r w:rsidRPr="00EE6ED7">
        <w:rPr>
          <w:rFonts w:hint="cs"/>
          <w:sz w:val="23"/>
          <w:szCs w:val="23"/>
          <w:rtl/>
        </w:rPr>
        <w:t>)</w:t>
      </w:r>
      <w:r w:rsidRPr="00EE6ED7">
        <w:rPr>
          <w:sz w:val="23"/>
          <w:szCs w:val="23"/>
          <w:rtl/>
        </w:rPr>
        <w:t>תכלת דומה לים</w:t>
      </w:r>
      <w:r w:rsidRPr="00EE6ED7">
        <w:rPr>
          <w:sz w:val="23"/>
          <w:szCs w:val="23"/>
        </w:rPr>
        <w:t>. The reading in Midrash Agur (</w:t>
      </w:r>
      <w:r w:rsidRPr="00EE6ED7">
        <w:rPr>
          <w:i/>
          <w:sz w:val="23"/>
          <w:szCs w:val="23"/>
        </w:rPr>
        <w:t>The Mishnah of Rabbi Eliezer or the Midrash of Thirty-two Hermeneutic Rules</w:t>
      </w:r>
      <w:r w:rsidRPr="00EE6ED7">
        <w:rPr>
          <w:sz w:val="23"/>
          <w:szCs w:val="23"/>
        </w:rPr>
        <w:t>, ed. H. G. En</w:t>
      </w:r>
      <w:r>
        <w:rPr>
          <w:sz w:val="23"/>
          <w:szCs w:val="23"/>
        </w:rPr>
        <w:t>elow [New York, 1933], 263) is:</w:t>
      </w:r>
      <w:r w:rsidRPr="00EE6ED7">
        <w:rPr>
          <w:sz w:val="23"/>
          <w:szCs w:val="23"/>
          <w:rtl/>
        </w:rPr>
        <w:t>מה נשתנה התכלת מכל מיני צבעונין שאמרה התורה פתיל תכלת? אלא שהתכלת דומה לים, והים דומה לרקיע, וכו'</w:t>
      </w:r>
      <w:r w:rsidRPr="00EE6ED7">
        <w:rPr>
          <w:sz w:val="23"/>
          <w:szCs w:val="23"/>
        </w:rPr>
        <w:t>. As noted by J. N. Epstein (</w:t>
      </w:r>
      <w:r w:rsidRPr="00EE6ED7">
        <w:rPr>
          <w:sz w:val="23"/>
          <w:szCs w:val="23"/>
          <w:rtl/>
        </w:rPr>
        <w:t>מחקרים בספרות התלמוד ובלשונות שמיות</w:t>
      </w:r>
      <w:r w:rsidRPr="00EE6ED7">
        <w:rPr>
          <w:sz w:val="23"/>
          <w:szCs w:val="23"/>
        </w:rPr>
        <w:t>, ed. E. Z. Melamed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1983], 2. 225), this is cited in Midrash Hagadol as:</w:t>
      </w:r>
      <w:r w:rsidRPr="00EE6ED7">
        <w:rPr>
          <w:sz w:val="23"/>
          <w:szCs w:val="23"/>
          <w:rtl/>
        </w:rPr>
        <w:t>מה נשתנית התכלת מכל הצבעונין שאמרה תורה פתיל תכלת? אלא שהתכלת דומה לים, וים דומה לרקיע, וכו'</w:t>
      </w:r>
      <w:r w:rsidRPr="00EE6ED7">
        <w:rPr>
          <w:sz w:val="23"/>
          <w:szCs w:val="23"/>
        </w:rPr>
        <w:t>.</w:t>
      </w:r>
    </w:p>
  </w:footnote>
  <w:footnote w:id="117">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the parallels with </w:t>
      </w:r>
      <w:r w:rsidRPr="00EE6ED7">
        <w:rPr>
          <w:sz w:val="23"/>
          <w:szCs w:val="23"/>
          <w:rtl/>
        </w:rPr>
        <w:t xml:space="preserve">שנאמר </w:t>
      </w:r>
      <w:r w:rsidRPr="00EE6ED7">
        <w:rPr>
          <w:rFonts w:hint="cs"/>
          <w:sz w:val="23"/>
          <w:szCs w:val="23"/>
          <w:rtl/>
        </w:rPr>
        <w:t>(</w:t>
      </w:r>
      <w:r w:rsidRPr="00EE6ED7">
        <w:rPr>
          <w:sz w:val="23"/>
          <w:szCs w:val="23"/>
          <w:rtl/>
        </w:rPr>
        <w:t>בו/בה</w:t>
      </w:r>
      <w:r w:rsidRPr="00EE6ED7">
        <w:rPr>
          <w:rFonts w:hint="cs"/>
          <w:sz w:val="23"/>
          <w:szCs w:val="23"/>
          <w:rtl/>
        </w:rPr>
        <w:t>)</w:t>
      </w:r>
      <w:r w:rsidRPr="00EE6ED7">
        <w:rPr>
          <w:sz w:val="23"/>
          <w:szCs w:val="23"/>
        </w:rPr>
        <w:t xml:space="preserve"> in section IV above.</w:t>
      </w:r>
    </w:p>
  </w:footnote>
  <w:footnote w:id="118">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p. </w:t>
      </w:r>
      <w:r w:rsidRPr="00EE6ED7">
        <w:rPr>
          <w:sz w:val="23"/>
          <w:szCs w:val="23"/>
          <w:rtl/>
        </w:rPr>
        <w:t>ל</w:t>
      </w:r>
      <w:r w:rsidRPr="00EE6ED7">
        <w:rPr>
          <w:sz w:val="23"/>
          <w:szCs w:val="23"/>
        </w:rPr>
        <w:t>.</w:t>
      </w:r>
    </w:p>
  </w:footnote>
  <w:footnote w:id="119">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אוצר הראשונים על הגדה של פסח</w:t>
      </w:r>
      <w:r w:rsidRPr="00EE6ED7">
        <w:rPr>
          <w:sz w:val="23"/>
          <w:szCs w:val="23"/>
        </w:rPr>
        <w:t>, 195.</w:t>
      </w:r>
    </w:p>
  </w:footnote>
  <w:footnote w:id="120">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p. </w:t>
      </w:r>
      <w:r w:rsidRPr="00EE6ED7">
        <w:rPr>
          <w:sz w:val="23"/>
          <w:szCs w:val="23"/>
          <w:rtl/>
        </w:rPr>
        <w:t>כט</w:t>
      </w:r>
      <w:r w:rsidRPr="00EE6ED7">
        <w:rPr>
          <w:sz w:val="23"/>
          <w:szCs w:val="23"/>
        </w:rPr>
        <w:t>.</w:t>
      </w:r>
    </w:p>
  </w:footnote>
  <w:footnote w:id="121">
    <w:p w:rsidR="00A465C3" w:rsidRPr="00EE6ED7" w:rsidRDefault="00A465C3" w:rsidP="00FE1607">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R. Zedekiah’s own position (</w:t>
      </w:r>
      <w:r w:rsidRPr="00EE6ED7">
        <w:rPr>
          <w:sz w:val="23"/>
          <w:szCs w:val="23"/>
          <w:rtl/>
        </w:rPr>
        <w:t>הגדה של פסח תורת חיים</w:t>
      </w:r>
      <w:r w:rsidRPr="00EE6ED7">
        <w:rPr>
          <w:sz w:val="23"/>
          <w:szCs w:val="23"/>
        </w:rPr>
        <w:t xml:space="preserve">, pp. </w:t>
      </w:r>
      <w:r w:rsidRPr="00EE6ED7">
        <w:rPr>
          <w:sz w:val="23"/>
          <w:szCs w:val="23"/>
          <w:rtl/>
        </w:rPr>
        <w:t>ל</w:t>
      </w:r>
      <w:r w:rsidRPr="00EE6ED7">
        <w:rPr>
          <w:sz w:val="23"/>
          <w:szCs w:val="23"/>
        </w:rPr>
        <w:t xml:space="preserve"> and </w:t>
      </w:r>
      <w:r w:rsidRPr="00EE6ED7">
        <w:rPr>
          <w:sz w:val="23"/>
          <w:szCs w:val="23"/>
          <w:rtl/>
        </w:rPr>
        <w:t>קמג</w:t>
      </w:r>
      <w:r w:rsidRPr="00EE6ED7">
        <w:rPr>
          <w:sz w:val="23"/>
          <w:szCs w:val="23"/>
        </w:rPr>
        <w:t>) is unclear. He begins with the traditional view:</w:t>
      </w:r>
      <w:r w:rsidRPr="00EE6ED7">
        <w:rPr>
          <w:sz w:val="23"/>
          <w:szCs w:val="23"/>
          <w:rtl/>
        </w:rPr>
        <w:t>עבדים היינו לפרעה במצרים - היא תשובת מה נשתנה כמו שפירשנו, והיא תשובת הבן החכם בפרשת ואתחנן</w:t>
      </w:r>
      <w:r w:rsidRPr="00EE6ED7">
        <w:rPr>
          <w:sz w:val="23"/>
          <w:szCs w:val="23"/>
        </w:rPr>
        <w:t>. However, later he writes:</w:t>
      </w:r>
      <w:r w:rsidRPr="00EE6ED7">
        <w:rPr>
          <w:sz w:val="23"/>
          <w:szCs w:val="23"/>
          <w:rtl/>
        </w:rPr>
        <w:t>רבן גמליאל היה אומר</w:t>
      </w:r>
      <w:r>
        <w:rPr>
          <w:rFonts w:hint="cs"/>
          <w:sz w:val="23"/>
          <w:szCs w:val="23"/>
          <w:rtl/>
        </w:rPr>
        <w:t>...</w:t>
      </w:r>
      <w:r w:rsidRPr="00EE6ED7">
        <w:rPr>
          <w:sz w:val="23"/>
          <w:szCs w:val="23"/>
          <w:rtl/>
        </w:rPr>
        <w:t xml:space="preserve"> - פירוש, עתה חוזר לתשובת מה נשתנה כמו שפירשתי למעלה</w:t>
      </w:r>
      <w:r w:rsidRPr="00EE6ED7">
        <w:rPr>
          <w:sz w:val="23"/>
          <w:szCs w:val="23"/>
        </w:rPr>
        <w:t xml:space="preserve">. Contrast R. Simeon b. Zemah Duran (ibid., p. </w:t>
      </w:r>
      <w:r w:rsidRPr="00EE6ED7">
        <w:rPr>
          <w:sz w:val="23"/>
          <w:szCs w:val="23"/>
          <w:rtl/>
        </w:rPr>
        <w:t>קמג</w:t>
      </w:r>
      <w:r w:rsidRPr="00EE6ED7">
        <w:rPr>
          <w:sz w:val="23"/>
          <w:szCs w:val="23"/>
        </w:rPr>
        <w:t xml:space="preserve">), who refers to </w:t>
      </w:r>
      <w:r w:rsidRPr="00EE6ED7">
        <w:rPr>
          <w:sz w:val="23"/>
          <w:szCs w:val="23"/>
          <w:rtl/>
        </w:rPr>
        <w:t>מה נשתנה</w:t>
      </w:r>
      <w:r w:rsidRPr="00EE6ED7">
        <w:rPr>
          <w:sz w:val="23"/>
          <w:szCs w:val="23"/>
        </w:rPr>
        <w:t xml:space="preserve"> in his comment on the later passage, but makes no mention of a question-answer relationship:</w:t>
      </w:r>
      <w:r w:rsidRPr="00EE6ED7">
        <w:rPr>
          <w:sz w:val="23"/>
          <w:szCs w:val="23"/>
          <w:rtl/>
        </w:rPr>
        <w:t>אעפ"י שבשאלת מה נשתנה נזכרו שלשה אלו אינו אלא לענין השינוי שיש בין זה הלילה לשאר הלילות אבל לתת עיקר הטעם בהן לא יצא ידי חובתו אם לא אמרם כסדר</w:t>
      </w:r>
      <w:r w:rsidRPr="00EE6ED7">
        <w:rPr>
          <w:sz w:val="23"/>
          <w:szCs w:val="23"/>
        </w:rPr>
        <w:t>.</w:t>
      </w:r>
    </w:p>
  </w:footnote>
  <w:footnote w:id="122">
    <w:p w:rsidR="00A465C3" w:rsidRPr="00EE6ED7" w:rsidRDefault="00A465C3" w:rsidP="009D3D5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 xml:space="preserve">Bombach, </w:t>
      </w:r>
      <w:r>
        <w:rPr>
          <w:rFonts w:hint="cs"/>
          <w:sz w:val="23"/>
          <w:szCs w:val="23"/>
          <w:rtl/>
        </w:rPr>
        <w:t>פני אפרים</w:t>
      </w:r>
      <w:r>
        <w:rPr>
          <w:sz w:val="23"/>
          <w:szCs w:val="23"/>
        </w:rPr>
        <w:t xml:space="preserve">, </w:t>
      </w:r>
      <w:r w:rsidRPr="00DF6EF5">
        <w:rPr>
          <w:sz w:val="23"/>
          <w:szCs w:val="23"/>
        </w:rPr>
        <w:t>1.</w:t>
      </w:r>
      <w:r>
        <w:rPr>
          <w:sz w:val="23"/>
          <w:szCs w:val="23"/>
        </w:rPr>
        <w:t xml:space="preserve"> </w:t>
      </w:r>
      <w:r w:rsidRPr="00DF6EF5">
        <w:rPr>
          <w:sz w:val="23"/>
          <w:szCs w:val="23"/>
        </w:rPr>
        <w:t>106.</w:t>
      </w:r>
    </w:p>
  </w:footnote>
  <w:footnote w:id="123">
    <w:p w:rsidR="00A465C3" w:rsidRPr="00EE6ED7" w:rsidRDefault="00A465C3" w:rsidP="00A84CC4">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 am indebted to B. Septimus for calling this correspondence to my attention. See Guggenheimer, </w:t>
      </w:r>
      <w:r w:rsidRPr="00EE6ED7">
        <w:rPr>
          <w:i/>
          <w:sz w:val="23"/>
          <w:szCs w:val="23"/>
        </w:rPr>
        <w:t>Scholar’s Haggadah</w:t>
      </w:r>
      <w:r w:rsidRPr="00EE6ED7">
        <w:rPr>
          <w:sz w:val="23"/>
          <w:szCs w:val="23"/>
        </w:rPr>
        <w:t xml:space="preserve">, 251 (“for the original three points, the explanation is given at the end of the recital in the section ‘Rabban Gamliel,’ making the entire recital a coherent literary unit bracketed by question and answer”); </w:t>
      </w:r>
      <w:r>
        <w:rPr>
          <w:sz w:val="23"/>
          <w:szCs w:val="23"/>
        </w:rPr>
        <w:t>Joseph</w:t>
      </w:r>
      <w:r w:rsidRPr="00EE6ED7">
        <w:rPr>
          <w:sz w:val="23"/>
          <w:szCs w:val="23"/>
        </w:rPr>
        <w:t xml:space="preserve"> Tabory, </w:t>
      </w:r>
      <w:r w:rsidRPr="00EE6ED7">
        <w:rPr>
          <w:sz w:val="23"/>
          <w:szCs w:val="23"/>
          <w:rtl/>
        </w:rPr>
        <w:t>פסח דורות: פרקים בתולדות ליל הסדר</w:t>
      </w:r>
      <w:r w:rsidRPr="00EE6ED7">
        <w:rPr>
          <w:sz w:val="23"/>
          <w:szCs w:val="23"/>
        </w:rPr>
        <w:t xml:space="preserve"> (Tel-Aviv: Hakibbutz Hameuchad, 1996), 70–78. For an attempt to explain the difference in arrangement, see Tabory, </w:t>
      </w:r>
      <w:r w:rsidRPr="00EE6ED7">
        <w:rPr>
          <w:sz w:val="23"/>
          <w:szCs w:val="23"/>
          <w:rtl/>
        </w:rPr>
        <w:t>פסח דורות</w:t>
      </w:r>
      <w:r w:rsidRPr="00EE6ED7">
        <w:rPr>
          <w:sz w:val="23"/>
          <w:szCs w:val="23"/>
        </w:rPr>
        <w:t>, 361–63.</w:t>
      </w:r>
    </w:p>
  </w:footnote>
  <w:footnote w:id="12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The </w:t>
      </w:r>
      <w:r w:rsidRPr="00EE6ED7">
        <w:rPr>
          <w:sz w:val="23"/>
          <w:szCs w:val="23"/>
          <w:rtl/>
        </w:rPr>
        <w:t>מרור</w:t>
      </w:r>
      <w:r w:rsidRPr="00EE6ED7">
        <w:rPr>
          <w:sz w:val="23"/>
          <w:szCs w:val="23"/>
        </w:rPr>
        <w:t xml:space="preserve"> question in today’s </w:t>
      </w:r>
      <w:r w:rsidRPr="00EE6ED7">
        <w:rPr>
          <w:sz w:val="23"/>
          <w:szCs w:val="23"/>
          <w:rtl/>
        </w:rPr>
        <w:t>מה נשתנה</w:t>
      </w:r>
      <w:r w:rsidRPr="00EE6ED7">
        <w:rPr>
          <w:sz w:val="23"/>
          <w:szCs w:val="23"/>
        </w:rPr>
        <w:t xml:space="preserve"> is a later addition.</w:t>
      </w:r>
    </w:p>
  </w:footnote>
  <w:footnote w:id="125">
    <w:p w:rsidR="00A465C3" w:rsidRPr="00EE6ED7" w:rsidRDefault="00A465C3" w:rsidP="00BC525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According to this view, </w:t>
      </w:r>
      <w:r w:rsidRPr="00EE6ED7">
        <w:rPr>
          <w:sz w:val="23"/>
          <w:szCs w:val="23"/>
          <w:rtl/>
        </w:rPr>
        <w:t>מתחיל בגנות ומסיים בשבח</w:t>
      </w:r>
      <w:r w:rsidRPr="00EE6ED7">
        <w:rPr>
          <w:sz w:val="23"/>
          <w:szCs w:val="23"/>
        </w:rPr>
        <w:t xml:space="preserve"> is explained by the immediately following clause: </w:t>
      </w:r>
      <w:r w:rsidRPr="00EE6ED7">
        <w:rPr>
          <w:sz w:val="23"/>
          <w:szCs w:val="23"/>
          <w:rtl/>
        </w:rPr>
        <w:t>ודורש "מארמי אובד אבי" עד שהוא גומר כל הפרשה</w:t>
      </w:r>
      <w:r w:rsidRPr="00EE6ED7">
        <w:rPr>
          <w:sz w:val="23"/>
          <w:szCs w:val="23"/>
        </w:rPr>
        <w:t xml:space="preserve">. So </w:t>
      </w:r>
      <w:r>
        <w:rPr>
          <w:sz w:val="23"/>
          <w:szCs w:val="23"/>
        </w:rPr>
        <w:t xml:space="preserve">E. </w:t>
      </w:r>
      <w:r w:rsidRPr="00EE6ED7">
        <w:rPr>
          <w:sz w:val="23"/>
          <w:szCs w:val="23"/>
        </w:rPr>
        <w:t>D. Goldschmidt (</w:t>
      </w:r>
      <w:r w:rsidRPr="00EE6ED7">
        <w:rPr>
          <w:sz w:val="23"/>
          <w:szCs w:val="23"/>
          <w:rtl/>
        </w:rPr>
        <w:t>הגדה של פסח: מקורותיה ותולדותיה במשך הדורות</w:t>
      </w:r>
      <w:r w:rsidRPr="00EE6ED7">
        <w:rPr>
          <w:sz w:val="23"/>
          <w:szCs w:val="23"/>
        </w:rPr>
        <w:t xml:space="preserve">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Bialik, 1960], 14), E. E. Urbach (review of Goldschmidt, </w:t>
      </w:r>
      <w:r w:rsidRPr="00EE6ED7">
        <w:rPr>
          <w:sz w:val="23"/>
          <w:szCs w:val="23"/>
          <w:rtl/>
        </w:rPr>
        <w:t>הגדה של פסח</w:t>
      </w:r>
      <w:r w:rsidRPr="00EE6ED7">
        <w:rPr>
          <w:sz w:val="23"/>
          <w:szCs w:val="23"/>
        </w:rPr>
        <w:t xml:space="preserve">, </w:t>
      </w:r>
      <w:r w:rsidRPr="00EE6ED7">
        <w:rPr>
          <w:i/>
          <w:sz w:val="23"/>
          <w:szCs w:val="23"/>
        </w:rPr>
        <w:t>Kiryat Sefer</w:t>
      </w:r>
      <w:r w:rsidRPr="00EE6ED7">
        <w:rPr>
          <w:sz w:val="23"/>
          <w:szCs w:val="23"/>
        </w:rPr>
        <w:t xml:space="preserve"> 36 [1961], 144–45), Tabory (</w:t>
      </w:r>
      <w:r w:rsidRPr="00EE6ED7">
        <w:rPr>
          <w:sz w:val="23"/>
          <w:szCs w:val="23"/>
          <w:rtl/>
        </w:rPr>
        <w:t>פסח דורות</w:t>
      </w:r>
      <w:r w:rsidRPr="00EE6ED7">
        <w:rPr>
          <w:sz w:val="23"/>
          <w:szCs w:val="23"/>
        </w:rPr>
        <w:t>, 356–59), D</w:t>
      </w:r>
      <w:r>
        <w:rPr>
          <w:sz w:val="23"/>
          <w:szCs w:val="23"/>
        </w:rPr>
        <w:t>avid</w:t>
      </w:r>
      <w:r w:rsidRPr="00EE6ED7">
        <w:rPr>
          <w:sz w:val="23"/>
          <w:szCs w:val="23"/>
        </w:rPr>
        <w:t xml:space="preserve"> Henshke,</w:t>
      </w:r>
      <w:r>
        <w:rPr>
          <w:sz w:val="23"/>
          <w:szCs w:val="23"/>
          <w:rtl/>
        </w:rPr>
        <w:t>מדרש ארמי א</w:t>
      </w:r>
      <w:r w:rsidRPr="00EE6ED7">
        <w:rPr>
          <w:sz w:val="23"/>
          <w:szCs w:val="23"/>
          <w:rtl/>
        </w:rPr>
        <w:t>בד אבי</w:t>
      </w:r>
      <w:r w:rsidRPr="00EE6ED7">
        <w:rPr>
          <w:sz w:val="23"/>
          <w:szCs w:val="23"/>
        </w:rPr>
        <w:t xml:space="preserve">, </w:t>
      </w:r>
      <w:r w:rsidRPr="00EE6ED7">
        <w:rPr>
          <w:i/>
          <w:sz w:val="23"/>
          <w:szCs w:val="23"/>
        </w:rPr>
        <w:t>Sidra</w:t>
      </w:r>
      <w:r w:rsidRPr="00EE6ED7">
        <w:rPr>
          <w:sz w:val="23"/>
          <w:szCs w:val="23"/>
        </w:rPr>
        <w:t xml:space="preserve"> 4 (1987–88), 33–52. Halivni (</w:t>
      </w:r>
      <w:r w:rsidRPr="00EE6ED7">
        <w:rPr>
          <w:sz w:val="23"/>
          <w:szCs w:val="23"/>
          <w:rtl/>
        </w:rPr>
        <w:t>ב</w:t>
      </w:r>
      <w:r>
        <w:rPr>
          <w:rFonts w:hint="cs"/>
          <w:sz w:val="23"/>
          <w:szCs w:val="23"/>
          <w:rtl/>
        </w:rPr>
        <w:t>י</w:t>
      </w:r>
      <w:r w:rsidRPr="00EE6ED7">
        <w:rPr>
          <w:sz w:val="23"/>
          <w:szCs w:val="23"/>
          <w:rtl/>
        </w:rPr>
        <w:t>אורים</w:t>
      </w:r>
      <w:r w:rsidRPr="00EE6ED7">
        <w:rPr>
          <w:sz w:val="23"/>
          <w:szCs w:val="23"/>
        </w:rPr>
        <w:t xml:space="preserve">, p. </w:t>
      </w:r>
      <w:r w:rsidRPr="00EE6ED7">
        <w:rPr>
          <w:sz w:val="23"/>
          <w:szCs w:val="23"/>
          <w:rtl/>
        </w:rPr>
        <w:t>סט</w:t>
      </w:r>
      <w:r w:rsidRPr="00EE6ED7">
        <w:rPr>
          <w:sz w:val="23"/>
          <w:szCs w:val="23"/>
        </w:rPr>
        <w:t xml:space="preserve"> n. 16 =</w:t>
      </w:r>
      <w:r w:rsidRPr="00EE6ED7">
        <w:rPr>
          <w:sz w:val="23"/>
          <w:szCs w:val="23"/>
          <w:rtl/>
        </w:rPr>
        <w:t>מקורות ומסורות</w:t>
      </w:r>
      <w:r w:rsidRPr="00EE6ED7">
        <w:rPr>
          <w:sz w:val="23"/>
          <w:szCs w:val="23"/>
        </w:rPr>
        <w:t xml:space="preserve">, p. </w:t>
      </w:r>
      <w:r w:rsidRPr="00EE6ED7">
        <w:rPr>
          <w:sz w:val="23"/>
          <w:szCs w:val="23"/>
          <w:rtl/>
        </w:rPr>
        <w:t>תקפב</w:t>
      </w:r>
      <w:r w:rsidRPr="00EE6ED7">
        <w:rPr>
          <w:sz w:val="23"/>
          <w:szCs w:val="23"/>
        </w:rPr>
        <w:t xml:space="preserve"> n. 13), who rejects this view, writes that D. Z. Hoffmann was apparently the first to suggest it; see the article and the responsum cited by Halivni. However, as I have noted elsewhere (“The ‘Aramean’ of Deut 26:5: </w:t>
      </w:r>
      <w:r w:rsidRPr="00EE6ED7">
        <w:rPr>
          <w:i/>
          <w:sz w:val="23"/>
          <w:szCs w:val="23"/>
        </w:rPr>
        <w:t>Peshat</w:t>
      </w:r>
      <w:r w:rsidRPr="00EE6ED7">
        <w:rPr>
          <w:sz w:val="23"/>
          <w:szCs w:val="23"/>
        </w:rPr>
        <w:t xml:space="preserve"> and </w:t>
      </w:r>
      <w:r w:rsidRPr="00EE6ED7">
        <w:rPr>
          <w:i/>
          <w:sz w:val="23"/>
          <w:szCs w:val="23"/>
        </w:rPr>
        <w:t>Derash</w:t>
      </w:r>
      <w:r w:rsidRPr="00EE6ED7">
        <w:rPr>
          <w:sz w:val="23"/>
          <w:szCs w:val="23"/>
        </w:rPr>
        <w:t xml:space="preserve">,” in </w:t>
      </w:r>
      <w:r w:rsidRPr="00EE6ED7">
        <w:rPr>
          <w:i/>
          <w:sz w:val="23"/>
          <w:szCs w:val="23"/>
        </w:rPr>
        <w:t>Tehillah le-Moshe: Biblical and Judaic Studies in Honor of Moshe Greenberg</w:t>
      </w:r>
      <w:r w:rsidRPr="00EE6ED7">
        <w:rPr>
          <w:sz w:val="23"/>
          <w:szCs w:val="23"/>
        </w:rPr>
        <w:t>, ed. M. Cogan, J. H. Tigay, and B. L. Eichler [Winona Lake, Indiana, 1997], 128 n. 2), the basic idea is assumed already in the Judeo-Arabic commentary of Judah Ibn Bal‘am on Deuteronomy. Even so, Hoffmann deserves credit for being the first to cite evidence for this view, viz., other Rabbinic sources (b.So</w:t>
      </w:r>
      <w:r w:rsidRPr="008D69CA">
        <w:rPr>
          <w:rFonts w:ascii="CalSemitic" w:hAnsi="CalSemitic"/>
          <w:szCs w:val="23"/>
        </w:rPr>
        <w:t>T</w:t>
      </w:r>
      <w:r w:rsidRPr="00EE6ED7">
        <w:rPr>
          <w:sz w:val="23"/>
          <w:szCs w:val="23"/>
        </w:rPr>
        <w:t>a</w:t>
      </w:r>
      <w:r>
        <w:rPr>
          <w:sz w:val="23"/>
          <w:szCs w:val="23"/>
        </w:rPr>
        <w:t>h</w:t>
      </w:r>
      <w:r w:rsidRPr="00EE6ED7">
        <w:rPr>
          <w:sz w:val="23"/>
          <w:szCs w:val="23"/>
        </w:rPr>
        <w:t xml:space="preserve"> 32b; </w:t>
      </w:r>
      <w:r w:rsidRPr="00EE6ED7">
        <w:rPr>
          <w:sz w:val="23"/>
          <w:szCs w:val="23"/>
          <w:rtl/>
        </w:rPr>
        <w:t>מדרש תנאים</w:t>
      </w:r>
      <w:r w:rsidRPr="00EE6ED7">
        <w:rPr>
          <w:sz w:val="23"/>
          <w:szCs w:val="23"/>
        </w:rPr>
        <w:t xml:space="preserve">, 172, 175) in which the terms </w:t>
      </w:r>
      <w:r w:rsidRPr="00EE6ED7">
        <w:rPr>
          <w:sz w:val="23"/>
          <w:szCs w:val="23"/>
          <w:rtl/>
        </w:rPr>
        <w:t>גנות</w:t>
      </w:r>
      <w:r w:rsidRPr="00EE6ED7">
        <w:rPr>
          <w:sz w:val="23"/>
          <w:szCs w:val="23"/>
        </w:rPr>
        <w:t xml:space="preserve"> and </w:t>
      </w:r>
      <w:r w:rsidRPr="00EE6ED7">
        <w:rPr>
          <w:sz w:val="23"/>
          <w:szCs w:val="23"/>
          <w:rtl/>
        </w:rPr>
        <w:t>גני</w:t>
      </w:r>
      <w:r w:rsidRPr="00EE6ED7">
        <w:rPr>
          <w:sz w:val="23"/>
          <w:szCs w:val="23"/>
        </w:rPr>
        <w:t xml:space="preserve"> (=</w:t>
      </w:r>
      <w:r w:rsidRPr="00EE6ED7">
        <w:rPr>
          <w:sz w:val="23"/>
          <w:szCs w:val="23"/>
          <w:rtl/>
        </w:rPr>
        <w:t>גנאי</w:t>
      </w:r>
      <w:r w:rsidRPr="00EE6ED7">
        <w:rPr>
          <w:sz w:val="23"/>
          <w:szCs w:val="23"/>
        </w:rPr>
        <w:t xml:space="preserve">) are applied to the declaration of the first-fruits. We may add that </w:t>
      </w:r>
      <w:r w:rsidRPr="00EE6ED7">
        <w:rPr>
          <w:i/>
          <w:sz w:val="23"/>
          <w:szCs w:val="23"/>
        </w:rPr>
        <w:t>Seder R. Amram Gaon</w:t>
      </w:r>
      <w:r w:rsidRPr="00EE6ED7">
        <w:rPr>
          <w:sz w:val="23"/>
          <w:szCs w:val="23"/>
        </w:rPr>
        <w:t xml:space="preserve"> (ed. D. Goldschmidt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Mossad Harav Kook, 1971], p. </w:t>
      </w:r>
      <w:r w:rsidRPr="00EE6ED7">
        <w:rPr>
          <w:sz w:val="23"/>
          <w:szCs w:val="23"/>
          <w:rtl/>
        </w:rPr>
        <w:t>קיג</w:t>
      </w:r>
      <w:r w:rsidRPr="00EE6ED7">
        <w:rPr>
          <w:sz w:val="23"/>
          <w:szCs w:val="23"/>
        </w:rPr>
        <w:t xml:space="preserve">) has a comment that appears to be based on those sources: </w:t>
      </w:r>
      <w:r w:rsidRPr="00EE6ED7">
        <w:rPr>
          <w:sz w:val="23"/>
          <w:szCs w:val="23"/>
          <w:rtl/>
        </w:rPr>
        <w:t>ומתחיל בגנות ומסיים בשבח ודורש מארמי אובד אבי עד שגומר את כל הפרשה. וזה הוא גנות.</w:t>
      </w:r>
      <w:r w:rsidRPr="00EE6ED7">
        <w:rPr>
          <w:sz w:val="23"/>
          <w:szCs w:val="23"/>
        </w:rPr>
        <w:t xml:space="preserve">. A similar view—that </w:t>
      </w:r>
      <w:r w:rsidRPr="00EE6ED7">
        <w:rPr>
          <w:sz w:val="23"/>
          <w:szCs w:val="23"/>
          <w:rtl/>
        </w:rPr>
        <w:t>ודורש וכו'</w:t>
      </w:r>
      <w:r w:rsidRPr="00EE6ED7">
        <w:rPr>
          <w:sz w:val="23"/>
          <w:szCs w:val="23"/>
        </w:rPr>
        <w:t xml:space="preserve"> explains </w:t>
      </w:r>
      <w:r w:rsidRPr="00EE6ED7">
        <w:rPr>
          <w:sz w:val="23"/>
          <w:szCs w:val="23"/>
          <w:rtl/>
        </w:rPr>
        <w:t>ומסיים בשבח</w:t>
      </w:r>
      <w:r w:rsidRPr="00EE6ED7">
        <w:rPr>
          <w:sz w:val="23"/>
          <w:szCs w:val="23"/>
        </w:rPr>
        <w:t xml:space="preserve"> alone—is found in the commentaries of R. Simeon b. Zemah Duran and Abarbanel, according to Kasher (</w:t>
      </w:r>
      <w:r w:rsidRPr="00EE6ED7">
        <w:rPr>
          <w:sz w:val="23"/>
          <w:szCs w:val="23"/>
          <w:rtl/>
        </w:rPr>
        <w:t>הגדה שלמה</w:t>
      </w:r>
      <w:r w:rsidRPr="00EE6ED7">
        <w:rPr>
          <w:sz w:val="23"/>
          <w:szCs w:val="23"/>
        </w:rPr>
        <w:t>, 31), Tabory (</w:t>
      </w:r>
      <w:r w:rsidRPr="00EE6ED7">
        <w:rPr>
          <w:sz w:val="23"/>
          <w:szCs w:val="23"/>
          <w:rtl/>
        </w:rPr>
        <w:t>פסח דורות</w:t>
      </w:r>
      <w:r w:rsidRPr="00EE6ED7">
        <w:rPr>
          <w:sz w:val="23"/>
          <w:szCs w:val="23"/>
        </w:rPr>
        <w:t>, 358), and Henshke (</w:t>
      </w:r>
      <w:r w:rsidRPr="00EE6ED7">
        <w:rPr>
          <w:sz w:val="23"/>
          <w:szCs w:val="23"/>
          <w:rtl/>
        </w:rPr>
        <w:t>מדרש</w:t>
      </w:r>
      <w:r w:rsidRPr="00EE6ED7">
        <w:rPr>
          <w:sz w:val="23"/>
          <w:szCs w:val="23"/>
        </w:rPr>
        <w:t>, 36–37</w:t>
      </w:r>
      <w:r>
        <w:rPr>
          <w:sz w:val="23"/>
          <w:szCs w:val="23"/>
        </w:rPr>
        <w:t>,</w:t>
      </w:r>
      <w:r w:rsidRPr="00EE6ED7">
        <w:rPr>
          <w:sz w:val="23"/>
          <w:szCs w:val="23"/>
        </w:rPr>
        <w:t xml:space="preserve"> esp</w:t>
      </w:r>
      <w:r>
        <w:rPr>
          <w:sz w:val="23"/>
          <w:szCs w:val="23"/>
        </w:rPr>
        <w:t>ecially</w:t>
      </w:r>
      <w:r w:rsidRPr="00EE6ED7">
        <w:rPr>
          <w:sz w:val="23"/>
          <w:szCs w:val="23"/>
        </w:rPr>
        <w:t xml:space="preserve"> n. 11); contrast Katz</w:t>
      </w:r>
      <w:r>
        <w:rPr>
          <w:sz w:val="23"/>
          <w:szCs w:val="23"/>
        </w:rPr>
        <w:t>e</w:t>
      </w:r>
      <w:r w:rsidRPr="00EE6ED7">
        <w:rPr>
          <w:sz w:val="23"/>
          <w:szCs w:val="23"/>
        </w:rPr>
        <w:t>nellenbogen (</w:t>
      </w:r>
      <w:r w:rsidRPr="00EE6ED7">
        <w:rPr>
          <w:sz w:val="23"/>
          <w:szCs w:val="23"/>
          <w:rtl/>
        </w:rPr>
        <w:t>הגדה של פסח תורת חיים</w:t>
      </w:r>
      <w:r w:rsidRPr="00EE6ED7">
        <w:rPr>
          <w:sz w:val="23"/>
          <w:szCs w:val="23"/>
        </w:rPr>
        <w:t xml:space="preserve">, p. </w:t>
      </w:r>
      <w:r w:rsidRPr="00EE6ED7">
        <w:rPr>
          <w:sz w:val="23"/>
          <w:szCs w:val="23"/>
          <w:rtl/>
        </w:rPr>
        <w:t>קלב</w:t>
      </w:r>
      <w:r w:rsidRPr="00EE6ED7">
        <w:rPr>
          <w:sz w:val="23"/>
          <w:szCs w:val="23"/>
        </w:rPr>
        <w:t xml:space="preserve"> n. 433).</w:t>
      </w:r>
    </w:p>
  </w:footnote>
  <w:footnote w:id="126">
    <w:p w:rsidR="00A465C3" w:rsidRPr="00EE6ED7" w:rsidRDefault="00A465C3" w:rsidP="0022741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Safrai and Safrai, </w:t>
      </w:r>
      <w:r w:rsidRPr="00EE6ED7">
        <w:rPr>
          <w:sz w:val="23"/>
          <w:szCs w:val="23"/>
          <w:rtl/>
        </w:rPr>
        <w:t>הגדת חז"ל</w:t>
      </w:r>
      <w:r w:rsidRPr="00EE6ED7">
        <w:rPr>
          <w:sz w:val="23"/>
          <w:szCs w:val="23"/>
        </w:rPr>
        <w:t xml:space="preserve">, 35 (cf. pp. 279, 288); Kasher, </w:t>
      </w:r>
      <w:r w:rsidRPr="00EE6ED7">
        <w:rPr>
          <w:sz w:val="23"/>
          <w:szCs w:val="23"/>
          <w:rtl/>
        </w:rPr>
        <w:t>הגדה שלמה</w:t>
      </w:r>
      <w:r w:rsidRPr="00EE6ED7">
        <w:rPr>
          <w:sz w:val="23"/>
          <w:szCs w:val="23"/>
        </w:rPr>
        <w:t>, 128; Rovner, “Early Haggadah,” 376.</w:t>
      </w:r>
    </w:p>
  </w:footnote>
  <w:footnote w:id="127">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J. N. Epstein, </w:t>
      </w:r>
      <w:r w:rsidRPr="00EE6ED7">
        <w:rPr>
          <w:sz w:val="23"/>
          <w:szCs w:val="23"/>
          <w:rtl/>
        </w:rPr>
        <w:t>מבואות לספרות התנאים</w:t>
      </w:r>
      <w:r w:rsidRPr="00EE6ED7">
        <w:rPr>
          <w:sz w:val="23"/>
          <w:szCs w:val="23"/>
        </w:rPr>
        <w:t xml:space="preserve"> (</w:t>
      </w:r>
      <w:smartTag w:uri="urn:schemas-microsoft-com:office:smarttags" w:element="place">
        <w:smartTag w:uri="urn:schemas-microsoft-com:office:smarttags" w:element="City">
          <w:r w:rsidRPr="00EE6ED7">
            <w:rPr>
              <w:sz w:val="23"/>
              <w:szCs w:val="23"/>
            </w:rPr>
            <w:t>Jerusalem</w:t>
          </w:r>
        </w:smartTag>
      </w:smartTag>
      <w:r>
        <w:rPr>
          <w:sz w:val="23"/>
          <w:szCs w:val="23"/>
        </w:rPr>
        <w:t>, 1957), 334 (cf.</w:t>
      </w:r>
      <w:r w:rsidRPr="00EE6ED7">
        <w:rPr>
          <w:sz w:val="23"/>
          <w:szCs w:val="23"/>
          <w:rtl/>
        </w:rPr>
        <w:t>מבוא לנוסח המשנה</w:t>
      </w:r>
      <w:r w:rsidRPr="00EE6ED7">
        <w:rPr>
          <w:sz w:val="23"/>
          <w:szCs w:val="23"/>
        </w:rPr>
        <w:t xml:space="preserve">, 1133–62); Halivni, </w:t>
      </w:r>
      <w:r w:rsidRPr="00EE6ED7">
        <w:rPr>
          <w:sz w:val="23"/>
          <w:szCs w:val="23"/>
          <w:rtl/>
        </w:rPr>
        <w:t>מקורות ומסורות</w:t>
      </w:r>
      <w:r w:rsidRPr="00EE6ED7">
        <w:rPr>
          <w:sz w:val="23"/>
          <w:szCs w:val="23"/>
        </w:rPr>
        <w:t xml:space="preserve">, p. </w:t>
      </w:r>
      <w:r w:rsidRPr="00EE6ED7">
        <w:rPr>
          <w:sz w:val="23"/>
          <w:szCs w:val="23"/>
          <w:rtl/>
        </w:rPr>
        <w:t>תקפא</w:t>
      </w:r>
      <w:r>
        <w:rPr>
          <w:sz w:val="23"/>
          <w:szCs w:val="23"/>
        </w:rPr>
        <w:t>:</w:t>
      </w:r>
      <w:r w:rsidRPr="00EE6ED7">
        <w:rPr>
          <w:sz w:val="23"/>
          <w:szCs w:val="23"/>
          <w:rtl/>
        </w:rPr>
        <w:t>בכמה ג</w:t>
      </w:r>
      <w:r>
        <w:rPr>
          <w:rFonts w:hint="cs"/>
          <w:sz w:val="23"/>
          <w:szCs w:val="23"/>
          <w:rtl/>
        </w:rPr>
        <w:t>י</w:t>
      </w:r>
      <w:r w:rsidRPr="00EE6ED7">
        <w:rPr>
          <w:sz w:val="23"/>
          <w:szCs w:val="23"/>
          <w:rtl/>
        </w:rPr>
        <w:t>רסאות, הגירסה היא: "ר' גמליאל אומר", חולק</w:t>
      </w:r>
      <w:r w:rsidRPr="00EE6ED7">
        <w:rPr>
          <w:sz w:val="23"/>
          <w:szCs w:val="23"/>
        </w:rPr>
        <w:t xml:space="preserve">. (I am indebted to Shamma Friedman, Menahem Kahana, and S. Z. Leiman for these references.) According to Halivni, Rabban Gamaliel holds that the recitation of </w:t>
      </w:r>
      <w:r w:rsidRPr="00EE6ED7">
        <w:rPr>
          <w:sz w:val="23"/>
          <w:szCs w:val="23"/>
          <w:rtl/>
        </w:rPr>
        <w:t>מה נשתנה</w:t>
      </w:r>
      <w:r w:rsidRPr="00EE6ED7">
        <w:rPr>
          <w:sz w:val="23"/>
          <w:szCs w:val="23"/>
        </w:rPr>
        <w:t xml:space="preserve"> is obligatory, thereby disagreeing with the author of the previous </w:t>
      </w:r>
      <w:r w:rsidRPr="00EE6ED7">
        <w:rPr>
          <w:i/>
          <w:iCs/>
          <w:sz w:val="23"/>
          <w:szCs w:val="23"/>
        </w:rPr>
        <w:t>mishnah</w:t>
      </w:r>
      <w:r w:rsidRPr="00EE6ED7">
        <w:rPr>
          <w:sz w:val="23"/>
          <w:szCs w:val="23"/>
        </w:rPr>
        <w:t>, who holds that it is optional.</w:t>
      </w:r>
    </w:p>
  </w:footnote>
  <w:footnote w:id="12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Shamma Friedman, </w:t>
      </w:r>
      <w:r w:rsidRPr="00EE6ED7">
        <w:rPr>
          <w:sz w:val="23"/>
          <w:szCs w:val="23"/>
          <w:rtl/>
        </w:rPr>
        <w:t>תוספתא עתיקתא: מסכת פסח ראשון</w:t>
      </w:r>
      <w:r w:rsidRPr="00EE6ED7">
        <w:rPr>
          <w:sz w:val="23"/>
          <w:szCs w:val="23"/>
        </w:rPr>
        <w:t xml:space="preserve"> (Ramat-Gan: Bar-Ilan University Press, 2002), 441.</w:t>
      </w:r>
    </w:p>
  </w:footnote>
  <w:footnote w:id="12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Unlike the extant versions, his version would have included </w:t>
      </w:r>
      <w:r w:rsidRPr="00EE6ED7">
        <w:rPr>
          <w:sz w:val="23"/>
          <w:szCs w:val="23"/>
          <w:rtl/>
        </w:rPr>
        <w:t>מרור</w:t>
      </w:r>
      <w:r w:rsidRPr="00EE6ED7">
        <w:rPr>
          <w:sz w:val="23"/>
          <w:szCs w:val="23"/>
        </w:rPr>
        <w:t xml:space="preserve"> and omitted dipping.</w:t>
      </w:r>
    </w:p>
  </w:footnote>
  <w:footnote w:id="13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Tabory, </w:t>
      </w:r>
      <w:r w:rsidRPr="00EE6ED7">
        <w:rPr>
          <w:sz w:val="23"/>
          <w:szCs w:val="23"/>
          <w:rtl/>
        </w:rPr>
        <w:t>פסח דורות</w:t>
      </w:r>
      <w:r w:rsidRPr="00EE6ED7">
        <w:rPr>
          <w:sz w:val="23"/>
          <w:szCs w:val="23"/>
        </w:rPr>
        <w:t>, 361, and the literature cited there.</w:t>
      </w:r>
    </w:p>
  </w:footnote>
  <w:footnote w:id="131">
    <w:p w:rsidR="00A465C3" w:rsidRPr="00EE6ED7" w:rsidRDefault="00A465C3" w:rsidP="00241CF9">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Safrai and Safrai, </w:t>
      </w:r>
      <w:r w:rsidRPr="00EE6ED7">
        <w:rPr>
          <w:sz w:val="23"/>
          <w:szCs w:val="23"/>
          <w:rtl/>
        </w:rPr>
        <w:t>הגדת חז"ל</w:t>
      </w:r>
      <w:r w:rsidRPr="00EE6ED7">
        <w:rPr>
          <w:sz w:val="23"/>
          <w:szCs w:val="23"/>
        </w:rPr>
        <w:t>, 45.</w:t>
      </w:r>
    </w:p>
  </w:footnote>
  <w:footnote w:id="132">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Ibid. H</w:t>
      </w:r>
      <w:r w:rsidRPr="00EE6ED7">
        <w:rPr>
          <w:sz w:val="23"/>
          <w:szCs w:val="23"/>
        </w:rPr>
        <w:t xml:space="preserve">owever, </w:t>
      </w:r>
      <w:smartTag w:uri="urn:schemas-microsoft-com:office:smarttags" w:element="PersonName">
        <w:r w:rsidRPr="00EE6ED7">
          <w:rPr>
            <w:sz w:val="23"/>
            <w:szCs w:val="23"/>
          </w:rPr>
          <w:t>Leib Moscovitz</w:t>
        </w:r>
      </w:smartTag>
      <w:r w:rsidRPr="00EE6ED7">
        <w:rPr>
          <w:sz w:val="23"/>
          <w:szCs w:val="23"/>
        </w:rPr>
        <w:t xml:space="preserve"> </w:t>
      </w:r>
      <w:r>
        <w:rPr>
          <w:sz w:val="23"/>
          <w:szCs w:val="23"/>
        </w:rPr>
        <w:t xml:space="preserve">(email communication) </w:t>
      </w:r>
      <w:r w:rsidRPr="00EE6ED7">
        <w:rPr>
          <w:sz w:val="23"/>
          <w:szCs w:val="23"/>
        </w:rPr>
        <w:t>notes that “it is not utterly inconceivable that these statements emanated from circles associated with or otherwise influenced by Rabban Gamliel</w:t>
      </w:r>
      <w:r>
        <w:rPr>
          <w:sz w:val="23"/>
          <w:szCs w:val="23"/>
        </w:rPr>
        <w:t>.</w:t>
      </w:r>
      <w:r w:rsidRPr="00EE6ED7">
        <w:rPr>
          <w:sz w:val="23"/>
          <w:szCs w:val="23"/>
        </w:rPr>
        <w:t>”</w:t>
      </w:r>
    </w:p>
  </w:footnote>
  <w:footnote w:id="133">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I am indebted to Joseph Crystal for this observation.</w:t>
      </w:r>
    </w:p>
  </w:footnote>
  <w:footnote w:id="134">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p. </w:t>
      </w:r>
      <w:r w:rsidRPr="00EE6ED7">
        <w:rPr>
          <w:sz w:val="23"/>
          <w:szCs w:val="23"/>
          <w:rtl/>
        </w:rPr>
        <w:t>יד</w:t>
      </w:r>
      <w:r w:rsidRPr="00EE6ED7">
        <w:rPr>
          <w:sz w:val="23"/>
          <w:szCs w:val="23"/>
        </w:rPr>
        <w:t xml:space="preserve">. For </w:t>
      </w:r>
      <w:r w:rsidRPr="00EE6ED7">
        <w:rPr>
          <w:sz w:val="23"/>
          <w:szCs w:val="23"/>
          <w:rtl/>
        </w:rPr>
        <w:t>מה נשתנה...</w:t>
      </w:r>
      <w:r>
        <w:rPr>
          <w:rFonts w:hint="cs"/>
          <w:sz w:val="23"/>
          <w:szCs w:val="23"/>
          <w:rtl/>
        </w:rPr>
        <w:t xml:space="preserve"> </w:t>
      </w:r>
      <w:r w:rsidRPr="00EE6ED7">
        <w:rPr>
          <w:sz w:val="23"/>
          <w:szCs w:val="23"/>
          <w:rtl/>
        </w:rPr>
        <w:t>ל-...</w:t>
      </w:r>
      <w:r w:rsidRPr="00EE6ED7">
        <w:rPr>
          <w:sz w:val="23"/>
          <w:szCs w:val="23"/>
        </w:rPr>
        <w:t xml:space="preserve"> instead of </w:t>
      </w:r>
      <w:r w:rsidRPr="00EE6ED7">
        <w:rPr>
          <w:sz w:val="23"/>
          <w:szCs w:val="23"/>
          <w:rtl/>
        </w:rPr>
        <w:t>מה נשתנה...</w:t>
      </w:r>
      <w:r>
        <w:rPr>
          <w:rFonts w:hint="cs"/>
          <w:sz w:val="23"/>
          <w:szCs w:val="23"/>
          <w:rtl/>
        </w:rPr>
        <w:t xml:space="preserve"> </w:t>
      </w:r>
      <w:r w:rsidRPr="00EE6ED7">
        <w:rPr>
          <w:sz w:val="23"/>
          <w:szCs w:val="23"/>
          <w:rtl/>
        </w:rPr>
        <w:t>ש-...</w:t>
      </w:r>
      <w:r w:rsidRPr="00EE6ED7">
        <w:rPr>
          <w:sz w:val="23"/>
          <w:szCs w:val="23"/>
        </w:rPr>
        <w:t>, see section IV above.</w:t>
      </w:r>
    </w:p>
  </w:footnote>
  <w:footnote w:id="135">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מאמר חמץ לרשב"ץ</w:t>
      </w:r>
      <w:r>
        <w:rPr>
          <w:rFonts w:hint="cs"/>
          <w:sz w:val="23"/>
          <w:szCs w:val="23"/>
          <w:rtl/>
        </w:rPr>
        <w:t>,</w:t>
      </w:r>
      <w:r w:rsidRPr="00EE6ED7">
        <w:rPr>
          <w:sz w:val="23"/>
          <w:szCs w:val="23"/>
          <w:rtl/>
        </w:rPr>
        <w:t xml:space="preserve"> אות קכ</w:t>
      </w:r>
      <w:r w:rsidRPr="00EE6ED7">
        <w:rPr>
          <w:sz w:val="23"/>
          <w:szCs w:val="23"/>
        </w:rPr>
        <w:t>.</w:t>
      </w:r>
    </w:p>
  </w:footnote>
  <w:footnote w:id="136">
    <w:p w:rsidR="00A465C3" w:rsidRPr="00EE6ED7" w:rsidRDefault="00A465C3" w:rsidP="0045651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 xml:space="preserve">שאלות ותשובות </w:t>
      </w:r>
      <w:r>
        <w:rPr>
          <w:rFonts w:hint="cs"/>
          <w:sz w:val="23"/>
          <w:szCs w:val="23"/>
          <w:rtl/>
        </w:rPr>
        <w:t>ה</w:t>
      </w:r>
      <w:r w:rsidRPr="00EE6ED7">
        <w:rPr>
          <w:sz w:val="23"/>
          <w:szCs w:val="23"/>
          <w:rtl/>
        </w:rPr>
        <w:t>רדב"ז</w:t>
      </w:r>
      <w:r>
        <w:rPr>
          <w:rFonts w:hint="cs"/>
          <w:sz w:val="23"/>
          <w:szCs w:val="23"/>
          <w:rtl/>
        </w:rPr>
        <w:t>,</w:t>
      </w:r>
      <w:r w:rsidRPr="00EE6ED7">
        <w:rPr>
          <w:sz w:val="23"/>
          <w:szCs w:val="23"/>
          <w:rtl/>
        </w:rPr>
        <w:t xml:space="preserve"> ו</w:t>
      </w:r>
      <w:r>
        <w:rPr>
          <w:rFonts w:hint="cs"/>
          <w:sz w:val="23"/>
          <w:szCs w:val="23"/>
          <w:rtl/>
        </w:rPr>
        <w:t>,</w:t>
      </w:r>
      <w:r w:rsidRPr="00EE6ED7">
        <w:rPr>
          <w:sz w:val="23"/>
          <w:szCs w:val="23"/>
          <w:rtl/>
        </w:rPr>
        <w:t xml:space="preserve"> ב אלפים שי</w:t>
      </w:r>
      <w:r>
        <w:rPr>
          <w:rFonts w:hint="cs"/>
          <w:sz w:val="23"/>
          <w:szCs w:val="23"/>
          <w:rtl/>
        </w:rPr>
        <w:t>,</w:t>
      </w:r>
      <w:r w:rsidRPr="00EE6ED7">
        <w:rPr>
          <w:sz w:val="23"/>
          <w:szCs w:val="23"/>
          <w:rtl/>
        </w:rPr>
        <w:t xml:space="preserve"> ד"ה שאלת ממני</w:t>
      </w:r>
      <w:r w:rsidRPr="00EE6ED7">
        <w:rPr>
          <w:sz w:val="23"/>
          <w:szCs w:val="23"/>
        </w:rPr>
        <w:t>.</w:t>
      </w:r>
    </w:p>
  </w:footnote>
  <w:footnote w:id="137">
    <w:p w:rsidR="00A465C3" w:rsidRPr="00EE6ED7" w:rsidRDefault="00A465C3" w:rsidP="006B1DD2">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ש</w:t>
      </w:r>
      <w:r>
        <w:rPr>
          <w:rFonts w:hint="cs"/>
          <w:sz w:val="23"/>
          <w:szCs w:val="23"/>
          <w:rtl/>
        </w:rPr>
        <w:t>ם,</w:t>
      </w:r>
      <w:r w:rsidRPr="00EE6ED7">
        <w:rPr>
          <w:sz w:val="23"/>
          <w:szCs w:val="23"/>
          <w:rtl/>
        </w:rPr>
        <w:t xml:space="preserve"> ג</w:t>
      </w:r>
      <w:r>
        <w:rPr>
          <w:rFonts w:hint="cs"/>
          <w:sz w:val="23"/>
          <w:szCs w:val="23"/>
          <w:rtl/>
        </w:rPr>
        <w:t>,</w:t>
      </w:r>
      <w:r w:rsidRPr="00EE6ED7">
        <w:rPr>
          <w:sz w:val="23"/>
          <w:szCs w:val="23"/>
          <w:rtl/>
        </w:rPr>
        <w:t xml:space="preserve"> תקמו </w:t>
      </w:r>
      <w:r w:rsidRPr="00EE6ED7">
        <w:rPr>
          <w:rFonts w:hint="cs"/>
          <w:sz w:val="23"/>
          <w:szCs w:val="23"/>
          <w:rtl/>
        </w:rPr>
        <w:t>(</w:t>
      </w:r>
      <w:r w:rsidRPr="00EE6ED7">
        <w:rPr>
          <w:sz w:val="23"/>
          <w:szCs w:val="23"/>
          <w:rtl/>
        </w:rPr>
        <w:t>תתקעז</w:t>
      </w:r>
      <w:r w:rsidRPr="00EE6ED7">
        <w:rPr>
          <w:rFonts w:hint="cs"/>
          <w:sz w:val="23"/>
          <w:szCs w:val="23"/>
          <w:rtl/>
        </w:rPr>
        <w:t>)</w:t>
      </w:r>
      <w:r w:rsidRPr="00EE6ED7">
        <w:rPr>
          <w:sz w:val="23"/>
          <w:szCs w:val="23"/>
          <w:rtl/>
        </w:rPr>
        <w:t xml:space="preserve"> </w:t>
      </w:r>
      <w:r>
        <w:rPr>
          <w:rFonts w:hint="cs"/>
          <w:sz w:val="23"/>
          <w:szCs w:val="23"/>
          <w:rtl/>
        </w:rPr>
        <w:t xml:space="preserve">ד"ה </w:t>
      </w:r>
      <w:r w:rsidRPr="00EE6ED7">
        <w:rPr>
          <w:sz w:val="23"/>
          <w:szCs w:val="23"/>
          <w:rtl/>
        </w:rPr>
        <w:t>שאלת</w:t>
      </w:r>
      <w:r w:rsidRPr="00EE6ED7">
        <w:rPr>
          <w:sz w:val="23"/>
          <w:szCs w:val="23"/>
        </w:rPr>
        <w:t>.</w:t>
      </w:r>
    </w:p>
  </w:footnote>
  <w:footnote w:id="138">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 של פסח תורת חיים</w:t>
      </w:r>
      <w:r w:rsidRPr="00EE6ED7">
        <w:rPr>
          <w:sz w:val="23"/>
          <w:szCs w:val="23"/>
        </w:rPr>
        <w:t xml:space="preserve">, p. </w:t>
      </w:r>
      <w:r w:rsidRPr="00EE6ED7">
        <w:rPr>
          <w:sz w:val="23"/>
          <w:szCs w:val="23"/>
          <w:rtl/>
        </w:rPr>
        <w:t>כט</w:t>
      </w:r>
      <w:r w:rsidRPr="00EE6ED7">
        <w:rPr>
          <w:sz w:val="23"/>
          <w:szCs w:val="23"/>
        </w:rPr>
        <w:t>.</w:t>
      </w:r>
    </w:p>
  </w:footnote>
  <w:footnote w:id="13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For the </w:t>
      </w:r>
      <w:smartTag w:uri="urn:schemas-microsoft-com:office:smarttags" w:element="City">
        <w:r w:rsidRPr="00EE6ED7">
          <w:rPr>
            <w:sz w:val="23"/>
            <w:szCs w:val="23"/>
          </w:rPr>
          <w:t>Mantua</w:t>
        </w:r>
      </w:smartTag>
      <w:r w:rsidRPr="00EE6ED7">
        <w:rPr>
          <w:sz w:val="23"/>
          <w:szCs w:val="23"/>
        </w:rPr>
        <w:t xml:space="preserve"> 1550 edition, see I. Yudlov, </w:t>
      </w:r>
      <w:r w:rsidRPr="00EE6ED7">
        <w:rPr>
          <w:sz w:val="23"/>
          <w:szCs w:val="23"/>
          <w:rtl/>
        </w:rPr>
        <w:t>אוצר ההגדות</w:t>
      </w:r>
      <w:r w:rsidRPr="00EE6ED7">
        <w:rPr>
          <w:sz w:val="23"/>
          <w:szCs w:val="23"/>
        </w:rPr>
        <w:t xml:space="preserve"> (</w:t>
      </w:r>
      <w:smartTag w:uri="urn:schemas-microsoft-com:office:smarttags" w:element="place">
        <w:smartTag w:uri="urn:schemas-microsoft-com:office:smarttags" w:element="City">
          <w:r w:rsidRPr="00EE6ED7">
            <w:rPr>
              <w:sz w:val="23"/>
              <w:szCs w:val="23"/>
            </w:rPr>
            <w:t>Jerusalem</w:t>
          </w:r>
        </w:smartTag>
      </w:smartTag>
      <w:r w:rsidRPr="00EE6ED7">
        <w:rPr>
          <w:sz w:val="23"/>
          <w:szCs w:val="23"/>
        </w:rPr>
        <w:t xml:space="preserve">, 1997), 3 no. 14. I used the </w:t>
      </w:r>
      <w:smartTag w:uri="urn:schemas-microsoft-com:office:smarttags" w:element="place">
        <w:smartTag w:uri="urn:schemas-microsoft-com:office:smarttags" w:element="City">
          <w:r w:rsidRPr="00EE6ED7">
            <w:rPr>
              <w:sz w:val="23"/>
              <w:szCs w:val="23"/>
            </w:rPr>
            <w:t>Venice</w:t>
          </w:r>
        </w:smartTag>
      </w:smartTag>
      <w:r w:rsidRPr="00EE6ED7">
        <w:rPr>
          <w:sz w:val="23"/>
          <w:szCs w:val="23"/>
        </w:rPr>
        <w:t xml:space="preserve"> 1599 edition (Yudlov, </w:t>
      </w:r>
      <w:r w:rsidRPr="00EE6ED7">
        <w:rPr>
          <w:sz w:val="23"/>
          <w:szCs w:val="23"/>
          <w:rtl/>
        </w:rPr>
        <w:t>אוצר ההגדות</w:t>
      </w:r>
      <w:r w:rsidRPr="00EE6ED7">
        <w:rPr>
          <w:sz w:val="23"/>
          <w:szCs w:val="23"/>
        </w:rPr>
        <w:t>, 5 no. 35) at JTSA.</w:t>
      </w:r>
    </w:p>
  </w:footnote>
  <w:footnote w:id="14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I consulted Livorno 1794 and 1807 at Harvard, Livorno 1827, 1867, and 1932 at YU, and </w:t>
      </w:r>
      <w:smartTag w:uri="urn:schemas-microsoft-com:office:smarttags" w:element="place">
        <w:r w:rsidRPr="00EE6ED7">
          <w:rPr>
            <w:sz w:val="23"/>
            <w:szCs w:val="23"/>
          </w:rPr>
          <w:t>Livorno</w:t>
        </w:r>
      </w:smartTag>
      <w:r w:rsidRPr="00EE6ED7">
        <w:rPr>
          <w:sz w:val="23"/>
          <w:szCs w:val="23"/>
        </w:rPr>
        <w:t xml:space="preserve"> 1839 and 1843 on the JNUL website. </w:t>
      </w:r>
    </w:p>
  </w:footnote>
  <w:footnote w:id="141">
    <w:p w:rsidR="00A465C3" w:rsidRPr="00EE6ED7" w:rsidRDefault="00A465C3" w:rsidP="007904D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w:t>
      </w:r>
      <w:r w:rsidRPr="00EE6ED7">
        <w:rPr>
          <w:sz w:val="23"/>
          <w:szCs w:val="23"/>
          <w:rtl/>
        </w:rPr>
        <w:t>סדר הגדה של פסח עם פתרון בלשון איטלקי</w:t>
      </w:r>
      <w:r w:rsidRPr="00EE6ED7">
        <w:rPr>
          <w:sz w:val="23"/>
          <w:szCs w:val="23"/>
        </w:rPr>
        <w:t xml:space="preserve"> (</w:t>
      </w:r>
      <w:smartTag w:uri="urn:schemas-microsoft-com:office:smarttags" w:element="place">
        <w:r w:rsidRPr="00EE6ED7">
          <w:rPr>
            <w:sz w:val="23"/>
            <w:szCs w:val="23"/>
          </w:rPr>
          <w:t>Livorno</w:t>
        </w:r>
      </w:smartTag>
      <w:r w:rsidRPr="00EE6ED7">
        <w:rPr>
          <w:sz w:val="23"/>
          <w:szCs w:val="23"/>
        </w:rPr>
        <w:t xml:space="preserve">, 1892), </w:t>
      </w:r>
      <w:r>
        <w:rPr>
          <w:sz w:val="23"/>
          <w:szCs w:val="23"/>
        </w:rPr>
        <w:t xml:space="preserve">p. </w:t>
      </w:r>
      <w:r>
        <w:rPr>
          <w:rFonts w:hint="cs"/>
          <w:sz w:val="23"/>
          <w:szCs w:val="23"/>
          <w:rtl/>
        </w:rPr>
        <w:t>יד ע"א</w:t>
      </w:r>
      <w:r w:rsidRPr="00EE6ED7">
        <w:rPr>
          <w:sz w:val="23"/>
          <w:szCs w:val="23"/>
        </w:rPr>
        <w:t xml:space="preserve"> (JNUL website); and </w:t>
      </w:r>
      <w:r w:rsidRPr="00EE6ED7">
        <w:rPr>
          <w:sz w:val="23"/>
          <w:szCs w:val="23"/>
          <w:rtl/>
        </w:rPr>
        <w:t>הגדה וסדר של פסח</w:t>
      </w:r>
      <w:r w:rsidRPr="00EE6ED7">
        <w:rPr>
          <w:sz w:val="23"/>
          <w:szCs w:val="23"/>
        </w:rPr>
        <w:t xml:space="preserve">: </w:t>
      </w:r>
      <w:r w:rsidRPr="00EE6ED7">
        <w:rPr>
          <w:i/>
          <w:sz w:val="23"/>
          <w:szCs w:val="23"/>
        </w:rPr>
        <w:t>Die Festgebräuche und die Rechte für Pessachs ersten beiden Nächte</w:t>
      </w:r>
      <w:r>
        <w:rPr>
          <w:sz w:val="23"/>
          <w:szCs w:val="23"/>
        </w:rPr>
        <w:t>, transl.</w:t>
      </w:r>
      <w:r w:rsidRPr="00EE6ED7">
        <w:rPr>
          <w:sz w:val="23"/>
          <w:szCs w:val="23"/>
        </w:rPr>
        <w:t xml:space="preserve"> Abraham Emanuel (Rödelheim: J. Lehrberger, 1869), 9.</w:t>
      </w:r>
    </w:p>
  </w:footnote>
  <w:footnote w:id="142">
    <w:p w:rsidR="00A465C3" w:rsidRPr="00EE6ED7" w:rsidRDefault="00A465C3" w:rsidP="0012587B">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The form </w:t>
      </w:r>
      <w:r w:rsidRPr="00EE6ED7">
        <w:rPr>
          <w:sz w:val="23"/>
          <w:szCs w:val="23"/>
          <w:rtl/>
        </w:rPr>
        <w:t>װען</w:t>
      </w:r>
      <w:r w:rsidRPr="00EE6ED7">
        <w:rPr>
          <w:sz w:val="23"/>
          <w:szCs w:val="23"/>
        </w:rPr>
        <w:t xml:space="preserve"> = </w:t>
      </w:r>
      <w:r w:rsidRPr="00EE6ED7">
        <w:rPr>
          <w:i/>
          <w:sz w:val="23"/>
          <w:szCs w:val="23"/>
        </w:rPr>
        <w:t>wen</w:t>
      </w:r>
      <w:r w:rsidRPr="00EE6ED7">
        <w:rPr>
          <w:sz w:val="23"/>
          <w:szCs w:val="23"/>
        </w:rPr>
        <w:t xml:space="preserve"> is a Middle German variant of </w:t>
      </w:r>
      <w:r w:rsidRPr="00EE6ED7">
        <w:rPr>
          <w:i/>
          <w:sz w:val="23"/>
          <w:szCs w:val="23"/>
        </w:rPr>
        <w:t>wann</w:t>
      </w:r>
      <w:r w:rsidRPr="00EE6ED7">
        <w:rPr>
          <w:sz w:val="23"/>
          <w:szCs w:val="23"/>
        </w:rPr>
        <w:t xml:space="preserve"> “than”; see Grimm, </w:t>
      </w:r>
      <w:r w:rsidRPr="00EE6ED7">
        <w:rPr>
          <w:i/>
          <w:sz w:val="23"/>
          <w:szCs w:val="23"/>
        </w:rPr>
        <w:t>Deutsches Wörterbuch</w:t>
      </w:r>
      <w:r w:rsidRPr="00EE6ED7">
        <w:rPr>
          <w:sz w:val="23"/>
          <w:szCs w:val="23"/>
        </w:rPr>
        <w:t xml:space="preserve">, s.v. </w:t>
      </w:r>
      <w:r w:rsidRPr="00EE6ED7">
        <w:rPr>
          <w:i/>
          <w:sz w:val="23"/>
          <w:szCs w:val="23"/>
        </w:rPr>
        <w:t>wann</w:t>
      </w:r>
      <w:r w:rsidRPr="00EE6ED7">
        <w:rPr>
          <w:sz w:val="23"/>
          <w:szCs w:val="23"/>
        </w:rPr>
        <w:t xml:space="preserve">; </w:t>
      </w:r>
      <w:r w:rsidRPr="00EE6ED7">
        <w:rPr>
          <w:sz w:val="23"/>
          <w:szCs w:val="23"/>
          <w:rtl/>
        </w:rPr>
        <w:t>מען</w:t>
      </w:r>
      <w:r w:rsidRPr="00EE6ED7">
        <w:rPr>
          <w:sz w:val="23"/>
          <w:szCs w:val="23"/>
        </w:rPr>
        <w:t xml:space="preserve"> appears to be a variant of </w:t>
      </w:r>
      <w:r w:rsidRPr="00EE6ED7">
        <w:rPr>
          <w:sz w:val="23"/>
          <w:szCs w:val="23"/>
          <w:rtl/>
        </w:rPr>
        <w:t>מער</w:t>
      </w:r>
      <w:r w:rsidRPr="00EE6ED7">
        <w:rPr>
          <w:sz w:val="23"/>
          <w:szCs w:val="23"/>
        </w:rPr>
        <w:t>. This rendering anticipates the later translations discussed in n</w:t>
      </w:r>
      <w:r>
        <w:rPr>
          <w:sz w:val="23"/>
          <w:szCs w:val="23"/>
        </w:rPr>
        <w:t>n</w:t>
      </w:r>
      <w:r w:rsidRPr="00EE6ED7">
        <w:rPr>
          <w:sz w:val="23"/>
          <w:szCs w:val="23"/>
        </w:rPr>
        <w:t xml:space="preserve">. </w:t>
      </w:r>
      <w:r>
        <w:rPr>
          <w:sz w:val="23"/>
          <w:szCs w:val="23"/>
        </w:rPr>
        <w:fldChar w:fldCharType="begin"/>
      </w:r>
      <w:r>
        <w:rPr>
          <w:sz w:val="23"/>
          <w:szCs w:val="23"/>
        </w:rPr>
        <w:instrText xml:space="preserve"> NOTEREF _Ref200357836 \h </w:instrText>
      </w:r>
      <w:r w:rsidRPr="00032B0E">
        <w:rPr>
          <w:sz w:val="23"/>
          <w:szCs w:val="23"/>
        </w:rPr>
      </w:r>
      <w:r>
        <w:rPr>
          <w:sz w:val="23"/>
          <w:szCs w:val="23"/>
        </w:rPr>
        <w:fldChar w:fldCharType="separate"/>
      </w:r>
      <w:r w:rsidR="00300213">
        <w:rPr>
          <w:sz w:val="23"/>
          <w:szCs w:val="23"/>
        </w:rPr>
        <w:t>15</w:t>
      </w:r>
      <w:r>
        <w:rPr>
          <w:sz w:val="23"/>
          <w:szCs w:val="23"/>
        </w:rPr>
        <w:fldChar w:fldCharType="end"/>
      </w:r>
      <w:r w:rsidRPr="00EE6ED7">
        <w:rPr>
          <w:sz w:val="23"/>
          <w:szCs w:val="23"/>
        </w:rPr>
        <w:t xml:space="preserve"> </w:t>
      </w:r>
      <w:r>
        <w:rPr>
          <w:sz w:val="23"/>
          <w:szCs w:val="23"/>
        </w:rPr>
        <w:t xml:space="preserve">and </w:t>
      </w:r>
      <w:r>
        <w:rPr>
          <w:sz w:val="23"/>
          <w:szCs w:val="23"/>
        </w:rPr>
        <w:fldChar w:fldCharType="begin"/>
      </w:r>
      <w:r>
        <w:rPr>
          <w:sz w:val="23"/>
          <w:szCs w:val="23"/>
        </w:rPr>
        <w:instrText xml:space="preserve"> NOTEREF _Ref223699989 \h </w:instrText>
      </w:r>
      <w:r w:rsidRPr="0012587B">
        <w:rPr>
          <w:sz w:val="23"/>
          <w:szCs w:val="23"/>
        </w:rPr>
      </w:r>
      <w:r>
        <w:rPr>
          <w:sz w:val="23"/>
          <w:szCs w:val="23"/>
        </w:rPr>
        <w:fldChar w:fldCharType="separate"/>
      </w:r>
      <w:r w:rsidR="00300213">
        <w:rPr>
          <w:sz w:val="23"/>
          <w:szCs w:val="23"/>
        </w:rPr>
        <w:t>73</w:t>
      </w:r>
      <w:r>
        <w:rPr>
          <w:sz w:val="23"/>
          <w:szCs w:val="23"/>
        </w:rPr>
        <w:fldChar w:fldCharType="end"/>
      </w:r>
      <w:r>
        <w:rPr>
          <w:sz w:val="23"/>
          <w:szCs w:val="23"/>
        </w:rPr>
        <w:t xml:space="preserve"> </w:t>
      </w:r>
      <w:r w:rsidRPr="00EE6ED7">
        <w:rPr>
          <w:sz w:val="23"/>
          <w:szCs w:val="23"/>
        </w:rPr>
        <w:t>above.</w:t>
      </w:r>
    </w:p>
  </w:footnote>
  <w:footnote w:id="143">
    <w:p w:rsidR="00A465C3" w:rsidRPr="00EE6ED7" w:rsidRDefault="00A465C3" w:rsidP="00BB4316">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Oxford M</w:t>
      </w:r>
      <w:r>
        <w:rPr>
          <w:sz w:val="23"/>
          <w:szCs w:val="23"/>
        </w:rPr>
        <w:t>s.</w:t>
      </w:r>
      <w:r w:rsidRPr="00EE6ED7">
        <w:rPr>
          <w:sz w:val="23"/>
          <w:szCs w:val="23"/>
        </w:rPr>
        <w:t xml:space="preserve"> Opp. 656 (Neubauer 1214/1), f</w:t>
      </w:r>
      <w:r>
        <w:rPr>
          <w:sz w:val="23"/>
          <w:szCs w:val="23"/>
        </w:rPr>
        <w:t>ol</w:t>
      </w:r>
      <w:r w:rsidRPr="00EE6ED7">
        <w:rPr>
          <w:sz w:val="23"/>
          <w:szCs w:val="23"/>
        </w:rPr>
        <w:t>. 84b.</w:t>
      </w:r>
    </w:p>
  </w:footnote>
  <w:footnote w:id="144">
    <w:p w:rsidR="00A465C3" w:rsidRPr="00EE6ED7" w:rsidRDefault="00A465C3" w:rsidP="007904D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the facsimile in </w:t>
      </w:r>
      <w:r w:rsidRPr="00EE6ED7">
        <w:rPr>
          <w:i/>
          <w:sz w:val="23"/>
          <w:szCs w:val="23"/>
        </w:rPr>
        <w:t>Two Prague Haggadahs</w:t>
      </w:r>
      <w:r w:rsidRPr="00EE6ED7">
        <w:rPr>
          <w:sz w:val="23"/>
          <w:szCs w:val="23"/>
        </w:rPr>
        <w:t xml:space="preserve"> (London: Valmadonna Trust Library, 1978). Here and below, I have put parentheses around letters that are found in only some of the </w:t>
      </w:r>
      <w:r w:rsidRPr="00EE6ED7">
        <w:rPr>
          <w:sz w:val="23"/>
          <w:szCs w:val="23"/>
          <w:rtl/>
        </w:rPr>
        <w:t>ש</w:t>
      </w:r>
      <w:r w:rsidRPr="00EE6ED7">
        <w:rPr>
          <w:sz w:val="23"/>
          <w:szCs w:val="23"/>
        </w:rPr>
        <w:t>-clauses.</w:t>
      </w:r>
    </w:p>
  </w:footnote>
  <w:footnote w:id="145">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תפלה לכל השנה כמנהג אשכנז ופולין</w:t>
      </w:r>
      <w:r w:rsidRPr="00EE6ED7">
        <w:rPr>
          <w:sz w:val="23"/>
          <w:szCs w:val="23"/>
        </w:rPr>
        <w:t xml:space="preserve"> (Frankfurt am Main, 1691), </w:t>
      </w:r>
      <w:r>
        <w:rPr>
          <w:sz w:val="23"/>
          <w:szCs w:val="23"/>
        </w:rPr>
        <w:t xml:space="preserve">p. </w:t>
      </w:r>
      <w:r>
        <w:rPr>
          <w:rFonts w:hint="cs"/>
          <w:sz w:val="23"/>
          <w:szCs w:val="23"/>
          <w:rtl/>
        </w:rPr>
        <w:t>קסז ע"ב</w:t>
      </w:r>
      <w:r w:rsidRPr="00EE6ED7">
        <w:rPr>
          <w:sz w:val="23"/>
          <w:szCs w:val="23"/>
        </w:rPr>
        <w:t xml:space="preserve"> (JNUL website).</w:t>
      </w:r>
      <w:r>
        <w:rPr>
          <w:sz w:val="23"/>
          <w:szCs w:val="23"/>
        </w:rPr>
        <w:t xml:space="preserve"> The second “that” is not preceded by a period, perhaps because it begins a new line.</w:t>
      </w:r>
    </w:p>
  </w:footnote>
  <w:footnote w:id="146">
    <w:p w:rsidR="00A465C3" w:rsidRPr="00EE6ED7" w:rsidRDefault="00A465C3" w:rsidP="00814D63">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לפסח</w:t>
      </w:r>
      <w:r>
        <w:rPr>
          <w:sz w:val="23"/>
          <w:szCs w:val="23"/>
          <w:rtl/>
        </w:rPr>
        <w:t xml:space="preserve">... </w:t>
      </w:r>
      <w:r w:rsidRPr="00EE6ED7">
        <w:rPr>
          <w:sz w:val="23"/>
          <w:szCs w:val="23"/>
          <w:rtl/>
        </w:rPr>
        <w:t>איז װארן אין טייטש גשטעלט</w:t>
      </w:r>
      <w:r w:rsidRPr="00EE6ED7">
        <w:rPr>
          <w:sz w:val="23"/>
          <w:szCs w:val="23"/>
        </w:rPr>
        <w:t xml:space="preserve"> (Amsterdam, 1765) </w:t>
      </w:r>
      <w:r>
        <w:rPr>
          <w:sz w:val="23"/>
          <w:szCs w:val="23"/>
        </w:rPr>
        <w:t xml:space="preserve">p. </w:t>
      </w:r>
      <w:r>
        <w:rPr>
          <w:rFonts w:hint="cs"/>
          <w:sz w:val="23"/>
          <w:szCs w:val="23"/>
          <w:rtl/>
        </w:rPr>
        <w:t>ה ע"ב</w:t>
      </w:r>
      <w:r w:rsidRPr="00EE6ED7">
        <w:rPr>
          <w:sz w:val="23"/>
          <w:szCs w:val="23"/>
        </w:rPr>
        <w:t xml:space="preserve"> (JNUL website) and </w:t>
      </w:r>
      <w:r w:rsidRPr="00EE6ED7">
        <w:rPr>
          <w:sz w:val="23"/>
          <w:szCs w:val="23"/>
          <w:rtl/>
        </w:rPr>
        <w:t>סדר הגדה לפסח</w:t>
      </w:r>
      <w:r w:rsidRPr="00EE6ED7">
        <w:rPr>
          <w:sz w:val="23"/>
          <w:szCs w:val="23"/>
        </w:rPr>
        <w:t xml:space="preserve"> (Amsterdam, 1790 and 1804)</w:t>
      </w:r>
      <w:r>
        <w:rPr>
          <w:sz w:val="23"/>
          <w:szCs w:val="23"/>
        </w:rPr>
        <w:t xml:space="preserve">, p. </w:t>
      </w:r>
      <w:r>
        <w:rPr>
          <w:rFonts w:hint="cs"/>
          <w:sz w:val="23"/>
          <w:szCs w:val="23"/>
          <w:rtl/>
        </w:rPr>
        <w:t>ה ע"ב</w:t>
      </w:r>
      <w:r>
        <w:rPr>
          <w:sz w:val="23"/>
          <w:szCs w:val="23"/>
        </w:rPr>
        <w:t xml:space="preserve"> (YU and Harvard microfiche).</w:t>
      </w:r>
    </w:p>
  </w:footnote>
  <w:footnote w:id="147">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JTSA 4478, ff. 3b–4a.</w:t>
      </w:r>
    </w:p>
  </w:footnote>
  <w:footnote w:id="148">
    <w:p w:rsidR="00A465C3" w:rsidRPr="00EE6ED7" w:rsidRDefault="00A465C3" w:rsidP="00E11FFD">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 xml:space="preserve">See nn. </w:t>
      </w:r>
      <w:r>
        <w:rPr>
          <w:sz w:val="23"/>
          <w:szCs w:val="23"/>
        </w:rPr>
        <w:fldChar w:fldCharType="begin"/>
      </w:r>
      <w:r>
        <w:rPr>
          <w:sz w:val="23"/>
          <w:szCs w:val="23"/>
        </w:rPr>
        <w:instrText xml:space="preserve"> NOTEREF _Ref200359199 \h </w:instrText>
      </w:r>
      <w:r w:rsidRPr="00032B0E">
        <w:rPr>
          <w:sz w:val="23"/>
          <w:szCs w:val="23"/>
        </w:rPr>
      </w:r>
      <w:r>
        <w:rPr>
          <w:sz w:val="23"/>
          <w:szCs w:val="23"/>
        </w:rPr>
        <w:fldChar w:fldCharType="separate"/>
      </w:r>
      <w:r w:rsidR="00300213">
        <w:rPr>
          <w:sz w:val="23"/>
          <w:szCs w:val="23"/>
        </w:rPr>
        <w:t>102</w:t>
      </w:r>
      <w:r>
        <w:rPr>
          <w:sz w:val="23"/>
          <w:szCs w:val="23"/>
        </w:rPr>
        <w:fldChar w:fldCharType="end"/>
      </w:r>
      <w:r w:rsidRPr="00EE6ED7">
        <w:rPr>
          <w:sz w:val="23"/>
          <w:szCs w:val="23"/>
        </w:rPr>
        <w:t xml:space="preserve"> and </w:t>
      </w:r>
      <w:r>
        <w:rPr>
          <w:sz w:val="23"/>
          <w:szCs w:val="23"/>
        </w:rPr>
        <w:fldChar w:fldCharType="begin"/>
      </w:r>
      <w:r>
        <w:rPr>
          <w:sz w:val="23"/>
          <w:szCs w:val="23"/>
        </w:rPr>
        <w:instrText xml:space="preserve"> NOTEREF _Ref200359210 \h </w:instrText>
      </w:r>
      <w:r w:rsidRPr="00032B0E">
        <w:rPr>
          <w:sz w:val="23"/>
          <w:szCs w:val="23"/>
        </w:rPr>
      </w:r>
      <w:r>
        <w:rPr>
          <w:sz w:val="23"/>
          <w:szCs w:val="23"/>
        </w:rPr>
        <w:fldChar w:fldCharType="separate"/>
      </w:r>
      <w:r w:rsidR="00300213">
        <w:rPr>
          <w:sz w:val="23"/>
          <w:szCs w:val="23"/>
        </w:rPr>
        <w:t>103</w:t>
      </w:r>
      <w:r>
        <w:rPr>
          <w:sz w:val="23"/>
          <w:szCs w:val="23"/>
        </w:rPr>
        <w:fldChar w:fldCharType="end"/>
      </w:r>
      <w:r w:rsidRPr="00EE6ED7">
        <w:rPr>
          <w:sz w:val="23"/>
          <w:szCs w:val="23"/>
        </w:rPr>
        <w:t xml:space="preserve"> above.</w:t>
      </w:r>
    </w:p>
  </w:footnote>
  <w:footnote w:id="149">
    <w:p w:rsidR="00A465C3" w:rsidRPr="00EE6ED7" w:rsidRDefault="00A465C3" w:rsidP="005205E8">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על פסח</w:t>
      </w:r>
      <w:r>
        <w:rPr>
          <w:sz w:val="23"/>
          <w:szCs w:val="23"/>
          <w:rtl/>
        </w:rPr>
        <w:t xml:space="preserve"> </w:t>
      </w:r>
      <w:r w:rsidRPr="00EE6ED7">
        <w:rPr>
          <w:sz w:val="23"/>
          <w:szCs w:val="23"/>
          <w:rtl/>
        </w:rPr>
        <w:t>עם תרגום אשכנזי</w:t>
      </w:r>
      <w:r w:rsidRPr="00EE6ED7">
        <w:rPr>
          <w:sz w:val="23"/>
          <w:szCs w:val="23"/>
        </w:rPr>
        <w:t>, transl. Joel Brill (</w:t>
      </w:r>
      <w:smartTag w:uri="urn:schemas-microsoft-com:office:smarttags" w:element="place">
        <w:smartTag w:uri="urn:schemas-microsoft-com:office:smarttags" w:element="State">
          <w:r w:rsidRPr="00EE6ED7">
            <w:rPr>
              <w:sz w:val="23"/>
              <w:szCs w:val="23"/>
            </w:rPr>
            <w:t>Berlin</w:t>
          </w:r>
        </w:smartTag>
      </w:smartTag>
      <w:r w:rsidRPr="00EE6ED7">
        <w:rPr>
          <w:sz w:val="23"/>
          <w:szCs w:val="23"/>
        </w:rPr>
        <w:t>, 1785)</w:t>
      </w:r>
      <w:r>
        <w:rPr>
          <w:sz w:val="23"/>
          <w:szCs w:val="23"/>
        </w:rPr>
        <w:t xml:space="preserve">, p. </w:t>
      </w:r>
      <w:r>
        <w:rPr>
          <w:rFonts w:hint="cs"/>
          <w:sz w:val="23"/>
          <w:szCs w:val="23"/>
          <w:rtl/>
        </w:rPr>
        <w:t>ד ע"ב</w:t>
      </w:r>
      <w:r w:rsidRPr="00EE6ED7">
        <w:rPr>
          <w:sz w:val="23"/>
          <w:szCs w:val="23"/>
        </w:rPr>
        <w:t xml:space="preserve"> (Harvard microfiche). The punctuation marks are in the original. The translation is attributed to Moses Dessau = Moses Mendelssohn in some later editions, e.g., </w:t>
      </w:r>
      <w:smartTag w:uri="urn:schemas-microsoft-com:office:smarttags" w:element="place">
        <w:smartTag w:uri="urn:schemas-microsoft-com:office:smarttags" w:element="State">
          <w:r w:rsidRPr="00EE6ED7">
            <w:rPr>
              <w:sz w:val="23"/>
              <w:szCs w:val="23"/>
            </w:rPr>
            <w:t>Berlin</w:t>
          </w:r>
        </w:smartTag>
      </w:smartTag>
      <w:r w:rsidRPr="00EE6ED7">
        <w:rPr>
          <w:sz w:val="23"/>
          <w:szCs w:val="23"/>
        </w:rPr>
        <w:t xml:space="preserve"> 1786 (YU, JNUL). It was copied, with slight orthographic changes, in many later editions owned by Harvard and YU: </w:t>
      </w:r>
      <w:smartTag w:uri="urn:schemas-microsoft-com:office:smarttags" w:element="City">
        <w:r w:rsidRPr="00EE6ED7">
          <w:rPr>
            <w:sz w:val="23"/>
            <w:szCs w:val="23"/>
          </w:rPr>
          <w:t>Karlsruhe</w:t>
        </w:r>
      </w:smartTag>
      <w:r w:rsidRPr="00EE6ED7">
        <w:rPr>
          <w:sz w:val="23"/>
          <w:szCs w:val="23"/>
        </w:rPr>
        <w:t xml:space="preserve"> 1791 (H), </w:t>
      </w:r>
      <w:smartTag w:uri="urn:schemas-microsoft-com:office:smarttags" w:element="City">
        <w:r w:rsidRPr="00EE6ED7">
          <w:rPr>
            <w:sz w:val="23"/>
            <w:szCs w:val="23"/>
          </w:rPr>
          <w:t>Vienna</w:t>
        </w:r>
      </w:smartTag>
      <w:r w:rsidRPr="00EE6ED7">
        <w:rPr>
          <w:sz w:val="23"/>
          <w:szCs w:val="23"/>
        </w:rPr>
        <w:t xml:space="preserve"> 1795 (H), </w:t>
      </w:r>
      <w:smartTag w:uri="urn:schemas-microsoft-com:office:smarttags" w:element="State">
        <w:r w:rsidRPr="00EE6ED7">
          <w:rPr>
            <w:sz w:val="23"/>
            <w:szCs w:val="23"/>
          </w:rPr>
          <w:t>Berlin</w:t>
        </w:r>
      </w:smartTag>
      <w:r w:rsidRPr="00EE6ED7">
        <w:rPr>
          <w:sz w:val="23"/>
          <w:szCs w:val="23"/>
        </w:rPr>
        <w:t xml:space="preserve"> 1795 (YU), </w:t>
      </w:r>
      <w:smartTag w:uri="urn:schemas-microsoft-com:office:smarttags" w:element="City">
        <w:smartTag w:uri="urn:schemas-microsoft-com:office:smarttags" w:element="place">
          <w:r w:rsidRPr="00EE6ED7">
            <w:rPr>
              <w:sz w:val="23"/>
              <w:szCs w:val="23"/>
            </w:rPr>
            <w:t>Offenbach</w:t>
          </w:r>
        </w:smartTag>
      </w:smartTag>
      <w:r w:rsidRPr="00EE6ED7">
        <w:rPr>
          <w:sz w:val="23"/>
          <w:szCs w:val="23"/>
        </w:rPr>
        <w:t xml:space="preserve"> 1795</w:t>
      </w:r>
      <w:r>
        <w:rPr>
          <w:sz w:val="23"/>
          <w:szCs w:val="23"/>
        </w:rPr>
        <w:t xml:space="preserve"> </w:t>
      </w:r>
      <w:r w:rsidRPr="00EE6ED7">
        <w:rPr>
          <w:sz w:val="23"/>
          <w:szCs w:val="23"/>
        </w:rPr>
        <w:t xml:space="preserve">(?) (H), Frankfurt an der Oder 1801 (H), Fuerth 1804 (YU), </w:t>
      </w:r>
      <w:smartTag w:uri="urn:schemas-microsoft-com:office:smarttags" w:element="City">
        <w:r w:rsidRPr="00EE6ED7">
          <w:rPr>
            <w:sz w:val="23"/>
            <w:szCs w:val="23"/>
          </w:rPr>
          <w:t>Amsterdam</w:t>
        </w:r>
      </w:smartTag>
      <w:r w:rsidRPr="00EE6ED7">
        <w:rPr>
          <w:sz w:val="23"/>
          <w:szCs w:val="23"/>
        </w:rPr>
        <w:t xml:space="preserve"> 1810 (YU), </w:t>
      </w:r>
      <w:smartTag w:uri="urn:schemas-microsoft-com:office:smarttags" w:element="City">
        <w:r w:rsidRPr="00EE6ED7">
          <w:rPr>
            <w:sz w:val="23"/>
            <w:szCs w:val="23"/>
          </w:rPr>
          <w:t>Basel</w:t>
        </w:r>
      </w:smartTag>
      <w:r w:rsidRPr="00EE6ED7">
        <w:rPr>
          <w:sz w:val="23"/>
          <w:szCs w:val="23"/>
        </w:rPr>
        <w:t xml:space="preserve"> 1816 (H), </w:t>
      </w:r>
      <w:smartTag w:uri="urn:schemas-microsoft-com:office:smarttags" w:element="place">
        <w:smartTag w:uri="urn:schemas-microsoft-com:office:smarttags" w:element="City">
          <w:r w:rsidRPr="00EE6ED7">
            <w:rPr>
              <w:sz w:val="23"/>
              <w:szCs w:val="23"/>
            </w:rPr>
            <w:t>Metz</w:t>
          </w:r>
        </w:smartTag>
      </w:smartTag>
      <w:r w:rsidRPr="00EE6ED7">
        <w:rPr>
          <w:sz w:val="23"/>
          <w:szCs w:val="23"/>
        </w:rPr>
        <w:t xml:space="preserve"> 1817 (H), Zultsbach 1833 (H, YU). So too the </w:t>
      </w:r>
      <w:r w:rsidRPr="00EE6ED7">
        <w:rPr>
          <w:rFonts w:hint="cs"/>
          <w:sz w:val="23"/>
          <w:szCs w:val="23"/>
        </w:rPr>
        <w:t>H</w:t>
      </w:r>
      <w:r w:rsidRPr="00EE6ED7">
        <w:rPr>
          <w:sz w:val="23"/>
          <w:szCs w:val="23"/>
        </w:rPr>
        <w:t>aggadah written in 1816 for Moses Sofer of Pressburg (</w:t>
      </w:r>
      <w:r w:rsidRPr="00E74B8F">
        <w:rPr>
          <w:rFonts w:ascii="CalSemitic" w:hAnsi="CalSemitic"/>
          <w:szCs w:val="23"/>
        </w:rPr>
        <w:t>-</w:t>
      </w:r>
      <w:r w:rsidRPr="00EE6ED7">
        <w:rPr>
          <w:sz w:val="23"/>
          <w:szCs w:val="23"/>
        </w:rPr>
        <w:t>atam Sofer); see the facsimile in</w:t>
      </w:r>
      <w:r w:rsidRPr="00EE6ED7">
        <w:rPr>
          <w:sz w:val="23"/>
          <w:szCs w:val="23"/>
          <w:rtl/>
        </w:rPr>
        <w:t>הגדה של פסח כתובה ומצויירת בידי רבי משה-נתן הכהן בשנת תקע"ו לכבוד</w:t>
      </w:r>
      <w:r>
        <w:rPr>
          <w:sz w:val="23"/>
          <w:szCs w:val="23"/>
          <w:rtl/>
        </w:rPr>
        <w:t xml:space="preserve">... </w:t>
      </w:r>
      <w:r w:rsidRPr="00EE6ED7">
        <w:rPr>
          <w:sz w:val="23"/>
          <w:szCs w:val="23"/>
          <w:rtl/>
        </w:rPr>
        <w:t>רבי משה סופר</w:t>
      </w:r>
      <w:r>
        <w:rPr>
          <w:sz w:val="23"/>
          <w:szCs w:val="23"/>
          <w:rtl/>
        </w:rPr>
        <w:t xml:space="preserve">... </w:t>
      </w:r>
      <w:r w:rsidRPr="00EE6ED7">
        <w:rPr>
          <w:sz w:val="23"/>
          <w:szCs w:val="23"/>
          <w:rtl/>
        </w:rPr>
        <w:t>עם פירוש "מאיר נתיב" מאת הרב מאיר להמן אב"ד מיינץ</w:t>
      </w:r>
      <w:r w:rsidRPr="00EE6ED7">
        <w:rPr>
          <w:sz w:val="23"/>
          <w:szCs w:val="23"/>
        </w:rPr>
        <w:t xml:space="preserve"> (Bene Berak: Netzach, 1967). Cf. also the translations of A. Alexander and D. Levi in the London </w:t>
      </w:r>
      <w:r w:rsidRPr="00EE6ED7">
        <w:rPr>
          <w:rFonts w:hint="cs"/>
          <w:sz w:val="23"/>
          <w:szCs w:val="23"/>
        </w:rPr>
        <w:t>H</w:t>
      </w:r>
      <w:r w:rsidRPr="00EE6ED7">
        <w:rPr>
          <w:sz w:val="23"/>
          <w:szCs w:val="23"/>
        </w:rPr>
        <w:t xml:space="preserve">aggadot of 1770 and 1794, cited </w:t>
      </w:r>
      <w:r>
        <w:rPr>
          <w:sz w:val="23"/>
          <w:szCs w:val="23"/>
        </w:rPr>
        <w:t>in section III</w:t>
      </w:r>
      <w:r w:rsidRPr="00E11FFD">
        <w:rPr>
          <w:sz w:val="23"/>
          <w:szCs w:val="23"/>
        </w:rPr>
        <w:t xml:space="preserve"> </w:t>
      </w:r>
      <w:r w:rsidRPr="00EE6ED7">
        <w:rPr>
          <w:sz w:val="23"/>
          <w:szCs w:val="23"/>
        </w:rPr>
        <w:t>above.</w:t>
      </w:r>
    </w:p>
  </w:footnote>
  <w:footnote w:id="15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Section VI above.</w:t>
      </w:r>
    </w:p>
  </w:footnote>
  <w:footnote w:id="15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Libro de Oracyones</w:t>
      </w:r>
      <w:r w:rsidRPr="00EE6ED7">
        <w:rPr>
          <w:sz w:val="23"/>
          <w:szCs w:val="23"/>
        </w:rPr>
        <w:t xml:space="preserve">, 164. A photocopy of the original provided by the Hebrew Union College library shows a question mark following </w:t>
      </w:r>
      <w:r w:rsidRPr="00EE6ED7">
        <w:rPr>
          <w:i/>
          <w:sz w:val="23"/>
          <w:szCs w:val="23"/>
        </w:rPr>
        <w:t>las noches</w:t>
      </w:r>
      <w:r w:rsidRPr="00EE6ED7">
        <w:rPr>
          <w:sz w:val="23"/>
          <w:szCs w:val="23"/>
        </w:rPr>
        <w:t xml:space="preserve"> but no ¿ before </w:t>
      </w:r>
      <w:r w:rsidRPr="00EE6ED7">
        <w:rPr>
          <w:i/>
          <w:sz w:val="23"/>
          <w:szCs w:val="23"/>
        </w:rPr>
        <w:t>por que</w:t>
      </w:r>
      <w:r w:rsidRPr="00EE6ED7">
        <w:rPr>
          <w:sz w:val="23"/>
          <w:szCs w:val="23"/>
        </w:rPr>
        <w:t>.</w:t>
      </w:r>
    </w:p>
  </w:footnote>
  <w:footnote w:id="152">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Pr>
          <w:sz w:val="23"/>
          <w:szCs w:val="23"/>
        </w:rPr>
        <w:t xml:space="preserve">See nn. </w:t>
      </w:r>
      <w:r>
        <w:rPr>
          <w:sz w:val="23"/>
          <w:szCs w:val="23"/>
        </w:rPr>
        <w:fldChar w:fldCharType="begin"/>
      </w:r>
      <w:r>
        <w:rPr>
          <w:sz w:val="23"/>
          <w:szCs w:val="23"/>
        </w:rPr>
        <w:instrText xml:space="preserve"> NOTEREF _Ref223707528 \h </w:instrText>
      </w:r>
      <w:r w:rsidRPr="00721675">
        <w:rPr>
          <w:sz w:val="23"/>
          <w:szCs w:val="23"/>
        </w:rPr>
      </w:r>
      <w:r>
        <w:rPr>
          <w:sz w:val="23"/>
          <w:szCs w:val="23"/>
        </w:rPr>
        <w:fldChar w:fldCharType="separate"/>
      </w:r>
      <w:r w:rsidR="00300213">
        <w:rPr>
          <w:sz w:val="23"/>
          <w:szCs w:val="23"/>
        </w:rPr>
        <w:t>35</w:t>
      </w:r>
      <w:r>
        <w:rPr>
          <w:sz w:val="23"/>
          <w:szCs w:val="23"/>
        </w:rPr>
        <w:fldChar w:fldCharType="end"/>
      </w:r>
      <w:r>
        <w:rPr>
          <w:sz w:val="23"/>
          <w:szCs w:val="23"/>
        </w:rPr>
        <w:t xml:space="preserve"> and </w:t>
      </w:r>
      <w:r>
        <w:rPr>
          <w:sz w:val="23"/>
          <w:szCs w:val="23"/>
        </w:rPr>
        <w:fldChar w:fldCharType="begin"/>
      </w:r>
      <w:r>
        <w:rPr>
          <w:sz w:val="23"/>
          <w:szCs w:val="23"/>
        </w:rPr>
        <w:instrText xml:space="preserve"> NOTEREF _Ref223707543 \h </w:instrText>
      </w:r>
      <w:r w:rsidRPr="00721675">
        <w:rPr>
          <w:sz w:val="23"/>
          <w:szCs w:val="23"/>
        </w:rPr>
      </w:r>
      <w:r>
        <w:rPr>
          <w:sz w:val="23"/>
          <w:szCs w:val="23"/>
        </w:rPr>
        <w:fldChar w:fldCharType="separate"/>
      </w:r>
      <w:r w:rsidR="00300213">
        <w:rPr>
          <w:sz w:val="23"/>
          <w:szCs w:val="23"/>
        </w:rPr>
        <w:t>36</w:t>
      </w:r>
      <w:r>
        <w:rPr>
          <w:sz w:val="23"/>
          <w:szCs w:val="23"/>
        </w:rPr>
        <w:fldChar w:fldCharType="end"/>
      </w:r>
      <w:r>
        <w:rPr>
          <w:sz w:val="23"/>
          <w:szCs w:val="23"/>
        </w:rPr>
        <w:t xml:space="preserve"> above</w:t>
      </w:r>
      <w:r w:rsidRPr="00EE6ED7">
        <w:rPr>
          <w:sz w:val="23"/>
          <w:szCs w:val="23"/>
        </w:rPr>
        <w:t>.</w:t>
      </w:r>
    </w:p>
  </w:footnote>
  <w:footnote w:id="153">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La Haggada de Bordeaux: Facsimile (1813)</w:t>
      </w:r>
      <w:r w:rsidRPr="00EE6ED7">
        <w:rPr>
          <w:sz w:val="23"/>
          <w:szCs w:val="23"/>
        </w:rPr>
        <w:t xml:space="preserve"> (Tel-Aviv: Miskal, 1998).</w:t>
      </w:r>
    </w:p>
  </w:footnote>
  <w:footnote w:id="154">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lang w:val="pt-BR"/>
        </w:rPr>
        <w:t> </w:t>
      </w:r>
      <w:r w:rsidRPr="00EE6ED7">
        <w:rPr>
          <w:i/>
          <w:sz w:val="23"/>
          <w:szCs w:val="23"/>
          <w:lang w:val="pt-BR"/>
        </w:rPr>
        <w:t>Haggada, ou cérémoniel des deux premieres soirées de Paque à l’usage des Israélites français</w:t>
      </w:r>
      <w:r w:rsidRPr="00EE6ED7">
        <w:rPr>
          <w:sz w:val="23"/>
          <w:szCs w:val="23"/>
          <w:lang w:val="pt-BR"/>
        </w:rPr>
        <w:t xml:space="preserve">, transl. </w:t>
      </w:r>
      <w:r w:rsidRPr="00EE6ED7">
        <w:rPr>
          <w:sz w:val="23"/>
          <w:szCs w:val="23"/>
        </w:rPr>
        <w:t>D. Drach (Metz: E. Hadamard, 1818), 19–21.</w:t>
      </w:r>
    </w:p>
  </w:footnote>
  <w:footnote w:id="155">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מרבה לספר והוא הגדה של פסח מתורגמת אשכנזית</w:t>
      </w:r>
      <w:r w:rsidRPr="00EE6ED7">
        <w:rPr>
          <w:sz w:val="23"/>
          <w:szCs w:val="23"/>
        </w:rPr>
        <w:t xml:space="preserve">, ed. </w:t>
      </w:r>
      <w:r w:rsidRPr="00EE6ED7">
        <w:rPr>
          <w:sz w:val="23"/>
          <w:szCs w:val="23"/>
          <w:lang w:val="pt-BR"/>
        </w:rPr>
        <w:t xml:space="preserve">M. J. Landau (Prague: M. J. Landau, 1830), 6a–6b. </w:t>
      </w:r>
      <w:r w:rsidRPr="00EE6ED7">
        <w:rPr>
          <w:sz w:val="23"/>
          <w:szCs w:val="23"/>
        </w:rPr>
        <w:t>So too the 1876 edition.</w:t>
      </w:r>
    </w:p>
  </w:footnote>
  <w:footnote w:id="156">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הגדה</w:t>
      </w:r>
      <w:r>
        <w:rPr>
          <w:sz w:val="23"/>
          <w:szCs w:val="23"/>
          <w:rtl/>
        </w:rPr>
        <w:t xml:space="preserve"> אויף פסח אדער ערצעהלונג פאן י</w:t>
      </w:r>
      <w:r>
        <w:rPr>
          <w:rFonts w:hint="cs"/>
          <w:sz w:val="23"/>
          <w:szCs w:val="23"/>
          <w:rtl/>
        </w:rPr>
        <w:t>ִשְ</w:t>
      </w:r>
      <w:r w:rsidRPr="003856D2">
        <w:rPr>
          <w:rFonts w:hint="cs"/>
          <w:spacing w:val="-40"/>
          <w:sz w:val="23"/>
          <w:szCs w:val="23"/>
          <w:rtl/>
        </w:rPr>
        <w:t>ֹ</w:t>
      </w:r>
      <w:r w:rsidRPr="003856D2">
        <w:rPr>
          <w:spacing w:val="-42"/>
          <w:sz w:val="23"/>
          <w:szCs w:val="23"/>
          <w:rtl/>
        </w:rPr>
        <w:t>רָ</w:t>
      </w:r>
      <w:r w:rsidRPr="00EE6ED7">
        <w:rPr>
          <w:sz w:val="23"/>
          <w:szCs w:val="23"/>
          <w:rtl/>
        </w:rPr>
        <w:t>אֵלס אוֹיסצוג אויס מצרים נעבסט איינלייטונג</w:t>
      </w:r>
      <w:r>
        <w:rPr>
          <w:sz w:val="23"/>
          <w:szCs w:val="23"/>
          <w:rtl/>
        </w:rPr>
        <w:t xml:space="preserve">... </w:t>
      </w:r>
      <w:r w:rsidRPr="00EE6ED7">
        <w:rPr>
          <w:sz w:val="23"/>
          <w:szCs w:val="23"/>
          <w:rtl/>
        </w:rPr>
        <w:t>גענאננט עַטֶרֶת צְבִי</w:t>
      </w:r>
      <w:r w:rsidRPr="00EE6ED7">
        <w:rPr>
          <w:sz w:val="23"/>
          <w:szCs w:val="23"/>
        </w:rPr>
        <w:t xml:space="preserve"> (Krotoschin: B. L. Manash, 1840), 27–29.</w:t>
      </w:r>
    </w:p>
  </w:footnote>
  <w:footnote w:id="157">
    <w:p w:rsidR="00A465C3" w:rsidRPr="00EE6ED7" w:rsidRDefault="00A465C3" w:rsidP="00580D71">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tl/>
        </w:rPr>
        <w:t>סדר הגדה של פסח</w:t>
      </w:r>
      <w:r w:rsidRPr="00EE6ED7">
        <w:rPr>
          <w:sz w:val="23"/>
          <w:szCs w:val="23"/>
        </w:rPr>
        <w:t xml:space="preserve">; </w:t>
      </w:r>
      <w:r w:rsidRPr="00EE6ED7">
        <w:rPr>
          <w:i/>
          <w:sz w:val="23"/>
          <w:szCs w:val="23"/>
        </w:rPr>
        <w:t>Service for the Two First Nights of Passover, Hebrew and English</w:t>
      </w:r>
      <w:r w:rsidRPr="00EE6ED7">
        <w:rPr>
          <w:sz w:val="23"/>
          <w:szCs w:val="23"/>
        </w:rPr>
        <w:t xml:space="preserve"> (4th ed.; </w:t>
      </w:r>
      <w:smartTag w:uri="urn:schemas-microsoft-com:office:smarttags" w:element="place">
        <w:smartTag w:uri="urn:schemas-microsoft-com:office:smarttags" w:element="State">
          <w:r w:rsidRPr="00EE6ED7">
            <w:rPr>
              <w:sz w:val="23"/>
              <w:szCs w:val="23"/>
            </w:rPr>
            <w:t>New York</w:t>
          </w:r>
        </w:smartTag>
      </w:smartTag>
      <w:r w:rsidRPr="00EE6ED7">
        <w:rPr>
          <w:sz w:val="23"/>
          <w:szCs w:val="23"/>
        </w:rPr>
        <w:t>: H. Frank, 1857).</w:t>
      </w:r>
    </w:p>
  </w:footnote>
  <w:footnote w:id="158">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Hagadah schel Pessach</w:t>
      </w:r>
      <w:r w:rsidRPr="00EE6ED7">
        <w:rPr>
          <w:sz w:val="23"/>
          <w:szCs w:val="23"/>
        </w:rPr>
        <w:t>, ed. M. Lehmann (Frankfurt am Main: J. Kauffmann, 1914), 13–14.</w:t>
      </w:r>
    </w:p>
  </w:footnote>
  <w:footnote w:id="159">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Seder Ritual for Passover-Eve</w:t>
      </w:r>
      <w:r w:rsidRPr="00EE6ED7">
        <w:rPr>
          <w:sz w:val="23"/>
          <w:szCs w:val="23"/>
        </w:rPr>
        <w:t>, transl. J. D. Eisenstein (New York: Hebrew Publishing Company, 1928), 6–7.</w:t>
      </w:r>
    </w:p>
  </w:footnote>
  <w:footnote w:id="160">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sz w:val="23"/>
          <w:szCs w:val="23"/>
        </w:rPr>
        <w:t>Section VI above.</w:t>
      </w:r>
    </w:p>
  </w:footnote>
  <w:footnote w:id="161">
    <w:p w:rsidR="00A465C3" w:rsidRPr="00EE6ED7" w:rsidRDefault="00A465C3" w:rsidP="00D60C7E">
      <w:pPr>
        <w:suppressAutoHyphens/>
        <w:autoSpaceDE w:val="0"/>
        <w:autoSpaceDN w:val="0"/>
        <w:adjustRightInd w:val="0"/>
        <w:spacing w:line="270" w:lineRule="exact"/>
        <w:jc w:val="both"/>
        <w:rPr>
          <w:sz w:val="23"/>
          <w:szCs w:val="23"/>
        </w:rPr>
      </w:pPr>
      <w:r w:rsidRPr="00EE6ED7">
        <w:rPr>
          <w:sz w:val="23"/>
          <w:szCs w:val="23"/>
          <w:vertAlign w:val="superscript"/>
        </w:rPr>
        <w:footnoteRef/>
      </w:r>
      <w:r w:rsidRPr="00EE6ED7">
        <w:rPr>
          <w:sz w:val="23"/>
          <w:szCs w:val="23"/>
          <w:vertAlign w:val="superscript"/>
        </w:rPr>
        <w:t> </w:t>
      </w:r>
      <w:r w:rsidRPr="00EE6ED7">
        <w:rPr>
          <w:i/>
          <w:sz w:val="23"/>
          <w:szCs w:val="23"/>
        </w:rPr>
        <w:t>Hagadah de Pesaj</w:t>
      </w:r>
      <w:r w:rsidRPr="00EE6ED7">
        <w:rPr>
          <w:sz w:val="23"/>
          <w:szCs w:val="23"/>
        </w:rPr>
        <w:t>, 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Pr="009D60FD" w:rsidRDefault="00A465C3" w:rsidP="00F57C11">
    <w:pPr>
      <w:pStyle w:val="a6"/>
      <w:framePr w:wrap="auto" w:vAnchor="text" w:hAnchor="page" w:x="2269" w:y="1"/>
      <w:rPr>
        <w:rStyle w:val="a8"/>
      </w:rPr>
    </w:pPr>
    <w:r w:rsidRPr="009D60FD">
      <w:rPr>
        <w:rStyle w:val="a8"/>
      </w:rPr>
      <w:fldChar w:fldCharType="begin"/>
    </w:r>
    <w:r w:rsidRPr="009D60FD">
      <w:rPr>
        <w:rStyle w:val="a8"/>
      </w:rPr>
      <w:instrText xml:space="preserve">PAGE  </w:instrText>
    </w:r>
    <w:r w:rsidRPr="009D60FD">
      <w:rPr>
        <w:rStyle w:val="a8"/>
      </w:rPr>
      <w:fldChar w:fldCharType="separate"/>
    </w:r>
    <w:r w:rsidR="00C95C0B">
      <w:rPr>
        <w:rStyle w:val="a8"/>
        <w:noProof/>
      </w:rPr>
      <w:t>166</w:t>
    </w:r>
    <w:r w:rsidRPr="009D60FD">
      <w:rPr>
        <w:rStyle w:val="a8"/>
      </w:rPr>
      <w:fldChar w:fldCharType="end"/>
    </w:r>
  </w:p>
  <w:p w:rsidR="00A465C3" w:rsidRPr="00F57C11" w:rsidRDefault="00A465C3" w:rsidP="00F57C11">
    <w:pPr>
      <w:pStyle w:val="a6"/>
      <w:tabs>
        <w:tab w:val="left" w:pos="2417"/>
        <w:tab w:val="center" w:pos="3685"/>
      </w:tabs>
      <w:jc w:val="center"/>
      <w:rPr>
        <w:sz w:val="22"/>
        <w:szCs w:val="22"/>
      </w:rPr>
    </w:pPr>
    <w:r w:rsidRPr="00F57C11">
      <w:rPr>
        <w:sz w:val="22"/>
        <w:szCs w:val="22"/>
      </w:rPr>
      <w:t>Richard C. Steiner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Default="00A465C3" w:rsidP="00F57C11">
    <w:pPr>
      <w:framePr w:wrap="notBeside" w:hAnchor="text" w:xAlign="right"/>
      <w:rPr>
        <w:lang w:val="en-CA"/>
      </w:rPr>
    </w:pPr>
    <w:r>
      <w:rPr>
        <w:lang w:val="en-CA"/>
      </w:rPr>
      <w:fldChar w:fldCharType="begin"/>
    </w:r>
    <w:r>
      <w:rPr>
        <w:lang w:val="en-CA"/>
      </w:rPr>
      <w:instrText xml:space="preserve"> PAGE  </w:instrText>
    </w:r>
    <w:r>
      <w:rPr>
        <w:lang w:val="en-CA"/>
      </w:rPr>
      <w:fldChar w:fldCharType="separate"/>
    </w:r>
    <w:r w:rsidR="00C95C0B">
      <w:rPr>
        <w:noProof/>
        <w:lang w:val="en-CA"/>
      </w:rPr>
      <w:t>165</w:t>
    </w:r>
    <w:r>
      <w:rPr>
        <w:lang w:val="en-CA"/>
      </w:rPr>
      <w:fldChar w:fldCharType="end"/>
    </w:r>
  </w:p>
  <w:p w:rsidR="00A465C3" w:rsidRPr="00F57C11" w:rsidRDefault="00A465C3" w:rsidP="00F57C11">
    <w:pPr>
      <w:tabs>
        <w:tab w:val="center" w:pos="4320"/>
        <w:tab w:val="right" w:pos="8640"/>
      </w:tabs>
      <w:autoSpaceDE w:val="0"/>
      <w:autoSpaceDN w:val="0"/>
      <w:adjustRightInd w:val="0"/>
      <w:jc w:val="center"/>
      <w:rPr>
        <w:sz w:val="22"/>
        <w:szCs w:val="22"/>
      </w:rPr>
    </w:pPr>
    <w:r w:rsidRPr="00F57C11">
      <w:rPr>
        <w:sz w:val="22"/>
        <w:szCs w:val="22"/>
      </w:rPr>
      <w:t xml:space="preserve">On the Original Structure and Meaning of </w:t>
    </w:r>
    <w:r w:rsidRPr="00F57C11">
      <w:rPr>
        <w:i/>
        <w:iCs/>
        <w:sz w:val="22"/>
        <w:szCs w:val="22"/>
      </w:rPr>
      <w:t>Mah Nishtannah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465C3" w:rsidRDefault="00A465C3" w:rsidP="000C75B4">
    <w:pPr>
      <w:pStyle w:val="a6"/>
    </w:pPr>
    <w:r w:rsidRPr="00EE6ED7">
      <w:rPr>
        <w:i/>
        <w:iCs/>
      </w:rPr>
      <w:t>JSIJ</w:t>
    </w:r>
    <w:r>
      <w:t xml:space="preserve"> 7 (2008) 1</w:t>
    </w:r>
    <w:r w:rsidR="000C75B4">
      <w:t>63</w:t>
    </w:r>
    <w:r>
      <w:t>-</w:t>
    </w:r>
    <w:r w:rsidR="000C75B4">
      <w:t>204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5BCD15"/>
    <w:multiLevelType w:val="multilevel"/>
    <w:tmpl w:val="00000000"/>
    <w:name w:val="NBOutline"/>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lvlRestart w:val="0"/>
      <w:suff w:val="nothing"/>
      <w:lvlText w:val="%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activeWritingStyle w:appName="MSWord" w:lang="en-US" w:vendorID="64" w:dllVersion="131078" w:nlCheck="1" w:checkStyle="1"/>
  <w:activeWritingStyle w:appName="MSWord" w:lang="en-CA" w:vendorID="64" w:dllVersion="131078"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49"/>
  </w:hdrShapeDefaults>
  <w:footnotePr>
    <w:footnote w:id="-1"/>
    <w:footnote w:id="0"/>
    <w:footnote w:id="1"/>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DEE"/>
    <w:rsid w:val="00010807"/>
    <w:rsid w:val="0002002F"/>
    <w:rsid w:val="000313B8"/>
    <w:rsid w:val="00032B0E"/>
    <w:rsid w:val="00046A43"/>
    <w:rsid w:val="00060DD8"/>
    <w:rsid w:val="0007582B"/>
    <w:rsid w:val="00083611"/>
    <w:rsid w:val="000A4652"/>
    <w:rsid w:val="000C0606"/>
    <w:rsid w:val="000C73DE"/>
    <w:rsid w:val="000C75B4"/>
    <w:rsid w:val="000D69A8"/>
    <w:rsid w:val="000F5061"/>
    <w:rsid w:val="000F5DAA"/>
    <w:rsid w:val="00105DEE"/>
    <w:rsid w:val="00111094"/>
    <w:rsid w:val="00117595"/>
    <w:rsid w:val="00117C3A"/>
    <w:rsid w:val="00124276"/>
    <w:rsid w:val="0012587B"/>
    <w:rsid w:val="00125E8B"/>
    <w:rsid w:val="00131FEE"/>
    <w:rsid w:val="001345BD"/>
    <w:rsid w:val="00135B4A"/>
    <w:rsid w:val="001451D1"/>
    <w:rsid w:val="0014624C"/>
    <w:rsid w:val="00152E4C"/>
    <w:rsid w:val="0015594F"/>
    <w:rsid w:val="0016204B"/>
    <w:rsid w:val="001628E6"/>
    <w:rsid w:val="00181E9F"/>
    <w:rsid w:val="001844E9"/>
    <w:rsid w:val="00184B74"/>
    <w:rsid w:val="0019527B"/>
    <w:rsid w:val="001964C2"/>
    <w:rsid w:val="001B1A8B"/>
    <w:rsid w:val="001B29D3"/>
    <w:rsid w:val="001C2E94"/>
    <w:rsid w:val="001C3F9B"/>
    <w:rsid w:val="001C7A14"/>
    <w:rsid w:val="001E008D"/>
    <w:rsid w:val="001F0D50"/>
    <w:rsid w:val="00203486"/>
    <w:rsid w:val="002043CF"/>
    <w:rsid w:val="00211986"/>
    <w:rsid w:val="002119D7"/>
    <w:rsid w:val="002153E3"/>
    <w:rsid w:val="00215869"/>
    <w:rsid w:val="00220E56"/>
    <w:rsid w:val="0022741D"/>
    <w:rsid w:val="00241CF9"/>
    <w:rsid w:val="00242E21"/>
    <w:rsid w:val="002524D9"/>
    <w:rsid w:val="002608A5"/>
    <w:rsid w:val="00263CEB"/>
    <w:rsid w:val="00267AD4"/>
    <w:rsid w:val="00274CA2"/>
    <w:rsid w:val="00280E19"/>
    <w:rsid w:val="0028602C"/>
    <w:rsid w:val="0029161D"/>
    <w:rsid w:val="002A189C"/>
    <w:rsid w:val="002A49A0"/>
    <w:rsid w:val="002B066F"/>
    <w:rsid w:val="002C57BB"/>
    <w:rsid w:val="002C6F54"/>
    <w:rsid w:val="002C71D1"/>
    <w:rsid w:val="002D1C7D"/>
    <w:rsid w:val="002F1AEE"/>
    <w:rsid w:val="002F6ED4"/>
    <w:rsid w:val="002F78EF"/>
    <w:rsid w:val="00300213"/>
    <w:rsid w:val="00302785"/>
    <w:rsid w:val="00304017"/>
    <w:rsid w:val="00312CAD"/>
    <w:rsid w:val="00312EC1"/>
    <w:rsid w:val="0031593A"/>
    <w:rsid w:val="0032446D"/>
    <w:rsid w:val="003272E3"/>
    <w:rsid w:val="003350CD"/>
    <w:rsid w:val="00342445"/>
    <w:rsid w:val="00342AF3"/>
    <w:rsid w:val="00347FDA"/>
    <w:rsid w:val="003626D0"/>
    <w:rsid w:val="00362ABF"/>
    <w:rsid w:val="00372521"/>
    <w:rsid w:val="003856D2"/>
    <w:rsid w:val="003867E5"/>
    <w:rsid w:val="00390802"/>
    <w:rsid w:val="003939EA"/>
    <w:rsid w:val="003A0130"/>
    <w:rsid w:val="003A14D0"/>
    <w:rsid w:val="003A2915"/>
    <w:rsid w:val="003B06F9"/>
    <w:rsid w:val="003B1198"/>
    <w:rsid w:val="003B1435"/>
    <w:rsid w:val="003C19C3"/>
    <w:rsid w:val="003D39C1"/>
    <w:rsid w:val="003D7771"/>
    <w:rsid w:val="003E0616"/>
    <w:rsid w:val="003E508C"/>
    <w:rsid w:val="00403865"/>
    <w:rsid w:val="004110FB"/>
    <w:rsid w:val="00412B7E"/>
    <w:rsid w:val="00413343"/>
    <w:rsid w:val="004238F8"/>
    <w:rsid w:val="00435783"/>
    <w:rsid w:val="00440BD5"/>
    <w:rsid w:val="004530E3"/>
    <w:rsid w:val="0045639F"/>
    <w:rsid w:val="00456516"/>
    <w:rsid w:val="0046585F"/>
    <w:rsid w:val="00472F5B"/>
    <w:rsid w:val="0047465A"/>
    <w:rsid w:val="00487832"/>
    <w:rsid w:val="00494852"/>
    <w:rsid w:val="00495FDE"/>
    <w:rsid w:val="004A2D69"/>
    <w:rsid w:val="004B120C"/>
    <w:rsid w:val="004B2E4A"/>
    <w:rsid w:val="004C31DE"/>
    <w:rsid w:val="004C749E"/>
    <w:rsid w:val="004D06E4"/>
    <w:rsid w:val="004D7450"/>
    <w:rsid w:val="00504066"/>
    <w:rsid w:val="00515A8D"/>
    <w:rsid w:val="005174BD"/>
    <w:rsid w:val="005205E8"/>
    <w:rsid w:val="0053689B"/>
    <w:rsid w:val="00536E73"/>
    <w:rsid w:val="005705D0"/>
    <w:rsid w:val="00580D71"/>
    <w:rsid w:val="00582B04"/>
    <w:rsid w:val="00583779"/>
    <w:rsid w:val="005848DF"/>
    <w:rsid w:val="00586E8F"/>
    <w:rsid w:val="00587921"/>
    <w:rsid w:val="00593F5E"/>
    <w:rsid w:val="005A34DB"/>
    <w:rsid w:val="005A6FD4"/>
    <w:rsid w:val="005B61B0"/>
    <w:rsid w:val="005C0C11"/>
    <w:rsid w:val="005C1C8A"/>
    <w:rsid w:val="005D099F"/>
    <w:rsid w:val="005E010D"/>
    <w:rsid w:val="005E2822"/>
    <w:rsid w:val="005E32B4"/>
    <w:rsid w:val="005E3B35"/>
    <w:rsid w:val="005F4C58"/>
    <w:rsid w:val="005F77AE"/>
    <w:rsid w:val="0060540C"/>
    <w:rsid w:val="006079B4"/>
    <w:rsid w:val="00621C89"/>
    <w:rsid w:val="00633BE8"/>
    <w:rsid w:val="0064425A"/>
    <w:rsid w:val="00656CE9"/>
    <w:rsid w:val="00695BA0"/>
    <w:rsid w:val="006A108C"/>
    <w:rsid w:val="006A2028"/>
    <w:rsid w:val="006A341B"/>
    <w:rsid w:val="006B1DD2"/>
    <w:rsid w:val="006B23A6"/>
    <w:rsid w:val="006C21A5"/>
    <w:rsid w:val="006C2C02"/>
    <w:rsid w:val="006C6200"/>
    <w:rsid w:val="006D03DC"/>
    <w:rsid w:val="006D19BE"/>
    <w:rsid w:val="006D5DE5"/>
    <w:rsid w:val="006D6A68"/>
    <w:rsid w:val="006E194E"/>
    <w:rsid w:val="006E2BA2"/>
    <w:rsid w:val="006E4EA0"/>
    <w:rsid w:val="006F1852"/>
    <w:rsid w:val="00701F80"/>
    <w:rsid w:val="007066E9"/>
    <w:rsid w:val="00721675"/>
    <w:rsid w:val="00721F8B"/>
    <w:rsid w:val="007238BF"/>
    <w:rsid w:val="00727A1E"/>
    <w:rsid w:val="007500D9"/>
    <w:rsid w:val="007825E4"/>
    <w:rsid w:val="00786DE7"/>
    <w:rsid w:val="007904D3"/>
    <w:rsid w:val="0079612B"/>
    <w:rsid w:val="007B70CD"/>
    <w:rsid w:val="007B7F0F"/>
    <w:rsid w:val="007C0E5A"/>
    <w:rsid w:val="007D5823"/>
    <w:rsid w:val="007D7A02"/>
    <w:rsid w:val="007E005E"/>
    <w:rsid w:val="007E0770"/>
    <w:rsid w:val="007E6CE7"/>
    <w:rsid w:val="007F1F66"/>
    <w:rsid w:val="007F603E"/>
    <w:rsid w:val="00814D63"/>
    <w:rsid w:val="008205A3"/>
    <w:rsid w:val="00852484"/>
    <w:rsid w:val="0086288F"/>
    <w:rsid w:val="008737C3"/>
    <w:rsid w:val="0088790A"/>
    <w:rsid w:val="00893D8A"/>
    <w:rsid w:val="008A29BA"/>
    <w:rsid w:val="008A2B4A"/>
    <w:rsid w:val="008C1E02"/>
    <w:rsid w:val="008D2CB7"/>
    <w:rsid w:val="008D69CA"/>
    <w:rsid w:val="008F34E6"/>
    <w:rsid w:val="008F3AFC"/>
    <w:rsid w:val="008F7462"/>
    <w:rsid w:val="00901BA2"/>
    <w:rsid w:val="009053C9"/>
    <w:rsid w:val="0090562F"/>
    <w:rsid w:val="0091070C"/>
    <w:rsid w:val="00934E8B"/>
    <w:rsid w:val="00943DD8"/>
    <w:rsid w:val="00961F32"/>
    <w:rsid w:val="009716D0"/>
    <w:rsid w:val="00971E65"/>
    <w:rsid w:val="0099112F"/>
    <w:rsid w:val="0099680A"/>
    <w:rsid w:val="009A4645"/>
    <w:rsid w:val="009A4B80"/>
    <w:rsid w:val="009B4DAD"/>
    <w:rsid w:val="009C0907"/>
    <w:rsid w:val="009D3D56"/>
    <w:rsid w:val="009E20F5"/>
    <w:rsid w:val="00A0309A"/>
    <w:rsid w:val="00A16255"/>
    <w:rsid w:val="00A255F5"/>
    <w:rsid w:val="00A33221"/>
    <w:rsid w:val="00A41BC9"/>
    <w:rsid w:val="00A43DBE"/>
    <w:rsid w:val="00A465C3"/>
    <w:rsid w:val="00A474EB"/>
    <w:rsid w:val="00A5166D"/>
    <w:rsid w:val="00A564E3"/>
    <w:rsid w:val="00A65D7F"/>
    <w:rsid w:val="00A70DAD"/>
    <w:rsid w:val="00A71184"/>
    <w:rsid w:val="00A71ACE"/>
    <w:rsid w:val="00A73ADB"/>
    <w:rsid w:val="00A76AB5"/>
    <w:rsid w:val="00A82335"/>
    <w:rsid w:val="00A82DEE"/>
    <w:rsid w:val="00A8313C"/>
    <w:rsid w:val="00A84CC4"/>
    <w:rsid w:val="00A877B2"/>
    <w:rsid w:val="00AA1002"/>
    <w:rsid w:val="00AC1BE3"/>
    <w:rsid w:val="00AD2386"/>
    <w:rsid w:val="00AF1597"/>
    <w:rsid w:val="00B103C3"/>
    <w:rsid w:val="00B34EF8"/>
    <w:rsid w:val="00B46844"/>
    <w:rsid w:val="00B56912"/>
    <w:rsid w:val="00B6729B"/>
    <w:rsid w:val="00B96777"/>
    <w:rsid w:val="00BA1FDE"/>
    <w:rsid w:val="00BB04E9"/>
    <w:rsid w:val="00BB4316"/>
    <w:rsid w:val="00BC1FC9"/>
    <w:rsid w:val="00BC5253"/>
    <w:rsid w:val="00BD1852"/>
    <w:rsid w:val="00BE3A4E"/>
    <w:rsid w:val="00BE3F44"/>
    <w:rsid w:val="00BE64DE"/>
    <w:rsid w:val="00BF3876"/>
    <w:rsid w:val="00C01F81"/>
    <w:rsid w:val="00C16C34"/>
    <w:rsid w:val="00C17C01"/>
    <w:rsid w:val="00C22A3C"/>
    <w:rsid w:val="00C26AE2"/>
    <w:rsid w:val="00C3381F"/>
    <w:rsid w:val="00C43493"/>
    <w:rsid w:val="00C4589B"/>
    <w:rsid w:val="00C51FED"/>
    <w:rsid w:val="00C621F4"/>
    <w:rsid w:val="00C67443"/>
    <w:rsid w:val="00C76B6A"/>
    <w:rsid w:val="00C8257A"/>
    <w:rsid w:val="00C95C0B"/>
    <w:rsid w:val="00CA6C9E"/>
    <w:rsid w:val="00CA7185"/>
    <w:rsid w:val="00CB01EA"/>
    <w:rsid w:val="00CB0B26"/>
    <w:rsid w:val="00CD3E0B"/>
    <w:rsid w:val="00CD516D"/>
    <w:rsid w:val="00CE2359"/>
    <w:rsid w:val="00CE6A52"/>
    <w:rsid w:val="00CF0EAE"/>
    <w:rsid w:val="00D10844"/>
    <w:rsid w:val="00D23D6B"/>
    <w:rsid w:val="00D33992"/>
    <w:rsid w:val="00D34709"/>
    <w:rsid w:val="00D3797C"/>
    <w:rsid w:val="00D47BA7"/>
    <w:rsid w:val="00D60401"/>
    <w:rsid w:val="00D60C7E"/>
    <w:rsid w:val="00DB1EBF"/>
    <w:rsid w:val="00DB225B"/>
    <w:rsid w:val="00DD1E13"/>
    <w:rsid w:val="00DF6EF5"/>
    <w:rsid w:val="00E11134"/>
    <w:rsid w:val="00E1180C"/>
    <w:rsid w:val="00E11FFD"/>
    <w:rsid w:val="00E155B3"/>
    <w:rsid w:val="00E26095"/>
    <w:rsid w:val="00E41BE8"/>
    <w:rsid w:val="00E41FAA"/>
    <w:rsid w:val="00E574B4"/>
    <w:rsid w:val="00E57C3F"/>
    <w:rsid w:val="00E727E9"/>
    <w:rsid w:val="00E74B8F"/>
    <w:rsid w:val="00E85550"/>
    <w:rsid w:val="00EA1A4B"/>
    <w:rsid w:val="00ED0B57"/>
    <w:rsid w:val="00EE6ED7"/>
    <w:rsid w:val="00EF081A"/>
    <w:rsid w:val="00EF4013"/>
    <w:rsid w:val="00F0281E"/>
    <w:rsid w:val="00F2212C"/>
    <w:rsid w:val="00F24DDE"/>
    <w:rsid w:val="00F477D6"/>
    <w:rsid w:val="00F51CCF"/>
    <w:rsid w:val="00F57C11"/>
    <w:rsid w:val="00F74804"/>
    <w:rsid w:val="00F96F1B"/>
    <w:rsid w:val="00FA0543"/>
    <w:rsid w:val="00FA2276"/>
    <w:rsid w:val="00FE1607"/>
    <w:rsid w:val="00FF5687"/>
    <w:rsid w:val="00FF6767"/>
    <w:rsid w:val="00FF7DF2"/>
    <w:rsid w:val="00FF7E5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time"/>
  <w:smartTagType w:namespaceuri="urn:schemas-microsoft-com:office:smarttags" w:name="country-region"/>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chartTrackingRefBased/>
  <w15:docId w15:val="{BBD0026E-9B14-4509-900C-A7C1C25997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C95C0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A41BC9"/>
    <w:rPr>
      <w:rFonts w:ascii="Tahoma" w:hAnsi="Tahoma" w:cs="Tahoma"/>
      <w:sz w:val="16"/>
      <w:szCs w:val="16"/>
    </w:rPr>
  </w:style>
  <w:style w:type="paragraph" w:styleId="a4">
    <w:name w:val="footnote text"/>
    <w:basedOn w:val="a"/>
    <w:semiHidden/>
    <w:rsid w:val="0014624C"/>
    <w:rPr>
      <w:sz w:val="20"/>
      <w:szCs w:val="20"/>
    </w:rPr>
  </w:style>
  <w:style w:type="character" w:styleId="a5">
    <w:name w:val="footnote reference"/>
    <w:basedOn w:val="a0"/>
    <w:semiHidden/>
    <w:rsid w:val="0014624C"/>
    <w:rPr>
      <w:vertAlign w:val="superscript"/>
    </w:rPr>
  </w:style>
  <w:style w:type="paragraph" w:styleId="a6">
    <w:name w:val="header"/>
    <w:basedOn w:val="a"/>
    <w:rsid w:val="00EE6ED7"/>
    <w:pPr>
      <w:tabs>
        <w:tab w:val="center" w:pos="4320"/>
        <w:tab w:val="right" w:pos="8640"/>
      </w:tabs>
    </w:pPr>
  </w:style>
  <w:style w:type="paragraph" w:styleId="a7">
    <w:name w:val="footer"/>
    <w:basedOn w:val="a"/>
    <w:rsid w:val="00EE6ED7"/>
    <w:pPr>
      <w:tabs>
        <w:tab w:val="center" w:pos="4320"/>
        <w:tab w:val="right" w:pos="8640"/>
      </w:tabs>
    </w:pPr>
  </w:style>
  <w:style w:type="character" w:styleId="a8">
    <w:name w:val="page number"/>
    <w:basedOn w:val="a0"/>
    <w:rsid w:val="00EE6ED7"/>
    <w:rPr>
      <w:rFonts w:cs="Times New Roman"/>
    </w:rPr>
  </w:style>
  <w:style w:type="character" w:styleId="Hyperlink">
    <w:name w:val="Hyperlink"/>
    <w:basedOn w:val="a0"/>
    <w:rsid w:val="00EE6ED7"/>
    <w:rPr>
      <w:color w:val="0000FF"/>
      <w:u w:val="single"/>
    </w:rPr>
  </w:style>
  <w:style w:type="character" w:customStyle="1" w:styleId="10">
    <w:name w:val="כותרת 1 תו"/>
    <w:basedOn w:val="a0"/>
    <w:link w:val="1"/>
    <w:rsid w:val="00C95C0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biu.ac.il/JS/JSIJ/7-2008/Steiner.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iu.ac.il/JS/JSIJ/7-2008/Steiner.pdf"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u.ac.il/JS/JSIJ/7-2008/Steiner.pdf"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CD6AC-56BF-40BD-AA04-3D93ECC90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10360</Words>
  <Characters>51803</Characters>
  <Application>Microsoft Office Word</Application>
  <DocSecurity>0</DocSecurity>
  <Lines>431</Lines>
  <Paragraphs>124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On the Original Structure and Meaning of Mah Nishtannah and the History of its Reinterpretation </vt:lpstr>
      <vt:lpstr>On the Original Structure and Meaning of Mah Nishtannah and the History of its Reinterpretation </vt:lpstr>
    </vt:vector>
  </TitlesOfParts>
  <Company/>
  <LinksUpToDate>false</LinksUpToDate>
  <CharactersWithSpaces>62039</CharactersWithSpaces>
  <SharedDoc>false</SharedDoc>
  <HLinks>
    <vt:vector size="18" baseType="variant">
      <vt:variant>
        <vt:i4>7012402</vt:i4>
      </vt:variant>
      <vt:variant>
        <vt:i4>12</vt:i4>
      </vt:variant>
      <vt:variant>
        <vt:i4>0</vt:i4>
      </vt:variant>
      <vt:variant>
        <vt:i4>5</vt:i4>
      </vt:variant>
      <vt:variant>
        <vt:lpwstr>http://www.biu.ac.il/JS/JSIJ/7-2008/Steiner.pdf</vt:lpwstr>
      </vt:variant>
      <vt:variant>
        <vt:lpwstr/>
      </vt:variant>
      <vt:variant>
        <vt:i4>7012402</vt:i4>
      </vt:variant>
      <vt:variant>
        <vt:i4>9</vt:i4>
      </vt:variant>
      <vt:variant>
        <vt:i4>0</vt:i4>
      </vt:variant>
      <vt:variant>
        <vt:i4>5</vt:i4>
      </vt:variant>
      <vt:variant>
        <vt:lpwstr>http://www.biu.ac.il/JS/JSIJ/7-2008/Steiner.pdf</vt:lpwstr>
      </vt:variant>
      <vt:variant>
        <vt:lpwstr/>
      </vt:variant>
      <vt:variant>
        <vt:i4>7012402</vt:i4>
      </vt:variant>
      <vt:variant>
        <vt:i4>6</vt:i4>
      </vt:variant>
      <vt:variant>
        <vt:i4>0</vt:i4>
      </vt:variant>
      <vt:variant>
        <vt:i4>5</vt:i4>
      </vt:variant>
      <vt:variant>
        <vt:lpwstr>http://www.biu.ac.il/JS/JSIJ/7-2008/Steiner.pdf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Original Structure and Meaning of Mah Nishtannah and the History of its Reinterpretation</dc:title>
  <dc:subject/>
  <dc:creator>Yuval</dc:creator>
  <cp:keywords/>
  <dc:description/>
  <cp:lastModifiedBy>עופרה שטיינמץ</cp:lastModifiedBy>
  <cp:revision>2</cp:revision>
  <cp:lastPrinted>2009-06-15T06:50:00Z</cp:lastPrinted>
  <dcterms:created xsi:type="dcterms:W3CDTF">2017-09-06T11:52:00Z</dcterms:created>
  <dcterms:modified xsi:type="dcterms:W3CDTF">2017-09-06T11:52:00Z</dcterms:modified>
</cp:coreProperties>
</file>