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27887" w:rsidRDefault="0057575A">
      <w:pPr>
        <w:bidi/>
        <w:spacing w:before="120" w:after="240" w:line="360" w:lineRule="auto"/>
        <w:rPr>
          <w:rFonts w:ascii="FrankRuehl" w:eastAsia="FrankRuehl" w:hAnsi="FrankRuehl" w:cs="FrankRuehl"/>
          <w:sz w:val="28"/>
          <w:szCs w:val="28"/>
          <w:rtl/>
        </w:rPr>
      </w:pPr>
      <w:r>
        <w:rPr>
          <w:rFonts w:ascii="FrankRuehl" w:eastAsia="FrankRuehl" w:hAnsi="FrankRuehl" w:cs="FrankRuehl"/>
          <w:sz w:val="28"/>
          <w:szCs w:val="28"/>
          <w:rtl/>
        </w:rPr>
        <w:t>ההפטרה שנדחית וההפטרה שנקראת - בין ירמיהו למלאכי</w:t>
      </w:r>
    </w:p>
    <w:p w14:paraId="23594BC8" w14:textId="1DC0DA9F" w:rsidR="000231CB" w:rsidRDefault="000231CB" w:rsidP="000231CB">
      <w:pPr>
        <w:bidi/>
        <w:spacing w:before="120" w:after="240" w:line="360" w:lineRule="auto"/>
        <w:rPr>
          <w:rFonts w:ascii="FrankRuehl" w:eastAsia="FrankRuehl" w:hAnsi="FrankRuehl" w:cs="FrankRuehl"/>
          <w:sz w:val="28"/>
          <w:szCs w:val="28"/>
        </w:rPr>
      </w:pPr>
      <w:r>
        <w:rPr>
          <w:rFonts w:ascii="FrankRuehl" w:eastAsia="FrankRuehl" w:hAnsi="FrankRuehl" w:cs="FrankRuehl" w:hint="cs"/>
          <w:sz w:val="28"/>
          <w:szCs w:val="28"/>
          <w:rtl/>
        </w:rPr>
        <w:t xml:space="preserve">גדי </w:t>
      </w:r>
      <w:proofErr w:type="spellStart"/>
      <w:r>
        <w:rPr>
          <w:rFonts w:ascii="FrankRuehl" w:eastAsia="FrankRuehl" w:hAnsi="FrankRuehl" w:cs="FrankRuehl" w:hint="cs"/>
          <w:sz w:val="28"/>
          <w:szCs w:val="28"/>
          <w:rtl/>
        </w:rPr>
        <w:t>איידלהייט</w:t>
      </w:r>
      <w:proofErr w:type="spellEnd"/>
      <w:r>
        <w:rPr>
          <w:rStyle w:val="FootnoteReference"/>
          <w:rFonts w:ascii="FrankRuehl" w:eastAsia="FrankRuehl" w:hAnsi="FrankRuehl" w:cs="FrankRuehl"/>
          <w:sz w:val="28"/>
          <w:szCs w:val="28"/>
          <w:rtl/>
        </w:rPr>
        <w:footnoteReference w:id="1"/>
      </w:r>
    </w:p>
    <w:p w14:paraId="00000002" w14:textId="14A98BE7" w:rsidR="00727887" w:rsidRDefault="0057575A">
      <w:pPr>
        <w:bidi/>
        <w:spacing w:before="120" w:after="240" w:line="360" w:lineRule="auto"/>
        <w:rPr>
          <w:rFonts w:ascii="FrankRuehl" w:eastAsia="FrankRuehl" w:hAnsi="FrankRuehl" w:cs="FrankRuehl"/>
          <w:sz w:val="28"/>
          <w:szCs w:val="28"/>
        </w:rPr>
      </w:pPr>
      <w:r>
        <w:rPr>
          <w:rFonts w:ascii="FrankRuehl" w:eastAsia="FrankRuehl" w:hAnsi="FrankRuehl" w:cs="FrankRuehl"/>
          <w:sz w:val="28"/>
          <w:szCs w:val="28"/>
          <w:rtl/>
        </w:rPr>
        <w:t xml:space="preserve">במאמר זה נחבר בין הפטרת פרשת צו בספר ירמיהו להפטרת שבת הגדול בספר מלאכי. לא נוכל לבאר את שתי </w:t>
      </w:r>
      <w:proofErr w:type="spellStart"/>
      <w:r>
        <w:rPr>
          <w:rFonts w:ascii="FrankRuehl" w:eastAsia="FrankRuehl" w:hAnsi="FrankRuehl" w:cs="FrankRuehl"/>
          <w:sz w:val="28"/>
          <w:szCs w:val="28"/>
          <w:rtl/>
        </w:rPr>
        <w:t>ה</w:t>
      </w:r>
      <w:r w:rsidR="000231CB">
        <w:rPr>
          <w:rFonts w:ascii="FrankRuehl" w:eastAsia="FrankRuehl" w:hAnsi="FrankRuehl" w:cs="FrankRuehl" w:hint="cs"/>
          <w:sz w:val="28"/>
          <w:szCs w:val="28"/>
          <w:rtl/>
        </w:rPr>
        <w:t>ה</w:t>
      </w:r>
      <w:r>
        <w:rPr>
          <w:rFonts w:ascii="FrankRuehl" w:eastAsia="FrankRuehl" w:hAnsi="FrankRuehl" w:cs="FrankRuehl"/>
          <w:sz w:val="28"/>
          <w:szCs w:val="28"/>
          <w:rtl/>
        </w:rPr>
        <w:t>פטרות</w:t>
      </w:r>
      <w:proofErr w:type="spellEnd"/>
      <w:r>
        <w:rPr>
          <w:rFonts w:ascii="FrankRuehl" w:eastAsia="FrankRuehl" w:hAnsi="FrankRuehl" w:cs="FrankRuehl"/>
          <w:sz w:val="28"/>
          <w:szCs w:val="28"/>
          <w:rtl/>
        </w:rPr>
        <w:t xml:space="preserve"> במלואן והקוראים מוזמנים לעיין בפרקים המלאים בספרי. הפטרת צו היא הפטרה נדירה שכמעט ואינה נקראת. זו אחת </w:t>
      </w:r>
      <w:proofErr w:type="spellStart"/>
      <w:r>
        <w:rPr>
          <w:rFonts w:ascii="FrankRuehl" w:eastAsia="FrankRuehl" w:hAnsi="FrankRuehl" w:cs="FrankRuehl"/>
          <w:sz w:val="28"/>
          <w:szCs w:val="28"/>
          <w:rtl/>
        </w:rPr>
        <w:t>מהפטרות</w:t>
      </w:r>
      <w:proofErr w:type="spellEnd"/>
      <w:r>
        <w:rPr>
          <w:rFonts w:ascii="FrankRuehl" w:eastAsia="FrankRuehl" w:hAnsi="FrankRuehl" w:cs="FrankRuehl"/>
          <w:sz w:val="28"/>
          <w:szCs w:val="28"/>
          <w:rtl/>
        </w:rPr>
        <w:t xml:space="preserve"> התוכחה הקשות ביותר של ירמיהו ולפי תוכנה ומיקומה היא יכלה להיות גם אחת </w:t>
      </w:r>
      <w:proofErr w:type="spellStart"/>
      <w:r>
        <w:rPr>
          <w:rFonts w:ascii="FrankRuehl" w:eastAsia="FrankRuehl" w:hAnsi="FrankRuehl" w:cs="FrankRuehl"/>
          <w:sz w:val="28"/>
          <w:szCs w:val="28"/>
          <w:rtl/>
        </w:rPr>
        <w:t>מהפטרות</w:t>
      </w:r>
      <w:proofErr w:type="spellEnd"/>
      <w:r>
        <w:rPr>
          <w:rFonts w:ascii="FrankRuehl" w:eastAsia="FrankRuehl" w:hAnsi="FrankRuehl" w:cs="FrankRuehl"/>
          <w:sz w:val="28"/>
          <w:szCs w:val="28"/>
          <w:rtl/>
        </w:rPr>
        <w:t xml:space="preserve"> </w:t>
      </w:r>
      <w:proofErr w:type="spellStart"/>
      <w:r>
        <w:rPr>
          <w:rFonts w:ascii="FrankRuehl" w:eastAsia="FrankRuehl" w:hAnsi="FrankRuehl" w:cs="FrankRuehl"/>
          <w:sz w:val="28"/>
          <w:szCs w:val="28"/>
          <w:rtl/>
        </w:rPr>
        <w:t>תלתא</w:t>
      </w:r>
      <w:proofErr w:type="spellEnd"/>
      <w:r>
        <w:rPr>
          <w:rFonts w:ascii="FrankRuehl" w:eastAsia="FrankRuehl" w:hAnsi="FrankRuehl" w:cs="FrankRuehl"/>
          <w:sz w:val="28"/>
          <w:szCs w:val="28"/>
          <w:rtl/>
        </w:rPr>
        <w:t xml:space="preserve"> </w:t>
      </w:r>
      <w:proofErr w:type="spellStart"/>
      <w:r>
        <w:rPr>
          <w:rFonts w:ascii="FrankRuehl" w:eastAsia="FrankRuehl" w:hAnsi="FrankRuehl" w:cs="FrankRuehl"/>
          <w:sz w:val="28"/>
          <w:szCs w:val="28"/>
          <w:rtl/>
        </w:rPr>
        <w:t>דפורענתא</w:t>
      </w:r>
      <w:proofErr w:type="spellEnd"/>
      <w:r>
        <w:rPr>
          <w:rFonts w:ascii="FrankRuehl" w:eastAsia="FrankRuehl" w:hAnsi="FrankRuehl" w:cs="FrankRuehl"/>
          <w:sz w:val="28"/>
          <w:szCs w:val="28"/>
          <w:rtl/>
        </w:rPr>
        <w:t xml:space="preserve"> לפני תשעה באב.</w:t>
      </w:r>
    </w:p>
    <w:p w14:paraId="00000003" w14:textId="4768CCB9" w:rsidR="00727887" w:rsidRDefault="0057575A">
      <w:pPr>
        <w:bidi/>
        <w:spacing w:before="120" w:after="240" w:line="360" w:lineRule="auto"/>
        <w:rPr>
          <w:rFonts w:ascii="FrankRuehl" w:eastAsia="FrankRuehl" w:hAnsi="FrankRuehl" w:cs="FrankRuehl"/>
          <w:sz w:val="28"/>
          <w:szCs w:val="28"/>
        </w:rPr>
      </w:pPr>
      <w:r>
        <w:rPr>
          <w:rFonts w:ascii="FrankRuehl" w:eastAsia="FrankRuehl" w:hAnsi="FrankRuehl" w:cs="FrankRuehl"/>
          <w:sz w:val="28"/>
          <w:szCs w:val="28"/>
          <w:rtl/>
        </w:rPr>
        <w:t>נעסוק רק בפתיחת ההפטרה המפתיעה: "כֹּה אָמַר ה' צְבָאוֹת אֱ</w:t>
      </w:r>
      <w:r w:rsidR="000231CB">
        <w:rPr>
          <w:rFonts w:ascii="FrankRuehl" w:eastAsia="FrankRuehl" w:hAnsi="FrankRuehl" w:cs="FrankRuehl" w:hint="cs"/>
          <w:sz w:val="28"/>
          <w:szCs w:val="28"/>
          <w:rtl/>
        </w:rPr>
        <w:t>-</w:t>
      </w:r>
      <w:r>
        <w:rPr>
          <w:rFonts w:ascii="FrankRuehl" w:eastAsia="FrankRuehl" w:hAnsi="FrankRuehl" w:cs="FrankRuehl"/>
          <w:sz w:val="28"/>
          <w:szCs w:val="28"/>
          <w:rtl/>
        </w:rPr>
        <w:t xml:space="preserve">לֹהֵי יִשְׂרָאֵל </w:t>
      </w:r>
      <w:proofErr w:type="spellStart"/>
      <w:r>
        <w:rPr>
          <w:rFonts w:ascii="FrankRuehl" w:eastAsia="FrankRuehl" w:hAnsi="FrankRuehl" w:cs="FrankRuehl"/>
          <w:sz w:val="28"/>
          <w:szCs w:val="28"/>
          <w:rtl/>
        </w:rPr>
        <w:t>עֹלוֹתֵיכֶם</w:t>
      </w:r>
      <w:proofErr w:type="spellEnd"/>
      <w:r>
        <w:rPr>
          <w:rFonts w:ascii="FrankRuehl" w:eastAsia="FrankRuehl" w:hAnsi="FrankRuehl" w:cs="FrankRuehl"/>
          <w:sz w:val="28"/>
          <w:szCs w:val="28"/>
          <w:rtl/>
        </w:rPr>
        <w:t xml:space="preserve"> סְפוּ עַל זִבְחֵיכֶם וְאִכְלוּ בָשָׂר: כִּי לֹא דִבַּרְתִּי אֶת אֲבוֹתֵיכֶם וְלֹא </w:t>
      </w:r>
      <w:proofErr w:type="spellStart"/>
      <w:r>
        <w:rPr>
          <w:rFonts w:ascii="FrankRuehl" w:eastAsia="FrankRuehl" w:hAnsi="FrankRuehl" w:cs="FrankRuehl"/>
          <w:sz w:val="28"/>
          <w:szCs w:val="28"/>
          <w:rtl/>
        </w:rPr>
        <w:t>צִוִּיתִים</w:t>
      </w:r>
      <w:proofErr w:type="spellEnd"/>
      <w:r>
        <w:rPr>
          <w:rFonts w:ascii="FrankRuehl" w:eastAsia="FrankRuehl" w:hAnsi="FrankRuehl" w:cs="FrankRuehl"/>
          <w:sz w:val="28"/>
          <w:szCs w:val="28"/>
          <w:rtl/>
        </w:rPr>
        <w:t xml:space="preserve"> בְּיוֹם הוֹצִיאִי אוֹתָם מֵאֶרֶץ מִצְרָיִם עַל דִּבְרֵי עוֹלָה וָזָבַח". </w:t>
      </w:r>
    </w:p>
    <w:p w14:paraId="00000004" w14:textId="21DB7889" w:rsidR="00727887" w:rsidRDefault="0057575A">
      <w:pPr>
        <w:bidi/>
        <w:spacing w:before="120" w:after="240" w:line="360" w:lineRule="auto"/>
        <w:rPr>
          <w:rFonts w:ascii="FrankRuehl" w:eastAsia="FrankRuehl" w:hAnsi="FrankRuehl" w:cs="FrankRuehl"/>
          <w:sz w:val="28"/>
          <w:szCs w:val="28"/>
        </w:rPr>
      </w:pPr>
      <w:r>
        <w:rPr>
          <w:rFonts w:ascii="FrankRuehl" w:eastAsia="FrankRuehl" w:hAnsi="FrankRuehl" w:cs="FrankRuehl"/>
          <w:sz w:val="28"/>
          <w:szCs w:val="28"/>
          <w:rtl/>
        </w:rPr>
        <w:t xml:space="preserve">נביאים רבים דיברו על כך שלה' אין חפץ בקורבנות וזבחים, אבל התבטאות חריפה כל כך נגד הקורבנות, כאילו ה' כלל לא ציווה עליהם, היא נדירה וגם קשה. הקושי גדל בהפטרה של פרשת צו, שמסיימת שתי פרשות שלמות שעוסקות בקורבנות ומסתיימות בפסוק (ויקרא ז, לח): "אֲשֶׁר </w:t>
      </w:r>
      <w:proofErr w:type="spellStart"/>
      <w:r>
        <w:rPr>
          <w:rFonts w:ascii="FrankRuehl" w:eastAsia="FrankRuehl" w:hAnsi="FrankRuehl" w:cs="FrankRuehl"/>
          <w:b/>
          <w:bCs/>
          <w:sz w:val="28"/>
          <w:szCs w:val="28"/>
          <w:rtl/>
        </w:rPr>
        <w:t>צִוָּה</w:t>
      </w:r>
      <w:proofErr w:type="spellEnd"/>
      <w:r>
        <w:rPr>
          <w:rFonts w:ascii="FrankRuehl" w:eastAsia="FrankRuehl" w:hAnsi="FrankRuehl" w:cs="FrankRuehl"/>
          <w:sz w:val="28"/>
          <w:szCs w:val="28"/>
          <w:rtl/>
        </w:rPr>
        <w:t xml:space="preserve"> ה' אֶת משֶׁה בְּהַר סִינָי בְּיוֹם </w:t>
      </w:r>
      <w:proofErr w:type="spellStart"/>
      <w:r>
        <w:rPr>
          <w:rFonts w:ascii="FrankRuehl" w:eastAsia="FrankRuehl" w:hAnsi="FrankRuehl" w:cs="FrankRuehl"/>
          <w:b/>
          <w:bCs/>
          <w:sz w:val="28"/>
          <w:szCs w:val="28"/>
          <w:rtl/>
        </w:rPr>
        <w:t>צַוֹּתו</w:t>
      </w:r>
      <w:proofErr w:type="spellEnd"/>
      <w:r>
        <w:rPr>
          <w:rFonts w:ascii="FrankRuehl" w:eastAsia="FrankRuehl" w:hAnsi="FrankRuehl" w:cs="FrankRuehl"/>
          <w:b/>
          <w:bCs/>
          <w:sz w:val="28"/>
          <w:szCs w:val="28"/>
          <w:rtl/>
        </w:rPr>
        <w:t>ֹ</w:t>
      </w:r>
      <w:r>
        <w:rPr>
          <w:rFonts w:ascii="FrankRuehl" w:eastAsia="FrankRuehl" w:hAnsi="FrankRuehl" w:cs="FrankRuehl"/>
          <w:sz w:val="28"/>
          <w:szCs w:val="28"/>
          <w:rtl/>
        </w:rPr>
        <w:t xml:space="preserve"> אֶת בְּנֵי יִשְׂרָאֵל לְהַקְרִיב אֶת </w:t>
      </w:r>
      <w:proofErr w:type="spellStart"/>
      <w:r>
        <w:rPr>
          <w:rFonts w:ascii="FrankRuehl" w:eastAsia="FrankRuehl" w:hAnsi="FrankRuehl" w:cs="FrankRuehl"/>
          <w:sz w:val="28"/>
          <w:szCs w:val="28"/>
          <w:rtl/>
        </w:rPr>
        <w:t>קָרְבְּנֵיהֶם</w:t>
      </w:r>
      <w:proofErr w:type="spellEnd"/>
      <w:r>
        <w:rPr>
          <w:rFonts w:ascii="FrankRuehl" w:eastAsia="FrankRuehl" w:hAnsi="FrankRuehl" w:cs="FrankRuehl"/>
          <w:sz w:val="28"/>
          <w:szCs w:val="28"/>
          <w:rtl/>
        </w:rPr>
        <w:t xml:space="preserve"> לַה' בְּמִדְבַּר סִינָי". אולי שומעיו המקוריים של ירמיהו או הקורא בנביא לא זוכרים את פרשת צו, אבל שומעי ההפטרה שמעו פסוק זה מהפרשה דקות ספורות קודם לכן. התירוץ על פסוק זה הוא שהציווי לא היה ביום היציאה ממצרים אלא לאחר מכן, אולם גם הפסח הוא סוג של קורבן, ומשה רבנו ואהרן אומרים לפרעה כבר בפגישתם הראשונה (שמות ה, ג): "אֱ</w:t>
      </w:r>
      <w:r w:rsidR="000231CB">
        <w:rPr>
          <w:rFonts w:ascii="FrankRuehl" w:eastAsia="FrankRuehl" w:hAnsi="FrankRuehl" w:cs="FrankRuehl" w:hint="cs"/>
          <w:sz w:val="28"/>
          <w:szCs w:val="28"/>
          <w:rtl/>
        </w:rPr>
        <w:t>-</w:t>
      </w:r>
      <w:r>
        <w:rPr>
          <w:rFonts w:ascii="FrankRuehl" w:eastAsia="FrankRuehl" w:hAnsi="FrankRuehl" w:cs="FrankRuehl"/>
          <w:sz w:val="28"/>
          <w:szCs w:val="28"/>
          <w:rtl/>
        </w:rPr>
        <w:t xml:space="preserve">לֹהֵי הָעִבְרִים נִקְרָא עָלֵינוּ נֵלֲכָה נָּא דֶּרֶךְ שְׁלשֶׁת יָמִים בַּמִּדְבָּר </w:t>
      </w:r>
      <w:r>
        <w:rPr>
          <w:rFonts w:ascii="FrankRuehl" w:eastAsia="FrankRuehl" w:hAnsi="FrankRuehl" w:cs="FrankRuehl"/>
          <w:b/>
          <w:bCs/>
          <w:sz w:val="28"/>
          <w:szCs w:val="28"/>
          <w:rtl/>
        </w:rPr>
        <w:t>וְנִזְבְּחָה</w:t>
      </w:r>
      <w:r>
        <w:rPr>
          <w:rFonts w:ascii="FrankRuehl" w:eastAsia="FrankRuehl" w:hAnsi="FrankRuehl" w:cs="FrankRuehl"/>
          <w:sz w:val="28"/>
          <w:szCs w:val="28"/>
          <w:rtl/>
        </w:rPr>
        <w:t xml:space="preserve"> לַה' אֱ</w:t>
      </w:r>
      <w:r w:rsidR="000231CB">
        <w:rPr>
          <w:rFonts w:ascii="FrankRuehl" w:eastAsia="FrankRuehl" w:hAnsi="FrankRuehl" w:cs="FrankRuehl" w:hint="cs"/>
          <w:sz w:val="28"/>
          <w:szCs w:val="28"/>
          <w:rtl/>
        </w:rPr>
        <w:t>-</w:t>
      </w:r>
      <w:r>
        <w:rPr>
          <w:rFonts w:ascii="FrankRuehl" w:eastAsia="FrankRuehl" w:hAnsi="FrankRuehl" w:cs="FrankRuehl"/>
          <w:sz w:val="28"/>
          <w:szCs w:val="28"/>
          <w:rtl/>
        </w:rPr>
        <w:t>לֹהֵינוּ". תירוץ נוסף הוא שה' לא ציווה על קורבנות כאלו, כלומר על קורבנות ללא כוונה או המוקרבים לאלים אחרים, או שלא ציווה "רק" על קורבנות אלא על הרבה מצוות אחרות. תירוצים אלו מעט דחוקים בעיני ובסוף המאמר נציע תשובה שונה לשאלה זו.</w:t>
      </w:r>
    </w:p>
    <w:p w14:paraId="00000005" w14:textId="77777777" w:rsidR="00727887" w:rsidRDefault="0057575A">
      <w:pPr>
        <w:bidi/>
        <w:spacing w:before="120" w:after="240" w:line="360" w:lineRule="auto"/>
        <w:rPr>
          <w:rFonts w:ascii="FrankRuehl" w:eastAsia="FrankRuehl" w:hAnsi="FrankRuehl" w:cs="FrankRuehl"/>
          <w:sz w:val="28"/>
          <w:szCs w:val="28"/>
        </w:rPr>
      </w:pPr>
      <w:r>
        <w:rPr>
          <w:rFonts w:ascii="FrankRuehl" w:eastAsia="FrankRuehl" w:hAnsi="FrankRuehl" w:cs="FrankRuehl"/>
          <w:sz w:val="28"/>
          <w:szCs w:val="28"/>
          <w:rtl/>
        </w:rPr>
        <w:t>הפטרת שבת הגדול אותה אנו קוראים השבת, היא סיום ספר מלאכי ומסיימת את פרקי הנבואה בישראל. מלאכי הוא הנביא האחרון ותקופת נבואתו היא בתוך ימי בית שני. לאחר מלאכי נסתלקה הנבואה מישראל ומהעולם. יש לקרוא את ההפטרה לאור הבנה זו.</w:t>
      </w:r>
    </w:p>
    <w:p w14:paraId="00000006" w14:textId="77777777" w:rsidR="00727887" w:rsidRDefault="0057575A">
      <w:pPr>
        <w:bidi/>
        <w:spacing w:before="120" w:line="360" w:lineRule="auto"/>
        <w:ind w:right="720"/>
        <w:rPr>
          <w:rFonts w:ascii="FrankRuehl" w:eastAsia="FrankRuehl" w:hAnsi="FrankRuehl" w:cs="FrankRuehl"/>
          <w:sz w:val="28"/>
          <w:szCs w:val="28"/>
        </w:rPr>
      </w:pPr>
      <w:r>
        <w:rPr>
          <w:rFonts w:ascii="FrankRuehl" w:eastAsia="FrankRuehl" w:hAnsi="FrankRuehl" w:cs="FrankRuehl"/>
          <w:sz w:val="28"/>
          <w:szCs w:val="28"/>
          <w:rtl/>
        </w:rPr>
        <w:t xml:space="preserve">"וְעָרְבָה לַה' מִנְחַת יְהוּדָה וִירוּשָׁלִָם כִּימֵי עוֹלָם וּכְשָׁנִים </w:t>
      </w:r>
      <w:proofErr w:type="spellStart"/>
      <w:r>
        <w:rPr>
          <w:rFonts w:ascii="FrankRuehl" w:eastAsia="FrankRuehl" w:hAnsi="FrankRuehl" w:cs="FrankRuehl"/>
          <w:sz w:val="28"/>
          <w:szCs w:val="28"/>
          <w:rtl/>
        </w:rPr>
        <w:t>קַדְמֹנִיּוֹת</w:t>
      </w:r>
      <w:proofErr w:type="spellEnd"/>
      <w:r>
        <w:rPr>
          <w:rFonts w:ascii="FrankRuehl" w:eastAsia="FrankRuehl" w:hAnsi="FrankRuehl" w:cs="FrankRuehl"/>
          <w:sz w:val="28"/>
          <w:szCs w:val="28"/>
          <w:rtl/>
        </w:rPr>
        <w:t>"</w:t>
      </w:r>
    </w:p>
    <w:p w14:paraId="00000007" w14:textId="77777777" w:rsidR="00727887" w:rsidRDefault="0057575A">
      <w:pPr>
        <w:bidi/>
        <w:spacing w:before="120" w:after="240" w:line="360" w:lineRule="auto"/>
        <w:rPr>
          <w:rFonts w:ascii="FrankRuehl" w:eastAsia="FrankRuehl" w:hAnsi="FrankRuehl" w:cs="FrankRuehl"/>
          <w:sz w:val="28"/>
          <w:szCs w:val="28"/>
        </w:rPr>
      </w:pPr>
      <w:r>
        <w:rPr>
          <w:rFonts w:ascii="FrankRuehl" w:eastAsia="FrankRuehl" w:hAnsi="FrankRuehl" w:cs="FrankRuehl"/>
          <w:sz w:val="28"/>
          <w:szCs w:val="28"/>
          <w:rtl/>
        </w:rPr>
        <w:lastRenderedPageBreak/>
        <w:t>פתיחת ההפטרה גם עוסקת במקדש ובמנחות, אולם בניגוד לדברי ירמיהו, אלו מנחות שיהיו לרצון לה'. נשים לב כי מוזכרות רק מנחות, קורבנות מהצומח ולא זבחים, קורבנות מהחי. לכאורה יש לנו כאן מצב טוב, אולם אם נעיין בכל ספר מלאכי (שתחילתו היא הפטרת פרשת תולדות) נראה שגם בתחילת ימי הבית השני היו בעיות רבות ועבודת ה' לוקה בחסר. אם נזכור שרוב ימי בית ראשון, העבודה הזרה פשתה בעם ובמקדש, נתקשה להבין את דברי מלאכי ועל איזה תקופות הוא מדבר. הבנה טובה יותר תהיה לנו אם נזכור שהפסוק שפותח את ההפטרה, אינו פותח עניין חדש בנביא אלא קשו</w:t>
      </w:r>
      <w:r>
        <w:rPr>
          <w:rFonts w:ascii="FrankRuehl" w:eastAsia="FrankRuehl" w:hAnsi="FrankRuehl" w:cs="FrankRuehl"/>
          <w:sz w:val="28"/>
          <w:szCs w:val="28"/>
          <w:rtl/>
        </w:rPr>
        <w:t xml:space="preserve">ר לפסוקים הקודמים. מאפיין זה של ניתוק ההפטרה מהקשרה בנביא, מופיע </w:t>
      </w:r>
      <w:proofErr w:type="spellStart"/>
      <w:r>
        <w:rPr>
          <w:rFonts w:ascii="FrankRuehl" w:eastAsia="FrankRuehl" w:hAnsi="FrankRuehl" w:cs="FrankRuehl"/>
          <w:sz w:val="28"/>
          <w:szCs w:val="28"/>
          <w:rtl/>
        </w:rPr>
        <w:t>בהפטרות</w:t>
      </w:r>
      <w:proofErr w:type="spellEnd"/>
      <w:r>
        <w:rPr>
          <w:rFonts w:ascii="FrankRuehl" w:eastAsia="FrankRuehl" w:hAnsi="FrankRuehl" w:cs="FrankRuehl"/>
          <w:sz w:val="28"/>
          <w:szCs w:val="28"/>
          <w:rtl/>
        </w:rPr>
        <w:t xml:space="preserve"> רבות, ונועד לחזק לעתים את הקשר לפרשה, אולם אנו צריכים לזכור ולהכיר גם את הכתוב לפני ואחרי פסוקי ההפטרה.  בהקשרו בנביא, פסוק זה הוא נבואה לעתיד, של משהו שיקרה רק לאחר שתהליך, לא קל כפי שנראה להלן, יושלם. תהליך זה הוצג בקצרה בפסוקים שאינם חלק מההפטרה אך רובה של ההפטרה עוסק בו בהרחבה. נעיין מעט בפסוקי ההפטרה.</w:t>
      </w:r>
    </w:p>
    <w:p w14:paraId="00000008" w14:textId="77777777" w:rsidR="00727887" w:rsidRDefault="0057575A">
      <w:pPr>
        <w:bidi/>
        <w:spacing w:before="120" w:line="360" w:lineRule="auto"/>
        <w:ind w:right="720"/>
        <w:rPr>
          <w:rFonts w:ascii="FrankRuehl" w:eastAsia="FrankRuehl" w:hAnsi="FrankRuehl" w:cs="FrankRuehl"/>
          <w:sz w:val="28"/>
          <w:szCs w:val="28"/>
        </w:rPr>
      </w:pPr>
      <w:r>
        <w:rPr>
          <w:rFonts w:ascii="FrankRuehl" w:eastAsia="FrankRuehl" w:hAnsi="FrankRuehl" w:cs="FrankRuehl"/>
          <w:sz w:val="28"/>
          <w:szCs w:val="28"/>
          <w:rtl/>
        </w:rPr>
        <w:t xml:space="preserve">(ה) וְקָרַבְתִּי אֲלֵיכֶם לַמִּשְׁפָּט וְהָיִיתִי עֵד מְמַהֵר בַּמְכַשְּׁפִים וּבַמְנָאֲפִים וּבַנִּשְׁבָּעִים לַשָּׁקֶר </w:t>
      </w:r>
      <w:proofErr w:type="spellStart"/>
      <w:r>
        <w:rPr>
          <w:rFonts w:ascii="FrankRuehl" w:eastAsia="FrankRuehl" w:hAnsi="FrankRuehl" w:cs="FrankRuehl"/>
          <w:sz w:val="28"/>
          <w:szCs w:val="28"/>
          <w:rtl/>
        </w:rPr>
        <w:t>וּבְעֹשְׁקֵי</w:t>
      </w:r>
      <w:proofErr w:type="spellEnd"/>
      <w:r>
        <w:rPr>
          <w:rFonts w:ascii="FrankRuehl" w:eastAsia="FrankRuehl" w:hAnsi="FrankRuehl" w:cs="FrankRuehl"/>
          <w:sz w:val="28"/>
          <w:szCs w:val="28"/>
          <w:rtl/>
        </w:rPr>
        <w:t xml:space="preserve"> שְׂכַר שָׂכִיר אַלְמָנָה וְיָתוֹם וּמַטֵּי גֵר וְלֹא יְרֵאוּנִי אָמַר ה' צְבָאוֹת:</w:t>
      </w:r>
    </w:p>
    <w:p w14:paraId="00000009" w14:textId="77777777" w:rsidR="00727887" w:rsidRDefault="0057575A">
      <w:pPr>
        <w:bidi/>
        <w:spacing w:before="120" w:after="240" w:line="360" w:lineRule="auto"/>
        <w:rPr>
          <w:rFonts w:ascii="FrankRuehl" w:eastAsia="FrankRuehl" w:hAnsi="FrankRuehl" w:cs="FrankRuehl"/>
          <w:sz w:val="28"/>
          <w:szCs w:val="28"/>
        </w:rPr>
      </w:pPr>
      <w:r>
        <w:rPr>
          <w:rFonts w:ascii="FrankRuehl" w:eastAsia="FrankRuehl" w:hAnsi="FrankRuehl" w:cs="FrankRuehl"/>
          <w:sz w:val="28"/>
          <w:szCs w:val="28"/>
          <w:rtl/>
        </w:rPr>
        <w:t xml:space="preserve">גם בתחילת ימי הבית השני יש חטאים בעם והנביא מתריע עליהם. שימו לב שהנביא אינו מדבר על עבודה זרה, שהולכת ונעלמת מהעולם, אלא על חטאים חברתיים, וכידוע, בית המקדש השני חרב מפני שנאת חינם. התוכחה של מלאכי כפולה. גם עבודת המקדש נעשית שלא כשורה ומובאים קורבנות פגומים ובנוסף עבודה זו הפכה לחזות </w:t>
      </w:r>
      <w:proofErr w:type="spellStart"/>
      <w:r>
        <w:rPr>
          <w:rFonts w:ascii="FrankRuehl" w:eastAsia="FrankRuehl" w:hAnsi="FrankRuehl" w:cs="FrankRuehl"/>
          <w:sz w:val="28"/>
          <w:szCs w:val="28"/>
          <w:rtl/>
        </w:rPr>
        <w:t>הכל</w:t>
      </w:r>
      <w:proofErr w:type="spellEnd"/>
      <w:r>
        <w:rPr>
          <w:rFonts w:ascii="FrankRuehl" w:eastAsia="FrankRuehl" w:hAnsi="FrankRuehl" w:cs="FrankRuehl"/>
          <w:sz w:val="28"/>
          <w:szCs w:val="28"/>
          <w:rtl/>
        </w:rPr>
        <w:t xml:space="preserve"> ולמרות שלמראית עין היא נשמרת, מצוות חשובות אחרות נזנחות לחלוטין.</w:t>
      </w:r>
    </w:p>
    <w:p w14:paraId="0000000A" w14:textId="728DAFC8" w:rsidR="00727887" w:rsidRDefault="0057575A">
      <w:pPr>
        <w:bidi/>
        <w:spacing w:before="120" w:after="240" w:line="360" w:lineRule="auto"/>
        <w:rPr>
          <w:rFonts w:ascii="FrankRuehl" w:eastAsia="FrankRuehl" w:hAnsi="FrankRuehl" w:cs="FrankRuehl"/>
          <w:sz w:val="28"/>
          <w:szCs w:val="28"/>
        </w:rPr>
      </w:pPr>
      <w:r>
        <w:rPr>
          <w:rFonts w:ascii="FrankRuehl" w:eastAsia="FrankRuehl" w:hAnsi="FrankRuehl" w:cs="FrankRuehl"/>
          <w:sz w:val="28"/>
          <w:szCs w:val="28"/>
          <w:rtl/>
        </w:rPr>
        <w:t>נדלג כמה פסוקים לטענה נוספת של הנביא: (</w:t>
      </w:r>
      <w:proofErr w:type="spellStart"/>
      <w:r>
        <w:rPr>
          <w:rFonts w:ascii="FrankRuehl" w:eastAsia="FrankRuehl" w:hAnsi="FrankRuehl" w:cs="FrankRuehl"/>
          <w:sz w:val="28"/>
          <w:szCs w:val="28"/>
          <w:rtl/>
        </w:rPr>
        <w:t>יג</w:t>
      </w:r>
      <w:proofErr w:type="spellEnd"/>
      <w:r>
        <w:rPr>
          <w:rFonts w:ascii="FrankRuehl" w:eastAsia="FrankRuehl" w:hAnsi="FrankRuehl" w:cs="FrankRuehl"/>
          <w:sz w:val="28"/>
          <w:szCs w:val="28"/>
          <w:rtl/>
        </w:rPr>
        <w:t xml:space="preserve">) חָזְקוּ עָלַי דִּבְרֵיכֶם אָמַר ה' וַאֲמַרְתֶּם מַה נִּדְבַּרְנוּ עָלֶיךָ: (יד) אֲמַרְתֶּם </w:t>
      </w:r>
      <w:proofErr w:type="spellStart"/>
      <w:r>
        <w:rPr>
          <w:rFonts w:ascii="FrankRuehl" w:eastAsia="FrankRuehl" w:hAnsi="FrankRuehl" w:cs="FrankRuehl"/>
          <w:sz w:val="28"/>
          <w:szCs w:val="28"/>
          <w:rtl/>
        </w:rPr>
        <w:t>שָׁוְא</w:t>
      </w:r>
      <w:proofErr w:type="spellEnd"/>
      <w:r>
        <w:rPr>
          <w:rFonts w:ascii="FrankRuehl" w:eastAsia="FrankRuehl" w:hAnsi="FrankRuehl" w:cs="FrankRuehl"/>
          <w:sz w:val="28"/>
          <w:szCs w:val="28"/>
          <w:rtl/>
        </w:rPr>
        <w:t xml:space="preserve"> עֲבֹד </w:t>
      </w:r>
      <w:proofErr w:type="spellStart"/>
      <w:r>
        <w:rPr>
          <w:rFonts w:ascii="FrankRuehl" w:eastAsia="FrankRuehl" w:hAnsi="FrankRuehl" w:cs="FrankRuehl"/>
          <w:sz w:val="28"/>
          <w:szCs w:val="28"/>
          <w:rtl/>
        </w:rPr>
        <w:t>אֱ</w:t>
      </w:r>
      <w:r>
        <w:rPr>
          <w:rFonts w:ascii="FrankRuehl" w:eastAsia="FrankRuehl" w:hAnsi="FrankRuehl" w:cs="FrankRuehl"/>
          <w:sz w:val="28"/>
          <w:szCs w:val="28"/>
          <w:rtl/>
        </w:rPr>
        <w:t>לֹהִים</w:t>
      </w:r>
      <w:proofErr w:type="spellEnd"/>
      <w:r>
        <w:rPr>
          <w:rFonts w:ascii="FrankRuehl" w:eastAsia="FrankRuehl" w:hAnsi="FrankRuehl" w:cs="FrankRuehl"/>
          <w:sz w:val="28"/>
          <w:szCs w:val="28"/>
          <w:rtl/>
        </w:rPr>
        <w:t xml:space="preserve"> וּמַה בֶּצַע כִּי שָׁמַרְנוּ מִשְׁמַרְתּוֹ וְכִי הָלַכְנוּ </w:t>
      </w:r>
      <w:proofErr w:type="spellStart"/>
      <w:r>
        <w:rPr>
          <w:rFonts w:ascii="FrankRuehl" w:eastAsia="FrankRuehl" w:hAnsi="FrankRuehl" w:cs="FrankRuehl"/>
          <w:sz w:val="28"/>
          <w:szCs w:val="28"/>
          <w:rtl/>
        </w:rPr>
        <w:t>קְדֹרַנִּית</w:t>
      </w:r>
      <w:proofErr w:type="spellEnd"/>
      <w:r>
        <w:rPr>
          <w:rFonts w:ascii="FrankRuehl" w:eastAsia="FrankRuehl" w:hAnsi="FrankRuehl" w:cs="FrankRuehl"/>
          <w:sz w:val="28"/>
          <w:szCs w:val="28"/>
          <w:rtl/>
        </w:rPr>
        <w:t xml:space="preserve"> מִפְּנֵי ה' צְבָאוֹת: (טו) וְעַתָּה אֲנַחְנוּ מְאַשְּׁרִים זֵדִים גַּם נִבְנוּ עֹשֵׂי רִשְׁעָה גַּם בָּחֲנוּ </w:t>
      </w:r>
      <w:proofErr w:type="spellStart"/>
      <w:r>
        <w:rPr>
          <w:rFonts w:ascii="FrankRuehl" w:eastAsia="FrankRuehl" w:hAnsi="FrankRuehl" w:cs="FrankRuehl"/>
          <w:sz w:val="28"/>
          <w:szCs w:val="28"/>
          <w:rtl/>
        </w:rPr>
        <w:t>אֱלֹהִים</w:t>
      </w:r>
      <w:proofErr w:type="spellEnd"/>
      <w:r>
        <w:rPr>
          <w:rFonts w:ascii="FrankRuehl" w:eastAsia="FrankRuehl" w:hAnsi="FrankRuehl" w:cs="FrankRuehl"/>
          <w:sz w:val="28"/>
          <w:szCs w:val="28"/>
          <w:rtl/>
        </w:rPr>
        <w:t xml:space="preserve"> וַיִּמָּלֵטוּ:</w:t>
      </w:r>
    </w:p>
    <w:p w14:paraId="0000000B" w14:textId="77777777" w:rsidR="00727887" w:rsidRDefault="0057575A">
      <w:pPr>
        <w:bidi/>
        <w:spacing w:before="120" w:after="240" w:line="360" w:lineRule="auto"/>
        <w:rPr>
          <w:rFonts w:ascii="FrankRuehl" w:eastAsia="FrankRuehl" w:hAnsi="FrankRuehl" w:cs="FrankRuehl"/>
          <w:sz w:val="28"/>
          <w:szCs w:val="28"/>
        </w:rPr>
      </w:pPr>
      <w:r>
        <w:rPr>
          <w:rFonts w:ascii="FrankRuehl" w:eastAsia="FrankRuehl" w:hAnsi="FrankRuehl" w:cs="FrankRuehl"/>
          <w:sz w:val="28"/>
          <w:szCs w:val="28"/>
          <w:rtl/>
        </w:rPr>
        <w:t>גם כאן יש שתי אפשרויות מנוגדות להבין את הפסוקים והן תלויות בהבנת המילה "אלוהים" בפסוק יד. האם היא לשון קודש (כלומר הקב"ה) או לשון חול (כלומר אלוהים של עמים אחרים). לפי ההבנה הראשונה, זהו פסוק קשה המוכיח את העם על שהפסיקו להאמין בה'. גם כאן אפשר להיעזר בספר נחמיה ולראות שהמצב הרוחני באותה תקופה היה ירוד והייתה התבוללות בעמים אחרים. לפי הבנת המילה אלוהים כלשון חול, בני ישראל כבר החלו לחזור בתשובה ולהבין שעבודת אלילים היא עבודת שווא. נראה שכך היה בגלות בבל, אבל כעת יש נסיגה והם מעדיפים דווקא את דרכי הרשעה של ה</w:t>
      </w:r>
      <w:r>
        <w:rPr>
          <w:rFonts w:ascii="FrankRuehl" w:eastAsia="FrankRuehl" w:hAnsi="FrankRuehl" w:cs="FrankRuehl"/>
          <w:sz w:val="28"/>
          <w:szCs w:val="28"/>
          <w:rtl/>
        </w:rPr>
        <w:t>זדים.</w:t>
      </w:r>
    </w:p>
    <w:p w14:paraId="0000000C" w14:textId="77777777" w:rsidR="00727887" w:rsidRDefault="0057575A">
      <w:pPr>
        <w:bidi/>
        <w:spacing w:before="120" w:line="360" w:lineRule="auto"/>
        <w:ind w:right="720"/>
        <w:rPr>
          <w:rFonts w:ascii="FrankRuehl" w:eastAsia="FrankRuehl" w:hAnsi="FrankRuehl" w:cs="FrankRuehl"/>
          <w:sz w:val="28"/>
          <w:szCs w:val="28"/>
        </w:rPr>
      </w:pPr>
      <w:r>
        <w:rPr>
          <w:rFonts w:ascii="FrankRuehl" w:eastAsia="FrankRuehl" w:hAnsi="FrankRuehl" w:cs="FrankRuehl"/>
          <w:sz w:val="28"/>
          <w:szCs w:val="28"/>
          <w:rtl/>
        </w:rPr>
        <w:t>מלאכי מזהיר מפני תפיסות אלו ומזהיר שלפני ה' יש ספר זיכרון ובו נכתבים המעשים גם של הצדיקים וגם של הרשעים. מלאכי גם מדגיש, כי למרות שלבני אדם קשה לעתים לעשות את ההבחנה ויש רשעים המתחזים לצדיקים, הרי שאין שום אפשרות להתחזות כזו כלפי מעלה.</w:t>
      </w:r>
    </w:p>
    <w:p w14:paraId="0000000D" w14:textId="739BB03D" w:rsidR="00727887" w:rsidRDefault="0057575A">
      <w:pPr>
        <w:bidi/>
        <w:spacing w:before="120" w:line="360" w:lineRule="auto"/>
        <w:ind w:right="720"/>
        <w:rPr>
          <w:rFonts w:ascii="FrankRuehl" w:eastAsia="FrankRuehl" w:hAnsi="FrankRuehl" w:cs="FrankRuehl"/>
          <w:sz w:val="28"/>
          <w:szCs w:val="28"/>
        </w:rPr>
      </w:pPr>
      <w:r>
        <w:rPr>
          <w:rFonts w:ascii="FrankRuehl" w:eastAsia="FrankRuehl" w:hAnsi="FrankRuehl" w:cs="FrankRuehl"/>
          <w:sz w:val="28"/>
          <w:szCs w:val="28"/>
          <w:rtl/>
        </w:rPr>
        <w:lastRenderedPageBreak/>
        <w:t>(</w:t>
      </w:r>
      <w:proofErr w:type="spellStart"/>
      <w:r>
        <w:rPr>
          <w:rFonts w:ascii="FrankRuehl" w:eastAsia="FrankRuehl" w:hAnsi="FrankRuehl" w:cs="FrankRuehl"/>
          <w:sz w:val="28"/>
          <w:szCs w:val="28"/>
          <w:rtl/>
        </w:rPr>
        <w:t>יט</w:t>
      </w:r>
      <w:proofErr w:type="spellEnd"/>
      <w:r>
        <w:rPr>
          <w:rFonts w:ascii="FrankRuehl" w:eastAsia="FrankRuehl" w:hAnsi="FrankRuehl" w:cs="FrankRuehl"/>
          <w:sz w:val="28"/>
          <w:szCs w:val="28"/>
          <w:rtl/>
        </w:rPr>
        <w:t xml:space="preserve">) כִּי הִנֵּה הַיּוֹם בָּא בֹּעֵר כַּתַּנּוּר וְהָיוּ כָל זֵדִים וְכָל עֹשֵׂה רִשְׁעָה קַשׁ וְלִהַט אֹתָם הַיּוֹם הַבָּא אָמַר ה' </w:t>
      </w:r>
      <w:proofErr w:type="spellStart"/>
      <w:r>
        <w:rPr>
          <w:rFonts w:ascii="FrankRuehl" w:eastAsia="FrankRuehl" w:hAnsi="FrankRuehl" w:cs="FrankRuehl"/>
          <w:sz w:val="28"/>
          <w:szCs w:val="28"/>
          <w:rtl/>
        </w:rPr>
        <w:t>צְבָא</w:t>
      </w:r>
      <w:r w:rsidR="005C07A1">
        <w:rPr>
          <w:rFonts w:ascii="FrankRuehl" w:eastAsia="FrankRuehl" w:hAnsi="FrankRuehl" w:cs="FrankRuehl" w:hint="cs"/>
          <w:sz w:val="28"/>
          <w:szCs w:val="28"/>
          <w:rtl/>
        </w:rPr>
        <w:t>-</w:t>
      </w:r>
      <w:r>
        <w:rPr>
          <w:rFonts w:ascii="FrankRuehl" w:eastAsia="FrankRuehl" w:hAnsi="FrankRuehl" w:cs="FrankRuehl"/>
          <w:sz w:val="28"/>
          <w:szCs w:val="28"/>
          <w:rtl/>
        </w:rPr>
        <w:t>וֹת</w:t>
      </w:r>
      <w:proofErr w:type="spellEnd"/>
      <w:r>
        <w:rPr>
          <w:rFonts w:ascii="FrankRuehl" w:eastAsia="FrankRuehl" w:hAnsi="FrankRuehl" w:cs="FrankRuehl"/>
          <w:sz w:val="28"/>
          <w:szCs w:val="28"/>
          <w:rtl/>
        </w:rPr>
        <w:t xml:space="preserve"> אֲשֶׁר לֹא </w:t>
      </w:r>
      <w:proofErr w:type="spellStart"/>
      <w:r>
        <w:rPr>
          <w:rFonts w:ascii="FrankRuehl" w:eastAsia="FrankRuehl" w:hAnsi="FrankRuehl" w:cs="FrankRuehl"/>
          <w:sz w:val="28"/>
          <w:szCs w:val="28"/>
          <w:rtl/>
        </w:rPr>
        <w:t>יַעֲזֹב</w:t>
      </w:r>
      <w:proofErr w:type="spellEnd"/>
      <w:r>
        <w:rPr>
          <w:rFonts w:ascii="FrankRuehl" w:eastAsia="FrankRuehl" w:hAnsi="FrankRuehl" w:cs="FrankRuehl"/>
          <w:sz w:val="28"/>
          <w:szCs w:val="28"/>
          <w:rtl/>
        </w:rPr>
        <w:t xml:space="preserve"> לָהֶם שֹׁרֶשׁ וְעָנָף: (כ) וְזָרְחָה לָכֶם יִרְאֵי שְׁמִי שֶׁמֶשׁ צְדָקָה וּמַרְפֵּא בִּכְנָפֶיהָ וִיצָאתֶם </w:t>
      </w:r>
      <w:proofErr w:type="spellStart"/>
      <w:r>
        <w:rPr>
          <w:rFonts w:ascii="FrankRuehl" w:eastAsia="FrankRuehl" w:hAnsi="FrankRuehl" w:cs="FrankRuehl"/>
          <w:sz w:val="28"/>
          <w:szCs w:val="28"/>
          <w:rtl/>
        </w:rPr>
        <w:t>וּפִשְׁתֶּם</w:t>
      </w:r>
      <w:proofErr w:type="spellEnd"/>
      <w:r>
        <w:rPr>
          <w:rFonts w:ascii="FrankRuehl" w:eastAsia="FrankRuehl" w:hAnsi="FrankRuehl" w:cs="FrankRuehl"/>
          <w:sz w:val="28"/>
          <w:szCs w:val="28"/>
          <w:rtl/>
        </w:rPr>
        <w:t xml:space="preserve"> כְּעֶגְלֵי מַרְבֵּק: (</w:t>
      </w:r>
      <w:proofErr w:type="spellStart"/>
      <w:r>
        <w:rPr>
          <w:rFonts w:ascii="FrankRuehl" w:eastAsia="FrankRuehl" w:hAnsi="FrankRuehl" w:cs="FrankRuehl"/>
          <w:sz w:val="28"/>
          <w:szCs w:val="28"/>
          <w:rtl/>
        </w:rPr>
        <w:t>כא</w:t>
      </w:r>
      <w:proofErr w:type="spellEnd"/>
      <w:r>
        <w:rPr>
          <w:rFonts w:ascii="FrankRuehl" w:eastAsia="FrankRuehl" w:hAnsi="FrankRuehl" w:cs="FrankRuehl"/>
          <w:sz w:val="28"/>
          <w:szCs w:val="28"/>
          <w:rtl/>
        </w:rPr>
        <w:t xml:space="preserve">) </w:t>
      </w:r>
      <w:proofErr w:type="spellStart"/>
      <w:r>
        <w:rPr>
          <w:rFonts w:ascii="FrankRuehl" w:eastAsia="FrankRuehl" w:hAnsi="FrankRuehl" w:cs="FrankRuehl"/>
          <w:sz w:val="28"/>
          <w:szCs w:val="28"/>
          <w:rtl/>
        </w:rPr>
        <w:t>וְעַסּוֹתֶם</w:t>
      </w:r>
      <w:proofErr w:type="spellEnd"/>
      <w:r>
        <w:rPr>
          <w:rFonts w:ascii="FrankRuehl" w:eastAsia="FrankRuehl" w:hAnsi="FrankRuehl" w:cs="FrankRuehl"/>
          <w:sz w:val="28"/>
          <w:szCs w:val="28"/>
          <w:rtl/>
        </w:rPr>
        <w:t xml:space="preserve"> רְשָׁעִים כִּי יִהְיוּ אֵפֶר תַּחַת כַּפּוֹת רַגְלֵיכֶם בַּיּוֹם אֲשֶׁר אֲנִי עֹשֶׂה אָמַר ה' </w:t>
      </w:r>
      <w:proofErr w:type="spellStart"/>
      <w:r>
        <w:rPr>
          <w:rFonts w:ascii="FrankRuehl" w:eastAsia="FrankRuehl" w:hAnsi="FrankRuehl" w:cs="FrankRuehl"/>
          <w:sz w:val="28"/>
          <w:szCs w:val="28"/>
          <w:rtl/>
        </w:rPr>
        <w:t>צְבָא</w:t>
      </w:r>
      <w:r w:rsidR="005C07A1">
        <w:rPr>
          <w:rFonts w:ascii="FrankRuehl" w:eastAsia="FrankRuehl" w:hAnsi="FrankRuehl" w:cs="FrankRuehl" w:hint="cs"/>
          <w:sz w:val="28"/>
          <w:szCs w:val="28"/>
          <w:rtl/>
        </w:rPr>
        <w:t>-</w:t>
      </w:r>
      <w:r>
        <w:rPr>
          <w:rFonts w:ascii="FrankRuehl" w:eastAsia="FrankRuehl" w:hAnsi="FrankRuehl" w:cs="FrankRuehl"/>
          <w:sz w:val="28"/>
          <w:szCs w:val="28"/>
          <w:rtl/>
        </w:rPr>
        <w:t>וֹת</w:t>
      </w:r>
      <w:proofErr w:type="spellEnd"/>
      <w:r>
        <w:rPr>
          <w:rFonts w:ascii="FrankRuehl" w:eastAsia="FrankRuehl" w:hAnsi="FrankRuehl" w:cs="FrankRuehl"/>
          <w:sz w:val="28"/>
          <w:szCs w:val="28"/>
          <w:rtl/>
        </w:rPr>
        <w:t xml:space="preserve">: </w:t>
      </w:r>
    </w:p>
    <w:p w14:paraId="0000000E" w14:textId="77777777" w:rsidR="00727887" w:rsidRDefault="0057575A">
      <w:pPr>
        <w:bidi/>
        <w:spacing w:before="120" w:after="240" w:line="360" w:lineRule="auto"/>
        <w:rPr>
          <w:rFonts w:ascii="FrankRuehl" w:eastAsia="FrankRuehl" w:hAnsi="FrankRuehl" w:cs="FrankRuehl"/>
          <w:sz w:val="28"/>
          <w:szCs w:val="28"/>
        </w:rPr>
      </w:pPr>
      <w:r>
        <w:rPr>
          <w:rFonts w:ascii="FrankRuehl" w:eastAsia="FrankRuehl" w:hAnsi="FrankRuehl" w:cs="FrankRuehl"/>
          <w:sz w:val="28"/>
          <w:szCs w:val="28"/>
          <w:rtl/>
        </w:rPr>
        <w:t xml:space="preserve">נביאים רבים התייחסו ליום ה' ואצל כולם יום ה' הוא יום קשה. נביא רק דוגמה אחת מהנביא עמוס (ה </w:t>
      </w:r>
      <w:proofErr w:type="spellStart"/>
      <w:r>
        <w:rPr>
          <w:rFonts w:ascii="FrankRuehl" w:eastAsia="FrankRuehl" w:hAnsi="FrankRuehl" w:cs="FrankRuehl"/>
          <w:sz w:val="28"/>
          <w:szCs w:val="28"/>
          <w:rtl/>
        </w:rPr>
        <w:t>יח</w:t>
      </w:r>
      <w:proofErr w:type="spellEnd"/>
      <w:r>
        <w:rPr>
          <w:rFonts w:ascii="FrankRuehl" w:eastAsia="FrankRuehl" w:hAnsi="FrankRuehl" w:cs="FrankRuehl"/>
          <w:sz w:val="28"/>
          <w:szCs w:val="28"/>
          <w:rtl/>
        </w:rPr>
        <w:t xml:space="preserve">): "הוֹי </w:t>
      </w:r>
      <w:proofErr w:type="spellStart"/>
      <w:r>
        <w:rPr>
          <w:rFonts w:ascii="FrankRuehl" w:eastAsia="FrankRuehl" w:hAnsi="FrankRuehl" w:cs="FrankRuehl"/>
          <w:sz w:val="28"/>
          <w:szCs w:val="28"/>
          <w:rtl/>
        </w:rPr>
        <w:t>הַמִּתְאַוִּים</w:t>
      </w:r>
      <w:proofErr w:type="spellEnd"/>
      <w:r>
        <w:rPr>
          <w:rFonts w:ascii="FrankRuehl" w:eastAsia="FrankRuehl" w:hAnsi="FrankRuehl" w:cs="FrankRuehl"/>
          <w:sz w:val="28"/>
          <w:szCs w:val="28"/>
          <w:rtl/>
        </w:rPr>
        <w:t xml:space="preserve"> אֶת יוֹם ה', לָמָּה זֶּה לָכֶם יוֹם ה' הוּא חֹשֶׁךְ וְלֹא אוֹר". יום ה' הוא יום שיגרור הרס וחורבן, ורק לאחריו תבוא גאולה לצדיקים שיישארו. באותו יום, כל העמדות הפנים, לא יעזרו, ייבחנו המעשים והלבבות ובעוד שהצדיקים יצאו נשכרים, הרשעים צפויים לאובדן. ייתכן ואת פסוק הפתיחה של ההפטרה, היה צריך לקבוע דווקא בנקודה זו, לאחר יום ה' בו </w:t>
      </w:r>
      <w:proofErr w:type="spellStart"/>
      <w:r>
        <w:rPr>
          <w:rFonts w:ascii="FrankRuehl" w:eastAsia="FrankRuehl" w:hAnsi="FrankRuehl" w:cs="FrankRuehl"/>
          <w:sz w:val="28"/>
          <w:szCs w:val="28"/>
          <w:rtl/>
        </w:rPr>
        <w:t>ישארו</w:t>
      </w:r>
      <w:proofErr w:type="spellEnd"/>
      <w:r>
        <w:rPr>
          <w:rFonts w:ascii="FrankRuehl" w:eastAsia="FrankRuehl" w:hAnsi="FrankRuehl" w:cs="FrankRuehl"/>
          <w:sz w:val="28"/>
          <w:szCs w:val="28"/>
          <w:rtl/>
        </w:rPr>
        <w:t xml:space="preserve"> רק הצדיקים, עבודת ה' תהיה ערבה ורצויה.</w:t>
      </w:r>
    </w:p>
    <w:p w14:paraId="0000000F" w14:textId="36C515F0" w:rsidR="00727887" w:rsidRDefault="0057575A">
      <w:pPr>
        <w:bidi/>
        <w:spacing w:before="120" w:after="240" w:line="360" w:lineRule="auto"/>
        <w:rPr>
          <w:rFonts w:ascii="FrankRuehl" w:eastAsia="FrankRuehl" w:hAnsi="FrankRuehl" w:cs="FrankRuehl"/>
          <w:sz w:val="28"/>
          <w:szCs w:val="28"/>
        </w:rPr>
      </w:pPr>
      <w:r>
        <w:rPr>
          <w:rFonts w:ascii="FrankRuehl" w:eastAsia="FrankRuehl" w:hAnsi="FrankRuehl" w:cs="FrankRuehl"/>
          <w:sz w:val="28"/>
          <w:szCs w:val="28"/>
          <w:rtl/>
        </w:rPr>
        <w:t xml:space="preserve">הפסוק הבא, לקראת סיום הנבואה הוא אולי החשוב ביותר </w:t>
      </w:r>
      <w:r w:rsidR="005C07A1">
        <w:rPr>
          <w:rFonts w:ascii="FrankRuehl" w:eastAsia="FrankRuehl" w:hAnsi="FrankRuehl" w:cs="FrankRuehl" w:hint="cs"/>
          <w:sz w:val="28"/>
          <w:szCs w:val="28"/>
          <w:rtl/>
        </w:rPr>
        <w:t>ב</w:t>
      </w:r>
      <w:r>
        <w:rPr>
          <w:rFonts w:ascii="FrankRuehl" w:eastAsia="FrankRuehl" w:hAnsi="FrankRuehl" w:cs="FrankRuehl"/>
          <w:sz w:val="28"/>
          <w:szCs w:val="28"/>
          <w:rtl/>
        </w:rPr>
        <w:t>הפטרה ובספרי הנביאים, והוא קושר את ההפטרה כולה לחג הפסח הקרב ובא עוד יותר מהמילה "הגדול" המוכרת.</w:t>
      </w:r>
    </w:p>
    <w:p w14:paraId="00000010" w14:textId="77777777" w:rsidR="00727887" w:rsidRDefault="0057575A">
      <w:pPr>
        <w:bidi/>
        <w:spacing w:before="120" w:line="360" w:lineRule="auto"/>
        <w:ind w:right="720"/>
        <w:rPr>
          <w:rFonts w:ascii="FrankRuehl" w:eastAsia="FrankRuehl" w:hAnsi="FrankRuehl" w:cs="FrankRuehl"/>
          <w:sz w:val="28"/>
          <w:szCs w:val="28"/>
        </w:rPr>
      </w:pPr>
      <w:r>
        <w:rPr>
          <w:rFonts w:ascii="FrankRuehl" w:eastAsia="FrankRuehl" w:hAnsi="FrankRuehl" w:cs="FrankRuehl"/>
          <w:sz w:val="28"/>
          <w:szCs w:val="28"/>
          <w:rtl/>
        </w:rPr>
        <w:t>(</w:t>
      </w:r>
      <w:proofErr w:type="spellStart"/>
      <w:r>
        <w:rPr>
          <w:rFonts w:ascii="FrankRuehl" w:eastAsia="FrankRuehl" w:hAnsi="FrankRuehl" w:cs="FrankRuehl"/>
          <w:sz w:val="28"/>
          <w:szCs w:val="28"/>
          <w:rtl/>
        </w:rPr>
        <w:t>כב</w:t>
      </w:r>
      <w:proofErr w:type="spellEnd"/>
      <w:r>
        <w:rPr>
          <w:rFonts w:ascii="FrankRuehl" w:eastAsia="FrankRuehl" w:hAnsi="FrankRuehl" w:cs="FrankRuehl"/>
          <w:sz w:val="28"/>
          <w:szCs w:val="28"/>
          <w:rtl/>
        </w:rPr>
        <w:t xml:space="preserve">) זִכְרוּ תּוֹרַת מֹשֶׁה עַבְדִּי אֲשֶׁר </w:t>
      </w:r>
      <w:proofErr w:type="spellStart"/>
      <w:r>
        <w:rPr>
          <w:rFonts w:ascii="FrankRuehl" w:eastAsia="FrankRuehl" w:hAnsi="FrankRuehl" w:cs="FrankRuehl"/>
          <w:sz w:val="28"/>
          <w:szCs w:val="28"/>
          <w:rtl/>
        </w:rPr>
        <w:t>צִוִּיתִי</w:t>
      </w:r>
      <w:proofErr w:type="spellEnd"/>
      <w:r>
        <w:rPr>
          <w:rFonts w:ascii="FrankRuehl" w:eastAsia="FrankRuehl" w:hAnsi="FrankRuehl" w:cs="FrankRuehl"/>
          <w:sz w:val="28"/>
          <w:szCs w:val="28"/>
          <w:rtl/>
        </w:rPr>
        <w:t xml:space="preserve"> אוֹתוֹ בְחֹרֵב עַל כָּל יִשְׂרָאֵל </w:t>
      </w:r>
      <w:proofErr w:type="spellStart"/>
      <w:r>
        <w:rPr>
          <w:rFonts w:ascii="FrankRuehl" w:eastAsia="FrankRuehl" w:hAnsi="FrankRuehl" w:cs="FrankRuehl"/>
          <w:sz w:val="28"/>
          <w:szCs w:val="28"/>
          <w:rtl/>
        </w:rPr>
        <w:t>חֻקִּים</w:t>
      </w:r>
      <w:proofErr w:type="spellEnd"/>
      <w:r>
        <w:rPr>
          <w:rFonts w:ascii="FrankRuehl" w:eastAsia="FrankRuehl" w:hAnsi="FrankRuehl" w:cs="FrankRuehl"/>
          <w:sz w:val="28"/>
          <w:szCs w:val="28"/>
          <w:rtl/>
        </w:rPr>
        <w:t xml:space="preserve"> וּמִשְׁפָּטִים:</w:t>
      </w:r>
    </w:p>
    <w:p w14:paraId="00000011" w14:textId="77777777" w:rsidR="00727887" w:rsidRDefault="0057575A">
      <w:pPr>
        <w:bidi/>
        <w:spacing w:before="120" w:after="240" w:line="360" w:lineRule="auto"/>
        <w:rPr>
          <w:rFonts w:ascii="FrankRuehl" w:eastAsia="FrankRuehl" w:hAnsi="FrankRuehl" w:cs="FrankRuehl"/>
          <w:sz w:val="28"/>
          <w:szCs w:val="28"/>
        </w:rPr>
      </w:pPr>
      <w:r>
        <w:rPr>
          <w:rFonts w:ascii="FrankRuehl" w:eastAsia="FrankRuehl" w:hAnsi="FrankRuehl" w:cs="FrankRuehl"/>
          <w:sz w:val="28"/>
          <w:szCs w:val="28"/>
          <w:rtl/>
        </w:rPr>
        <w:t xml:space="preserve">אלו מילותיו האחרונות של מלאכי. אלף שנים עברו מתקופתו של משה רבנו אולם הנבואה מעבירה מסר אחד אחרון, מסר אוניברסלי, מעל הזמן, המקום והטכנולוגיה: "זכרו תורת משה עבדי". תחילתו של תהליך מתן תורה הוא לפני חג הפסח, אז הצטוו בני ישראל על המצוות הראשונות. עשרות דורות ואלפי שנים לאחר מכן חשוב לזכור את דברי סיכום הנבואה, ודווקא לפני חג הפסח – החג המסמל את תחילתו של עם ישראל. זו מעין סגירת מעגל. הפטרת חג הפסח היא מתחילת ספר יהושע והפטרת שבת הגדול חותמת את הנבואה. בשתי </w:t>
      </w:r>
      <w:proofErr w:type="spellStart"/>
      <w:r>
        <w:rPr>
          <w:rFonts w:ascii="FrankRuehl" w:eastAsia="FrankRuehl" w:hAnsi="FrankRuehl" w:cs="FrankRuehl"/>
          <w:sz w:val="28"/>
          <w:szCs w:val="28"/>
          <w:rtl/>
        </w:rPr>
        <w:t>הפטרות</w:t>
      </w:r>
      <w:proofErr w:type="spellEnd"/>
      <w:r>
        <w:rPr>
          <w:rFonts w:ascii="FrankRuehl" w:eastAsia="FrankRuehl" w:hAnsi="FrankRuehl" w:cs="FrankRuehl"/>
          <w:sz w:val="28"/>
          <w:szCs w:val="28"/>
          <w:rtl/>
        </w:rPr>
        <w:t xml:space="preserve"> אלו מופיע הביטוי "משה עבדי". פסוק חשוב זה ראוי שיהדהד באוזנינו גם כיום, למעלה מאלפיים שנה לאחר שנאמר.</w:t>
      </w:r>
    </w:p>
    <w:p w14:paraId="00000012" w14:textId="41E762BE" w:rsidR="00727887" w:rsidRDefault="0057575A">
      <w:pPr>
        <w:bidi/>
        <w:spacing w:before="120" w:after="240" w:line="360" w:lineRule="auto"/>
        <w:rPr>
          <w:rFonts w:ascii="FrankRuehl" w:eastAsia="FrankRuehl" w:hAnsi="FrankRuehl" w:cs="FrankRuehl"/>
          <w:sz w:val="28"/>
          <w:szCs w:val="28"/>
        </w:rPr>
      </w:pPr>
      <w:r>
        <w:rPr>
          <w:rFonts w:ascii="FrankRuehl" w:eastAsia="FrankRuehl" w:hAnsi="FrankRuehl" w:cs="FrankRuehl"/>
          <w:sz w:val="28"/>
          <w:szCs w:val="28"/>
          <w:rtl/>
        </w:rPr>
        <w:t>לאחר הדגשת חשיבות שמירת התורה, מלאכי מציין את העזרה שהקב"ה יגיש לעם ישראל, ולאלו החפצים לעבור בשלום את יום ה' וזאת באמצעות אליהו הנביא, דמות שנקשרה גם היא לחג הפסח. אולם אם ניזכר בדמותו המקראית של אליהו הנביא שהיא קנאי גדול לה', נבין מפסוקים אלו שמשימ</w:t>
      </w:r>
      <w:r>
        <w:rPr>
          <w:rFonts w:ascii="FrankRuehl" w:eastAsia="FrankRuehl" w:hAnsi="FrankRuehl" w:cs="FrankRuehl"/>
          <w:sz w:val="28"/>
          <w:szCs w:val="28"/>
          <w:rtl/>
        </w:rPr>
        <w:t>תו של אליהו אינה לפעול בקנאות, אלא דווקא לפעול להשבת העם, והדברים דומים למדרש על אליהו הנביא שהתלונן לה' על שבני ישראל עזבו את הברית עם ה', ומאז הוטל עליו לבוא ולבקר בכל ברית מילה, המוכיחה את שמירת הברית.</w:t>
      </w:r>
    </w:p>
    <w:p w14:paraId="00000013" w14:textId="77777777" w:rsidR="00727887" w:rsidRDefault="0057575A">
      <w:pPr>
        <w:bidi/>
        <w:spacing w:before="120" w:line="360" w:lineRule="auto"/>
        <w:ind w:right="720"/>
        <w:rPr>
          <w:rFonts w:ascii="FrankRuehl" w:eastAsia="FrankRuehl" w:hAnsi="FrankRuehl" w:cs="FrankRuehl"/>
          <w:sz w:val="28"/>
          <w:szCs w:val="28"/>
        </w:rPr>
      </w:pPr>
      <w:r>
        <w:rPr>
          <w:rFonts w:ascii="FrankRuehl" w:eastAsia="FrankRuehl" w:hAnsi="FrankRuehl" w:cs="FrankRuehl"/>
          <w:sz w:val="28"/>
          <w:szCs w:val="28"/>
          <w:rtl/>
        </w:rPr>
        <w:t>(</w:t>
      </w:r>
      <w:proofErr w:type="spellStart"/>
      <w:r>
        <w:rPr>
          <w:rFonts w:ascii="FrankRuehl" w:eastAsia="FrankRuehl" w:hAnsi="FrankRuehl" w:cs="FrankRuehl"/>
          <w:sz w:val="28"/>
          <w:szCs w:val="28"/>
          <w:rtl/>
        </w:rPr>
        <w:t>כג</w:t>
      </w:r>
      <w:proofErr w:type="spellEnd"/>
      <w:r>
        <w:rPr>
          <w:rFonts w:ascii="FrankRuehl" w:eastAsia="FrankRuehl" w:hAnsi="FrankRuehl" w:cs="FrankRuehl"/>
          <w:sz w:val="28"/>
          <w:szCs w:val="28"/>
          <w:rtl/>
        </w:rPr>
        <w:t xml:space="preserve">) הִנֵּה אָנֹכִי שֹׁלֵחַ לָכֶם אֵת אֵלִיָּה הַנָּבִיא לִפְנֵי בּוֹא יוֹם ה' הַגָּדוֹל וְהַנּוֹרָא: (כד) וְהֵשִׁיב לֵב אָבוֹת עַל בָּנִים וְלֵב בָּנִים עַל </w:t>
      </w:r>
      <w:proofErr w:type="spellStart"/>
      <w:r>
        <w:rPr>
          <w:rFonts w:ascii="FrankRuehl" w:eastAsia="FrankRuehl" w:hAnsi="FrankRuehl" w:cs="FrankRuehl"/>
          <w:sz w:val="28"/>
          <w:szCs w:val="28"/>
          <w:rtl/>
        </w:rPr>
        <w:t>אֲבוֹתָם</w:t>
      </w:r>
      <w:proofErr w:type="spellEnd"/>
      <w:r>
        <w:rPr>
          <w:rFonts w:ascii="FrankRuehl" w:eastAsia="FrankRuehl" w:hAnsi="FrankRuehl" w:cs="FrankRuehl"/>
          <w:sz w:val="28"/>
          <w:szCs w:val="28"/>
          <w:rtl/>
        </w:rPr>
        <w:t xml:space="preserve"> פֶּן אָבוֹא וְהִכֵּיתִי אֶת הָאָרֶץ חֵרֶם: הִנֵּה אָנֹכִי שֹׁלֵחַ לָכֶם אֵת אֵלִיָּה הַנָּבִיא לִפְנֵי בּוֹא יוֹם ה' הַגָּדוֹל וְהַנּוֹרָא:</w:t>
      </w:r>
    </w:p>
    <w:p w14:paraId="00000014" w14:textId="49D8DDAD" w:rsidR="00727887" w:rsidRDefault="0057575A">
      <w:pPr>
        <w:bidi/>
        <w:spacing w:before="120" w:after="240" w:line="360" w:lineRule="auto"/>
        <w:rPr>
          <w:rFonts w:ascii="FrankRuehl" w:eastAsia="FrankRuehl" w:hAnsi="FrankRuehl" w:cs="FrankRuehl" w:hint="cs"/>
          <w:sz w:val="28"/>
          <w:szCs w:val="28"/>
          <w:rtl/>
        </w:rPr>
      </w:pPr>
      <w:r>
        <w:rPr>
          <w:rFonts w:ascii="FrankRuehl" w:eastAsia="FrankRuehl" w:hAnsi="FrankRuehl" w:cs="FrankRuehl"/>
          <w:sz w:val="28"/>
          <w:szCs w:val="28"/>
          <w:rtl/>
        </w:rPr>
        <w:lastRenderedPageBreak/>
        <w:t xml:space="preserve">נחזור ונחבר נבואה זו לירמיהו וננסה לענות על השאלה איך ירמיהו טוען שה' לא ציווה כלל על קורבנות? נראה לי, נוסף לפירושים שהובאו בפתיחה, כי ירמיהו יודע שחורבן בית המקדש הוא עובדה גמורה, ולכן הוא מנסה לעודד את העם ולומר להם שגם לאחר החורבן עדיין יש לעם היהודי מה לעשות בעולם, ושהקורבנות אינם הדבר היחידי ואף לא העיקרי. גם בלי בית מקדש ובלי קורבנות אפשר לממש את ייעוד העם היהודי בעולם. נראה כי מסר זה חוזר ומודגש גם בדברי מלאכי והוא יפה וחשוב גם לימינו, האומר שהקורבנות אינם חזות </w:t>
      </w:r>
      <w:proofErr w:type="spellStart"/>
      <w:r>
        <w:rPr>
          <w:rFonts w:ascii="FrankRuehl" w:eastAsia="FrankRuehl" w:hAnsi="FrankRuehl" w:cs="FrankRuehl"/>
          <w:sz w:val="28"/>
          <w:szCs w:val="28"/>
          <w:rtl/>
        </w:rPr>
        <w:t>הכל</w:t>
      </w:r>
      <w:proofErr w:type="spellEnd"/>
      <w:r>
        <w:rPr>
          <w:rFonts w:ascii="FrankRuehl" w:eastAsia="FrankRuehl" w:hAnsi="FrankRuehl" w:cs="FrankRuehl"/>
          <w:sz w:val="28"/>
          <w:szCs w:val="28"/>
          <w:rtl/>
        </w:rPr>
        <w:t>, גם כאשר בית המקדש השני כבר עומ</w:t>
      </w:r>
      <w:r w:rsidR="005C07A1">
        <w:rPr>
          <w:rFonts w:ascii="FrankRuehl" w:eastAsia="FrankRuehl" w:hAnsi="FrankRuehl" w:cs="FrankRuehl" w:hint="cs"/>
          <w:sz w:val="28"/>
          <w:szCs w:val="28"/>
          <w:rtl/>
        </w:rPr>
        <w:t>ד</w:t>
      </w:r>
      <w:r>
        <w:rPr>
          <w:rFonts w:ascii="FrankRuehl" w:eastAsia="FrankRuehl" w:hAnsi="FrankRuehl" w:cs="FrankRuehl"/>
          <w:sz w:val="28"/>
          <w:szCs w:val="28"/>
          <w:rtl/>
        </w:rPr>
        <w:t xml:space="preserve">, ולעתיד לבוא רובם יתבטלו ויישארו רק המנחות. </w:t>
      </w:r>
    </w:p>
    <w:sectPr w:rsidR="0072788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5C8F4" w14:textId="77777777" w:rsidR="0057575A" w:rsidRDefault="0057575A" w:rsidP="000231CB">
      <w:pPr>
        <w:spacing w:line="240" w:lineRule="auto"/>
      </w:pPr>
      <w:r>
        <w:separator/>
      </w:r>
    </w:p>
  </w:endnote>
  <w:endnote w:type="continuationSeparator" w:id="0">
    <w:p w14:paraId="1E72CC6D" w14:textId="77777777" w:rsidR="0057575A" w:rsidRDefault="0057575A" w:rsidP="000231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embedRegular r:id="rId1" w:fontKey="{74E009F1-1AB8-409B-B214-B493B1BA4E0A}"/>
    <w:embedBold r:id="rId2" w:fontKey="{BCA028FA-709E-4E2F-850B-79D1F4105E37}"/>
  </w:font>
  <w:font w:name="Calibri">
    <w:panose1 w:val="020F0502020204030204"/>
    <w:charset w:val="00"/>
    <w:family w:val="swiss"/>
    <w:pitch w:val="variable"/>
    <w:sig w:usb0="E4002EFF" w:usb1="C200247B" w:usb2="00000009" w:usb3="00000000" w:csb0="000001FF" w:csb1="00000000"/>
    <w:embedRegular r:id="rId3" w:fontKey="{1A1B1AD8-94BE-4B27-8630-01898DEDE34E}"/>
  </w:font>
  <w:font w:name="Cambria">
    <w:panose1 w:val="02040503050406030204"/>
    <w:charset w:val="00"/>
    <w:family w:val="roman"/>
    <w:pitch w:val="variable"/>
    <w:sig w:usb0="E00006FF" w:usb1="420024FF" w:usb2="02000000" w:usb3="00000000" w:csb0="0000019F" w:csb1="00000000"/>
    <w:embedRegular r:id="rId4" w:fontKey="{8C7A2746-41F0-40B7-98F7-ED9C5926D5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F8FBD" w14:textId="77777777" w:rsidR="0057575A" w:rsidRDefault="0057575A" w:rsidP="000231CB">
      <w:pPr>
        <w:spacing w:line="240" w:lineRule="auto"/>
      </w:pPr>
      <w:r>
        <w:separator/>
      </w:r>
    </w:p>
  </w:footnote>
  <w:footnote w:type="continuationSeparator" w:id="0">
    <w:p w14:paraId="525DA4A6" w14:textId="77777777" w:rsidR="0057575A" w:rsidRDefault="0057575A" w:rsidP="000231CB">
      <w:pPr>
        <w:spacing w:line="240" w:lineRule="auto"/>
      </w:pPr>
      <w:r>
        <w:continuationSeparator/>
      </w:r>
    </w:p>
  </w:footnote>
  <w:footnote w:id="1">
    <w:p w14:paraId="62574F19" w14:textId="42B0D35E" w:rsidR="000231CB" w:rsidRPr="000231CB" w:rsidRDefault="000231CB" w:rsidP="000231CB">
      <w:pPr>
        <w:bidi/>
        <w:spacing w:before="120" w:after="240" w:line="360" w:lineRule="auto"/>
        <w:rPr>
          <w:rFonts w:ascii="FrankRuehl" w:eastAsia="FrankRuehl" w:hAnsi="FrankRuehl" w:cs="FrankRuehl"/>
          <w:sz w:val="28"/>
          <w:szCs w:val="28"/>
          <w:lang w:val="en-US"/>
        </w:rPr>
      </w:pPr>
      <w:r>
        <w:rPr>
          <w:rStyle w:val="FootnoteReference"/>
        </w:rPr>
        <w:footnoteRef/>
      </w:r>
      <w:r>
        <w:t xml:space="preserve"> </w:t>
      </w:r>
      <w:r>
        <w:rPr>
          <w:rFonts w:hint="cs"/>
          <w:rtl/>
        </w:rPr>
        <w:t xml:space="preserve"> </w:t>
      </w:r>
      <w:r>
        <w:rPr>
          <w:rFonts w:ascii="FrankRuehl" w:eastAsia="FrankRuehl" w:hAnsi="FrankRuehl" w:cs="FrankRuehl"/>
          <w:sz w:val="28"/>
          <w:szCs w:val="28"/>
          <w:rtl/>
        </w:rPr>
        <w:t xml:space="preserve">גדי </w:t>
      </w:r>
      <w:proofErr w:type="spellStart"/>
      <w:r>
        <w:rPr>
          <w:rFonts w:ascii="FrankRuehl" w:eastAsia="FrankRuehl" w:hAnsi="FrankRuehl" w:cs="FrankRuehl"/>
          <w:sz w:val="28"/>
          <w:szCs w:val="28"/>
          <w:rtl/>
        </w:rPr>
        <w:t>איידלהייט</w:t>
      </w:r>
      <w:proofErr w:type="spellEnd"/>
      <w:r>
        <w:rPr>
          <w:rFonts w:ascii="FrankRuehl" w:eastAsia="FrankRuehl" w:hAnsi="FrankRuehl" w:cs="FrankRuehl"/>
          <w:sz w:val="28"/>
          <w:szCs w:val="28"/>
          <w:rtl/>
        </w:rPr>
        <w:t xml:space="preserve"> - מחבר הספר "הפטרה לעניין" - פירוש וביאור על </w:t>
      </w:r>
      <w:proofErr w:type="spellStart"/>
      <w:r>
        <w:rPr>
          <w:rFonts w:ascii="FrankRuehl" w:eastAsia="FrankRuehl" w:hAnsi="FrankRuehl" w:cs="FrankRuehl"/>
          <w:sz w:val="28"/>
          <w:szCs w:val="28"/>
          <w:rtl/>
        </w:rPr>
        <w:t>ההפטרות</w:t>
      </w:r>
      <w:proofErr w:type="spellEnd"/>
      <w:r>
        <w:rPr>
          <w:rFonts w:ascii="FrankRuehl" w:eastAsia="FrankRuehl" w:hAnsi="FrankRuehl" w:cs="FrankRuehl" w:hint="cs"/>
          <w:sz w:val="28"/>
          <w:szCs w:val="28"/>
          <w:rtl/>
        </w:rPr>
        <w:t xml:space="preserve"> </w:t>
      </w:r>
      <w:r>
        <w:rPr>
          <w:rFonts w:ascii="FrankRuehl" w:eastAsia="FrankRuehl" w:hAnsi="FrankRuehl" w:cs="FrankRuehl"/>
          <w:sz w:val="28"/>
          <w:szCs w:val="28"/>
        </w:rPr>
        <w:t>gadieide@yahoo.com</w:t>
      </w:r>
    </w:p>
    <w:p w14:paraId="0A8FD0C5" w14:textId="4A825FB4" w:rsidR="000231CB" w:rsidRDefault="000231CB" w:rsidP="000231CB">
      <w:pPr>
        <w:pStyle w:val="FootnoteText"/>
        <w:bidi/>
        <w:jc w:val="both"/>
        <w:rPr>
          <w:rFonts w:hint="cs"/>
          <w:rtl/>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887"/>
    <w:rsid w:val="000231CB"/>
    <w:rsid w:val="00225692"/>
    <w:rsid w:val="0057575A"/>
    <w:rsid w:val="005C07A1"/>
    <w:rsid w:val="0072788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E60FC"/>
  <w15:docId w15:val="{035A199C-0831-4A79-B1B3-3289FD4A1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0231CB"/>
    <w:pPr>
      <w:spacing w:line="240" w:lineRule="auto"/>
    </w:pPr>
    <w:rPr>
      <w:sz w:val="20"/>
      <w:szCs w:val="20"/>
    </w:rPr>
  </w:style>
  <w:style w:type="character" w:customStyle="1" w:styleId="FootnoteTextChar">
    <w:name w:val="Footnote Text Char"/>
    <w:basedOn w:val="DefaultParagraphFont"/>
    <w:link w:val="FootnoteText"/>
    <w:uiPriority w:val="99"/>
    <w:semiHidden/>
    <w:rsid w:val="000231CB"/>
    <w:rPr>
      <w:sz w:val="20"/>
      <w:szCs w:val="20"/>
    </w:rPr>
  </w:style>
  <w:style w:type="character" w:styleId="FootnoteReference">
    <w:name w:val="footnote reference"/>
    <w:basedOn w:val="DefaultParagraphFont"/>
    <w:uiPriority w:val="99"/>
    <w:semiHidden/>
    <w:unhideWhenUsed/>
    <w:rsid w:val="000231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B56A5-9D29-41A0-AF59-52B4E369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1279</Words>
  <Characters>6319</Characters>
  <Application>Microsoft Office Word</Application>
  <DocSecurity>0</DocSecurity>
  <Lines>90</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ZVI SHIMON</cp:lastModifiedBy>
  <cp:revision>2</cp:revision>
  <dcterms:created xsi:type="dcterms:W3CDTF">2026-02-15T21:31:00Z</dcterms:created>
  <dcterms:modified xsi:type="dcterms:W3CDTF">2026-02-15T21:31:00Z</dcterms:modified>
</cp:coreProperties>
</file>